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="Times New Roman" w:eastAsiaTheme="minorHAnsi" w:hAnsi="Times New Roman" w:cs="Times New Roman"/>
          <w:color w:val="auto"/>
          <w:sz w:val="22"/>
          <w:szCs w:val="22"/>
          <w:lang w:val="nl-BE"/>
        </w:rPr>
        <w:id w:val="-47005669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04A3AB9" w14:textId="7DD86741" w:rsidR="00597F71" w:rsidRPr="005603B2" w:rsidRDefault="00597F71" w:rsidP="00597F71">
          <w:pPr>
            <w:pStyle w:val="TOCHeading"/>
            <w:spacing w:line="240" w:lineRule="auto"/>
            <w:rPr>
              <w:rFonts w:ascii="Times New Roman" w:hAnsi="Times New Roman" w:cs="Times New Roman"/>
            </w:rPr>
          </w:pPr>
          <w:r w:rsidRPr="005603B2">
            <w:rPr>
              <w:rFonts w:ascii="Times New Roman" w:hAnsi="Times New Roman" w:cs="Times New Roman"/>
            </w:rPr>
            <w:t>Contents</w:t>
          </w:r>
        </w:p>
        <w:p w14:paraId="5A41FA52" w14:textId="4A1FFD03" w:rsidR="00B06A07" w:rsidRDefault="00597F71">
          <w:pPr>
            <w:pStyle w:val="TOC1"/>
            <w:tabs>
              <w:tab w:val="right" w:leader="dot" w:pos="9062"/>
            </w:tabs>
            <w:rPr>
              <w:rFonts w:cstheme="minorBidi"/>
              <w:noProof/>
              <w:lang w:val="en-GB" w:eastAsia="en-GB"/>
            </w:rPr>
          </w:pPr>
          <w:r w:rsidRPr="005603B2">
            <w:rPr>
              <w:rFonts w:ascii="Times New Roman" w:hAnsi="Times New Roman"/>
            </w:rPr>
            <w:fldChar w:fldCharType="begin"/>
          </w:r>
          <w:r w:rsidRPr="005603B2">
            <w:rPr>
              <w:rFonts w:ascii="Times New Roman" w:hAnsi="Times New Roman"/>
            </w:rPr>
            <w:instrText xml:space="preserve"> TOC \o "1-3" \h \z \u </w:instrText>
          </w:r>
          <w:r w:rsidRPr="005603B2">
            <w:rPr>
              <w:rFonts w:ascii="Times New Roman" w:hAnsi="Times New Roman"/>
            </w:rPr>
            <w:fldChar w:fldCharType="separate"/>
          </w:r>
          <w:hyperlink w:anchor="_Toc111822367" w:history="1">
            <w:r w:rsidR="00B06A07" w:rsidRPr="00155DCF">
              <w:rPr>
                <w:rStyle w:val="Hyperlink"/>
                <w:rFonts w:ascii="Times New Roman" w:hAnsi="Times New Roman"/>
                <w:b/>
                <w:noProof/>
                <w:lang w:val="en-GB"/>
              </w:rPr>
              <w:t>Supplementary Information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_Toc111822367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1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302D0B6F" w14:textId="2404A27B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68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Isolation and identification of pneumococci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_Toc111822368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1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4B1C6D87" w14:textId="29601AE6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69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Whole-genome sequencing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_Toc111822369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1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1CA2A378" w14:textId="1A306EEF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70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CAP-IT trial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_Toc111822370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1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2665FAC0" w14:textId="3545BD1C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71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Selection of isolates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_Toc111822371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1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31516E85" w14:textId="2184C3D0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72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Acquired resistance genes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_Toc111822372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2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1C09A4D5" w14:textId="3E5C9A06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73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Core genome MLST (cgMLST)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_Toc111822373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2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390541EA" w14:textId="0777B711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74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Penicillin-binding proteins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_Toc111822374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2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19BE933D" w14:textId="235163F1" w:rsidR="00B06A07" w:rsidRDefault="00176A31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val="en-GB" w:eastAsia="en-GB"/>
            </w:rPr>
          </w:pPr>
          <w:hyperlink w:anchor="_Toc111822375" w:history="1">
            <w:r w:rsidR="00B06A07" w:rsidRPr="00155DCF">
              <w:rPr>
                <w:rStyle w:val="Hyperlink"/>
                <w:rFonts w:ascii="Times New Roman" w:hAnsi="Times New Roman" w:cs="Times New Roman"/>
                <w:b/>
                <w:noProof/>
                <w:lang w:val="en-GB"/>
              </w:rPr>
              <w:t>Within ST recombinations might facilitate vaccine escape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_Toc111822375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2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3F234DD9" w14:textId="3B116A71" w:rsidR="00B06A07" w:rsidRDefault="00176A31">
          <w:pPr>
            <w:pStyle w:val="TOC1"/>
            <w:tabs>
              <w:tab w:val="right" w:leader="dot" w:pos="9062"/>
            </w:tabs>
            <w:rPr>
              <w:rFonts w:cstheme="minorBidi"/>
              <w:noProof/>
              <w:lang w:val="en-GB" w:eastAsia="en-GB"/>
            </w:rPr>
          </w:pPr>
          <w:hyperlink w:anchor="_Toc111822376" w:history="1">
            <w:r w:rsidR="00B06A07" w:rsidRPr="00155DCF">
              <w:rPr>
                <w:rStyle w:val="Hyperlink"/>
                <w:rFonts w:ascii="Times New Roman" w:hAnsi="Times New Roman"/>
                <w:b/>
                <w:noProof/>
                <w:lang w:val="en-GB"/>
              </w:rPr>
              <w:t>Supplementary Figures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_Toc111822376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3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486E4AA2" w14:textId="3F5046EC" w:rsidR="00B06A07" w:rsidRDefault="00176A31">
          <w:pPr>
            <w:pStyle w:val="TOC1"/>
            <w:tabs>
              <w:tab w:val="right" w:leader="dot" w:pos="9062"/>
            </w:tabs>
            <w:rPr>
              <w:rFonts w:cstheme="minorBidi"/>
              <w:noProof/>
              <w:lang w:val="en-GB" w:eastAsia="en-GB"/>
            </w:rPr>
          </w:pPr>
          <w:hyperlink w:anchor="_Toc111822377" w:history="1">
            <w:r w:rsidR="00B06A07" w:rsidRPr="00155DCF">
              <w:rPr>
                <w:rStyle w:val="Hyperlink"/>
                <w:rFonts w:ascii="Times New Roman" w:hAnsi="Times New Roman"/>
                <w:b/>
                <w:noProof/>
                <w:lang w:val="en-GB"/>
              </w:rPr>
              <w:t>Supplementary Tables</w:t>
            </w:r>
            <w:r w:rsidR="00B06A07">
              <w:rPr>
                <w:noProof/>
                <w:webHidden/>
              </w:rPr>
              <w:tab/>
            </w:r>
            <w:r w:rsidR="00B06A07">
              <w:rPr>
                <w:noProof/>
                <w:webHidden/>
              </w:rPr>
              <w:fldChar w:fldCharType="begin"/>
            </w:r>
            <w:r w:rsidR="00B06A07">
              <w:rPr>
                <w:noProof/>
                <w:webHidden/>
              </w:rPr>
              <w:instrText xml:space="preserve"> PAGEREF _Toc111822377 \h </w:instrText>
            </w:r>
            <w:r w:rsidR="00B06A07">
              <w:rPr>
                <w:noProof/>
                <w:webHidden/>
              </w:rPr>
            </w:r>
            <w:r w:rsidR="00B06A07">
              <w:rPr>
                <w:noProof/>
                <w:webHidden/>
              </w:rPr>
              <w:fldChar w:fldCharType="separate"/>
            </w:r>
            <w:r w:rsidR="00B06A07">
              <w:rPr>
                <w:noProof/>
                <w:webHidden/>
              </w:rPr>
              <w:t>8</w:t>
            </w:r>
            <w:r w:rsidR="00B06A07">
              <w:rPr>
                <w:noProof/>
                <w:webHidden/>
              </w:rPr>
              <w:fldChar w:fldCharType="end"/>
            </w:r>
          </w:hyperlink>
        </w:p>
        <w:p w14:paraId="2ABBA9B1" w14:textId="3985BA1F" w:rsidR="00597F71" w:rsidRPr="005603B2" w:rsidRDefault="00597F71" w:rsidP="00597F71">
          <w:pPr>
            <w:spacing w:line="240" w:lineRule="auto"/>
            <w:rPr>
              <w:rFonts w:ascii="Times New Roman" w:hAnsi="Times New Roman" w:cs="Times New Roman"/>
            </w:rPr>
          </w:pPr>
          <w:r w:rsidRPr="005603B2">
            <w:rPr>
              <w:rFonts w:ascii="Times New Roman" w:hAnsi="Times New Roman" w:cs="Times New Roman"/>
            </w:rPr>
            <w:fldChar w:fldCharType="end"/>
          </w:r>
        </w:p>
      </w:sdtContent>
    </w:sdt>
    <w:p w14:paraId="58F76A04" w14:textId="77777777" w:rsidR="00597F71" w:rsidRPr="005603B2" w:rsidRDefault="00597F71" w:rsidP="00597F71">
      <w:pPr>
        <w:spacing w:line="240" w:lineRule="auto"/>
        <w:rPr>
          <w:rFonts w:ascii="Times New Roman" w:hAnsi="Times New Roman" w:cs="Times New Roman"/>
          <w:b/>
          <w:sz w:val="24"/>
          <w:lang w:val="en-US"/>
        </w:rPr>
      </w:pPr>
    </w:p>
    <w:p w14:paraId="0890AA6C" w14:textId="486BA9C0" w:rsidR="006667DE" w:rsidRPr="005603B2" w:rsidRDefault="00B9205C" w:rsidP="005603B2">
      <w:pPr>
        <w:pStyle w:val="Heading1"/>
        <w:rPr>
          <w:rFonts w:ascii="Times New Roman" w:hAnsi="Times New Roman" w:cs="Times New Roman"/>
          <w:b/>
          <w:color w:val="auto"/>
          <w:sz w:val="24"/>
          <w:lang w:val="en-GB"/>
        </w:rPr>
      </w:pPr>
      <w:bookmarkStart w:id="0" w:name="_Toc111822367"/>
      <w:r w:rsidRPr="005603B2">
        <w:rPr>
          <w:rFonts w:ascii="Times New Roman" w:hAnsi="Times New Roman" w:cs="Times New Roman"/>
          <w:b/>
          <w:color w:val="auto"/>
          <w:sz w:val="24"/>
          <w:lang w:val="en-GB"/>
        </w:rPr>
        <w:t xml:space="preserve">Supplementary </w:t>
      </w:r>
      <w:r w:rsidR="006667DE" w:rsidRPr="005603B2">
        <w:rPr>
          <w:rFonts w:ascii="Times New Roman" w:hAnsi="Times New Roman" w:cs="Times New Roman"/>
          <w:b/>
          <w:color w:val="auto"/>
          <w:sz w:val="24"/>
          <w:lang w:val="en-GB"/>
        </w:rPr>
        <w:t>Information</w:t>
      </w:r>
      <w:bookmarkEnd w:id="0"/>
    </w:p>
    <w:p w14:paraId="359FD148" w14:textId="3FFC1DF6" w:rsidR="000B7D45" w:rsidRPr="005603B2" w:rsidRDefault="000B7D45" w:rsidP="00597F71">
      <w:pPr>
        <w:pStyle w:val="Heading2"/>
        <w:spacing w:line="240" w:lineRule="auto"/>
        <w:rPr>
          <w:rFonts w:ascii="Times New Roman" w:hAnsi="Times New Roman" w:cs="Times New Roman"/>
          <w:b/>
          <w:color w:val="auto"/>
          <w:sz w:val="20"/>
          <w:lang w:val="en-GB"/>
        </w:rPr>
      </w:pPr>
      <w:bookmarkStart w:id="1" w:name="_Toc111822368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Isolation and identification of pneumococci</w:t>
      </w:r>
      <w:bookmarkEnd w:id="1"/>
    </w:p>
    <w:p w14:paraId="78FA7861" w14:textId="4D9F843E" w:rsidR="000B7D45" w:rsidRPr="005603B2" w:rsidRDefault="000B7D45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 xml:space="preserve">50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μL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of NPS STGG was plated on streptococcal selective agar COBA (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Oxoid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, UK) and incubated overnight at 37ºC in 5% CO2. Positive cultures were sub-cultured on blood agar in the same conditions, and species identification was performed by colony morphology,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optochin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susceptibility test (Sigma-Aldrich, Germany) and bile solubility test (Sigma-Aldrich, Germany). When two different morphologies were observed in the positive culture, both isolates underwent sub-culture and phenotypic identification.</w:t>
      </w:r>
    </w:p>
    <w:p w14:paraId="6AE58BD8" w14:textId="50272CCF" w:rsidR="00EE76EF" w:rsidRPr="005603B2" w:rsidRDefault="0084645C" w:rsidP="00597F71">
      <w:pPr>
        <w:pStyle w:val="Heading2"/>
        <w:spacing w:line="240" w:lineRule="auto"/>
        <w:rPr>
          <w:rFonts w:ascii="Times New Roman" w:hAnsi="Times New Roman" w:cs="Times New Roman"/>
          <w:b/>
          <w:color w:val="auto"/>
          <w:sz w:val="20"/>
          <w:lang w:val="en-GB"/>
        </w:rPr>
      </w:pPr>
      <w:bookmarkStart w:id="2" w:name="_Toc111822369"/>
      <w:r>
        <w:rPr>
          <w:rFonts w:ascii="Times New Roman" w:hAnsi="Times New Roman" w:cs="Times New Roman"/>
          <w:b/>
          <w:color w:val="auto"/>
          <w:sz w:val="20"/>
          <w:lang w:val="en-GB"/>
        </w:rPr>
        <w:t>Whole-</w:t>
      </w:r>
      <w:r w:rsidR="00EE76EF"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genome sequencing</w:t>
      </w:r>
      <w:bookmarkEnd w:id="2"/>
    </w:p>
    <w:p w14:paraId="0332D475" w14:textId="5AD965DA" w:rsidR="00EE76EF" w:rsidRPr="005603B2" w:rsidRDefault="00EE76EF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>Pneumococcal isolates were inoculated in 4 mL of Todd-Hewitt broth and incubated overnight at 37°C in 5% CO</w:t>
      </w:r>
      <w:r w:rsidRPr="005603B2">
        <w:rPr>
          <w:rFonts w:ascii="Times New Roman" w:hAnsi="Times New Roman" w:cs="Times New Roman"/>
          <w:sz w:val="20"/>
          <w:vertAlign w:val="subscript"/>
          <w:lang w:val="en-GB"/>
        </w:rPr>
        <w:t>2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. DNA was extracted </w:t>
      </w:r>
      <w:r w:rsidR="00E21389" w:rsidRPr="005603B2">
        <w:rPr>
          <w:rFonts w:ascii="Times New Roman" w:hAnsi="Times New Roman" w:cs="Times New Roman"/>
          <w:sz w:val="20"/>
          <w:lang w:val="en-GB"/>
        </w:rPr>
        <w:t xml:space="preserve">using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MasterPure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™ Complete DNA and RNA Purification Kit </w:t>
      </w:r>
      <w:r w:rsidR="00E21389" w:rsidRPr="005603B2">
        <w:rPr>
          <w:rFonts w:ascii="Times New Roman" w:hAnsi="Times New Roman" w:cs="Times New Roman"/>
          <w:sz w:val="20"/>
          <w:lang w:val="en-GB"/>
        </w:rPr>
        <w:t>(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Epicentre, USA) according to manufacturer’s instructions with few modifications. Briefly, 1 mL of the overnight culture was pelleted and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resuspended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in 150 µL TE buffer. Ready-to-Lyse lysozyme (Epicentre, USA) and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mutanolysin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(Sigma-Aldrich, Germany) 5000 U ml</w:t>
      </w:r>
      <w:r w:rsidRPr="005603B2">
        <w:rPr>
          <w:rFonts w:ascii="Times New Roman" w:hAnsi="Times New Roman" w:cs="Times New Roman"/>
          <w:sz w:val="20"/>
          <w:vertAlign w:val="superscript"/>
          <w:lang w:val="en-GB"/>
        </w:rPr>
        <w:t>-1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 were added, and the solution was incubated at 37°C for 30 minutes. 150 µL of Tissue and Cell Lysis Solution containing Proteinase K (50 µg µl</w:t>
      </w:r>
      <w:r w:rsidRPr="005603B2">
        <w:rPr>
          <w:rFonts w:ascii="Times New Roman" w:hAnsi="Times New Roman" w:cs="Times New Roman"/>
          <w:sz w:val="20"/>
          <w:vertAlign w:val="superscript"/>
          <w:lang w:val="en-GB"/>
        </w:rPr>
        <w:t>-1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) was added, after which the manufacturer’s protocol was followed. </w:t>
      </w:r>
    </w:p>
    <w:p w14:paraId="46EF1913" w14:textId="59054161" w:rsidR="00E21389" w:rsidRPr="005603B2" w:rsidRDefault="00EE76EF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>After DNA extraction, an additional cleaning and concentration step was performed using DNA Clean &amp; Concentrator™-10 (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Zymo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Research, USA) according to the manufacturer’s instructions. DNA concentration was determined using Qubit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Fluorometer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3.0 (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Thermo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Fischer Scientific, USA).</w:t>
      </w:r>
    </w:p>
    <w:p w14:paraId="161AC6D7" w14:textId="39D9E55D" w:rsidR="00E21389" w:rsidRPr="005603B2" w:rsidRDefault="00E21389" w:rsidP="00597F71">
      <w:pPr>
        <w:pStyle w:val="Heading2"/>
        <w:spacing w:line="240" w:lineRule="auto"/>
        <w:rPr>
          <w:rFonts w:ascii="Times New Roman" w:hAnsi="Times New Roman" w:cs="Times New Roman"/>
          <w:b/>
          <w:color w:val="auto"/>
          <w:sz w:val="20"/>
          <w:lang w:val="en-GB"/>
        </w:rPr>
      </w:pPr>
      <w:bookmarkStart w:id="3" w:name="_Toc111822370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CAP-IT trial</w:t>
      </w:r>
      <w:bookmarkEnd w:id="3"/>
    </w:p>
    <w:p w14:paraId="1C4AEB91" w14:textId="730F1BA9" w:rsidR="00E21389" w:rsidRPr="005603B2" w:rsidRDefault="00E21389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 xml:space="preserve">One of the secondary endpoints of the trial was </w:t>
      </w:r>
      <w:r w:rsidR="00300ABC">
        <w:rPr>
          <w:rFonts w:ascii="Times New Roman" w:hAnsi="Times New Roman" w:cs="Times New Roman"/>
          <w:sz w:val="20"/>
          <w:lang w:val="en-GB"/>
        </w:rPr>
        <w:t xml:space="preserve">phenotypic </w:t>
      </w:r>
      <w:r w:rsidR="00774C54">
        <w:rPr>
          <w:rFonts w:ascii="Times New Roman" w:hAnsi="Times New Roman" w:cs="Times New Roman"/>
          <w:sz w:val="20"/>
          <w:lang w:val="en-GB"/>
        </w:rPr>
        <w:t xml:space="preserve">penicillin non-susceptibility or resistance in nasopharyngeal </w:t>
      </w:r>
      <w:r w:rsidR="00774C54" w:rsidRPr="00774C54">
        <w:rPr>
          <w:rFonts w:ascii="Times New Roman" w:hAnsi="Times New Roman" w:cs="Times New Roman"/>
          <w:i/>
          <w:iCs/>
          <w:sz w:val="20"/>
          <w:lang w:val="en-GB"/>
        </w:rPr>
        <w:t xml:space="preserve">S. </w:t>
      </w:r>
      <w:proofErr w:type="spellStart"/>
      <w:r w:rsidR="00774C54" w:rsidRPr="00774C54">
        <w:rPr>
          <w:rFonts w:ascii="Times New Roman" w:hAnsi="Times New Roman" w:cs="Times New Roman"/>
          <w:i/>
          <w:iCs/>
          <w:sz w:val="20"/>
          <w:lang w:val="en-GB"/>
        </w:rPr>
        <w:t>pneumoniae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. </w:t>
      </w:r>
      <w:r w:rsidR="006F486E" w:rsidRPr="006F486E">
        <w:rPr>
          <w:rFonts w:ascii="Times New Roman" w:hAnsi="Times New Roman" w:cs="Times New Roman"/>
          <w:sz w:val="20"/>
          <w:lang w:val="en-GB"/>
        </w:rPr>
        <w:t xml:space="preserve">Penicillin non-susceptibility in patients with a culture positive for </w:t>
      </w:r>
      <w:r w:rsidR="006F486E" w:rsidRPr="0033041F">
        <w:rPr>
          <w:rFonts w:ascii="Times New Roman" w:hAnsi="Times New Roman" w:cs="Times New Roman"/>
          <w:i/>
          <w:iCs/>
          <w:sz w:val="20"/>
          <w:lang w:val="en-GB"/>
        </w:rPr>
        <w:t xml:space="preserve">S. </w:t>
      </w:r>
      <w:proofErr w:type="spellStart"/>
      <w:r w:rsidR="006F486E" w:rsidRPr="0033041F">
        <w:rPr>
          <w:rFonts w:ascii="Times New Roman" w:hAnsi="Times New Roman" w:cs="Times New Roman"/>
          <w:i/>
          <w:iCs/>
          <w:sz w:val="20"/>
          <w:lang w:val="en-GB"/>
        </w:rPr>
        <w:t>pneumoniae</w:t>
      </w:r>
      <w:proofErr w:type="spellEnd"/>
      <w:r w:rsidR="006F486E">
        <w:rPr>
          <w:rFonts w:ascii="Times New Roman" w:hAnsi="Times New Roman" w:cs="Times New Roman"/>
          <w:sz w:val="20"/>
          <w:lang w:val="en-GB"/>
        </w:rPr>
        <w:t xml:space="preserve"> was 17% at baseline and 16% 28 days later</w:t>
      </w:r>
      <w:r w:rsidR="00760634">
        <w:rPr>
          <w:rFonts w:ascii="Times New Roman" w:hAnsi="Times New Roman" w:cs="Times New Roman"/>
          <w:sz w:val="20"/>
          <w:lang w:val="en-GB"/>
        </w:rPr>
        <w:t>, and n</w:t>
      </w:r>
      <w:r w:rsidRPr="005603B2">
        <w:rPr>
          <w:rFonts w:ascii="Times New Roman" w:hAnsi="Times New Roman" w:cs="Times New Roman"/>
          <w:sz w:val="20"/>
          <w:lang w:val="en-GB"/>
        </w:rPr>
        <w:t>o significant differences were observed between the different arms of the trial, indicating that the treatment had no effect in pneumococcal non-susceptibility levels, or this effect had been lost before the follow-up visit. Finally, serotypes were evenly distributed across the different arms (Table S</w:t>
      </w:r>
      <w:r w:rsidR="003D1A1E">
        <w:rPr>
          <w:rFonts w:ascii="Times New Roman" w:hAnsi="Times New Roman" w:cs="Times New Roman"/>
          <w:sz w:val="20"/>
          <w:lang w:val="en-GB"/>
        </w:rPr>
        <w:t>3</w:t>
      </w:r>
      <w:r w:rsidRPr="005603B2">
        <w:rPr>
          <w:rFonts w:ascii="Times New Roman" w:hAnsi="Times New Roman" w:cs="Times New Roman"/>
          <w:sz w:val="20"/>
          <w:lang w:val="en-GB"/>
        </w:rPr>
        <w:t>). For all these reasons, it was decided to study the overall isolate population instead of focusing on differences between the trial arms.</w:t>
      </w:r>
    </w:p>
    <w:p w14:paraId="7EFE313B" w14:textId="77777777" w:rsidR="00B06A07" w:rsidRDefault="00B06A07" w:rsidP="00B06A07">
      <w:pPr>
        <w:pStyle w:val="Heading2"/>
        <w:spacing w:line="240" w:lineRule="auto"/>
        <w:rPr>
          <w:rFonts w:ascii="Times New Roman" w:hAnsi="Times New Roman" w:cs="Times New Roman"/>
          <w:b/>
          <w:color w:val="auto"/>
          <w:sz w:val="20"/>
          <w:lang w:val="en-GB"/>
        </w:rPr>
      </w:pPr>
      <w:bookmarkStart w:id="4" w:name="_Toc111822371"/>
      <w:r>
        <w:rPr>
          <w:rFonts w:ascii="Times New Roman" w:hAnsi="Times New Roman" w:cs="Times New Roman"/>
          <w:b/>
          <w:color w:val="auto"/>
          <w:sz w:val="20"/>
          <w:lang w:val="en-GB"/>
        </w:rPr>
        <w:t>Selection of isolates</w:t>
      </w:r>
      <w:bookmarkEnd w:id="4"/>
    </w:p>
    <w:p w14:paraId="39B33571" w14:textId="1935B220" w:rsidR="00B06A07" w:rsidRPr="00B06A07" w:rsidRDefault="00B06A07" w:rsidP="00B06A07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2F5D01">
        <w:rPr>
          <w:rFonts w:ascii="Times New Roman" w:hAnsi="Times New Roman" w:cs="Times New Roman"/>
          <w:sz w:val="20"/>
          <w:lang w:val="en-GB"/>
        </w:rPr>
        <w:t>In total, 497 isolates were obtained</w:t>
      </w:r>
      <w:r>
        <w:rPr>
          <w:rFonts w:ascii="Times New Roman" w:hAnsi="Times New Roman" w:cs="Times New Roman"/>
          <w:sz w:val="20"/>
          <w:lang w:val="en-GB"/>
        </w:rPr>
        <w:t xml:space="preserve"> from 346 patients. Of these,</w:t>
      </w:r>
      <w:r w:rsidRPr="002F5D01">
        <w:rPr>
          <w:rFonts w:ascii="Times New Roman" w:hAnsi="Times New Roman" w:cs="Times New Roman"/>
          <w:sz w:val="20"/>
          <w:lang w:val="en-GB"/>
        </w:rPr>
        <w:t xml:space="preserve"> 21 were identified as non-pneumococci. </w:t>
      </w:r>
      <w:r>
        <w:rPr>
          <w:rFonts w:ascii="Times New Roman" w:hAnsi="Times New Roman" w:cs="Times New Roman"/>
          <w:sz w:val="20"/>
          <w:lang w:val="en-GB"/>
        </w:rPr>
        <w:t xml:space="preserve">By </w:t>
      </w:r>
      <w:proofErr w:type="spellStart"/>
      <w:r>
        <w:rPr>
          <w:rFonts w:ascii="Times New Roman" w:hAnsi="Times New Roman" w:cs="Times New Roman"/>
          <w:sz w:val="20"/>
          <w:lang w:val="en-GB"/>
        </w:rPr>
        <w:t>rMLST</w:t>
      </w:r>
      <w:proofErr w:type="spellEnd"/>
      <w:r>
        <w:rPr>
          <w:rFonts w:ascii="Times New Roman" w:hAnsi="Times New Roman" w:cs="Times New Roman"/>
          <w:sz w:val="20"/>
          <w:lang w:val="en-GB"/>
        </w:rPr>
        <w:t xml:space="preserve">. Species identified included </w:t>
      </w:r>
      <w:r>
        <w:rPr>
          <w:rFonts w:ascii="Times New Roman" w:hAnsi="Times New Roman" w:cs="Times New Roman"/>
          <w:i/>
          <w:sz w:val="20"/>
          <w:lang w:val="en-GB"/>
        </w:rPr>
        <w:t xml:space="preserve">S. </w:t>
      </w:r>
      <w:r w:rsidRPr="00B06A07">
        <w:rPr>
          <w:rFonts w:ascii="Times New Roman" w:hAnsi="Times New Roman" w:cs="Times New Roman"/>
          <w:i/>
          <w:sz w:val="20"/>
          <w:lang w:val="en-GB"/>
        </w:rPr>
        <w:t>mitis</w:t>
      </w:r>
      <w:r>
        <w:rPr>
          <w:rFonts w:ascii="Times New Roman" w:hAnsi="Times New Roman" w:cs="Times New Roman"/>
          <w:sz w:val="20"/>
          <w:lang w:val="en-GB"/>
        </w:rPr>
        <w:t xml:space="preserve">, </w:t>
      </w:r>
      <w:r>
        <w:rPr>
          <w:rFonts w:ascii="Times New Roman" w:hAnsi="Times New Roman" w:cs="Times New Roman"/>
          <w:i/>
          <w:sz w:val="20"/>
          <w:lang w:val="en-GB"/>
        </w:rPr>
        <w:t xml:space="preserve">S. </w:t>
      </w:r>
      <w:proofErr w:type="spellStart"/>
      <w:r>
        <w:rPr>
          <w:rFonts w:ascii="Times New Roman" w:hAnsi="Times New Roman" w:cs="Times New Roman"/>
          <w:i/>
          <w:sz w:val="20"/>
          <w:lang w:val="en-GB"/>
        </w:rPr>
        <w:t>parasanguinis</w:t>
      </w:r>
      <w:proofErr w:type="spellEnd"/>
      <w:r>
        <w:rPr>
          <w:rFonts w:ascii="Times New Roman" w:hAnsi="Times New Roman" w:cs="Times New Roman"/>
          <w:sz w:val="20"/>
          <w:lang w:val="en-GB"/>
        </w:rPr>
        <w:t xml:space="preserve">, </w:t>
      </w:r>
      <w:r>
        <w:rPr>
          <w:rFonts w:ascii="Times New Roman" w:hAnsi="Times New Roman" w:cs="Times New Roman"/>
          <w:i/>
          <w:sz w:val="20"/>
          <w:lang w:val="en-GB"/>
        </w:rPr>
        <w:t xml:space="preserve">S. </w:t>
      </w:r>
      <w:proofErr w:type="spellStart"/>
      <w:r>
        <w:rPr>
          <w:rFonts w:ascii="Times New Roman" w:hAnsi="Times New Roman" w:cs="Times New Roman"/>
          <w:i/>
          <w:sz w:val="20"/>
          <w:lang w:val="en-GB"/>
        </w:rPr>
        <w:t>pseudopneumoniae</w:t>
      </w:r>
      <w:proofErr w:type="spellEnd"/>
      <w:r>
        <w:rPr>
          <w:rFonts w:ascii="Times New Roman" w:hAnsi="Times New Roman" w:cs="Times New Roman"/>
          <w:sz w:val="20"/>
          <w:lang w:val="en-GB"/>
        </w:rPr>
        <w:t xml:space="preserve"> and </w:t>
      </w:r>
      <w:r>
        <w:rPr>
          <w:rFonts w:ascii="Times New Roman" w:hAnsi="Times New Roman" w:cs="Times New Roman"/>
          <w:i/>
          <w:sz w:val="20"/>
          <w:lang w:val="en-GB"/>
        </w:rPr>
        <w:t xml:space="preserve">S. </w:t>
      </w:r>
      <w:proofErr w:type="spellStart"/>
      <w:r>
        <w:rPr>
          <w:rFonts w:ascii="Times New Roman" w:hAnsi="Times New Roman" w:cs="Times New Roman"/>
          <w:i/>
          <w:sz w:val="20"/>
          <w:lang w:val="en-GB"/>
        </w:rPr>
        <w:t>australis</w:t>
      </w:r>
      <w:proofErr w:type="spellEnd"/>
      <w:r>
        <w:rPr>
          <w:rFonts w:ascii="Times New Roman" w:hAnsi="Times New Roman" w:cs="Times New Roman"/>
          <w:sz w:val="20"/>
          <w:lang w:val="en-GB"/>
        </w:rPr>
        <w:t xml:space="preserve">. </w:t>
      </w:r>
      <w:r w:rsidRPr="002F5D01">
        <w:rPr>
          <w:rFonts w:ascii="Times New Roman" w:hAnsi="Times New Roman" w:cs="Times New Roman"/>
          <w:sz w:val="20"/>
          <w:lang w:val="en-GB"/>
        </w:rPr>
        <w:t xml:space="preserve">Furthermore, </w:t>
      </w:r>
      <w:r>
        <w:rPr>
          <w:rFonts w:ascii="Times New Roman" w:hAnsi="Times New Roman" w:cs="Times New Roman"/>
          <w:sz w:val="20"/>
          <w:lang w:val="en-GB"/>
        </w:rPr>
        <w:t xml:space="preserve">when after MIC determination, serotyping and core genome alignment, </w:t>
      </w:r>
      <w:r w:rsidRPr="002F5D01">
        <w:rPr>
          <w:rFonts w:ascii="Times New Roman" w:hAnsi="Times New Roman" w:cs="Times New Roman"/>
          <w:sz w:val="20"/>
          <w:lang w:val="en-GB"/>
        </w:rPr>
        <w:t xml:space="preserve">86 isolates were </w:t>
      </w:r>
      <w:r>
        <w:rPr>
          <w:rFonts w:ascii="Times New Roman" w:hAnsi="Times New Roman" w:cs="Times New Roman"/>
          <w:sz w:val="20"/>
          <w:lang w:val="en-GB"/>
        </w:rPr>
        <w:t xml:space="preserve">found to be </w:t>
      </w:r>
      <w:r w:rsidRPr="002F5D01">
        <w:rPr>
          <w:rFonts w:ascii="Times New Roman" w:hAnsi="Times New Roman" w:cs="Times New Roman"/>
          <w:sz w:val="20"/>
          <w:lang w:val="en-GB"/>
        </w:rPr>
        <w:t xml:space="preserve">phenotypic and </w:t>
      </w:r>
      <w:proofErr w:type="spellStart"/>
      <w:r w:rsidRPr="002F5D01">
        <w:rPr>
          <w:rFonts w:ascii="Times New Roman" w:hAnsi="Times New Roman" w:cs="Times New Roman"/>
          <w:sz w:val="20"/>
          <w:lang w:val="en-GB"/>
        </w:rPr>
        <w:t>genotypically</w:t>
      </w:r>
      <w:proofErr w:type="spellEnd"/>
      <w:r w:rsidRPr="002F5D01">
        <w:rPr>
          <w:rFonts w:ascii="Times New Roman" w:hAnsi="Times New Roman" w:cs="Times New Roman"/>
          <w:sz w:val="20"/>
          <w:lang w:val="en-GB"/>
        </w:rPr>
        <w:t xml:space="preserve"> identical to isolates obtained from the same patient, leaving 390 unique pneumococcal isolates obtained from 335 patients</w:t>
      </w:r>
      <w:r>
        <w:rPr>
          <w:rFonts w:ascii="Times New Roman" w:hAnsi="Times New Roman" w:cs="Times New Roman"/>
          <w:sz w:val="20"/>
          <w:lang w:val="en-GB"/>
        </w:rPr>
        <w:t>.</w:t>
      </w:r>
    </w:p>
    <w:p w14:paraId="7F394592" w14:textId="7F6DD3A5" w:rsidR="0007414C" w:rsidRPr="005603B2" w:rsidRDefault="0007414C" w:rsidP="00597F71">
      <w:pPr>
        <w:pStyle w:val="Heading2"/>
        <w:spacing w:line="240" w:lineRule="auto"/>
        <w:rPr>
          <w:rFonts w:ascii="Times New Roman" w:hAnsi="Times New Roman" w:cs="Times New Roman"/>
          <w:b/>
          <w:color w:val="auto"/>
          <w:sz w:val="20"/>
          <w:lang w:val="en-GB"/>
        </w:rPr>
      </w:pPr>
      <w:bookmarkStart w:id="5" w:name="_Toc111822373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lastRenderedPageBreak/>
        <w:t>Core genome MLST (</w:t>
      </w:r>
      <w:proofErr w:type="spellStart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cgMLST</w:t>
      </w:r>
      <w:proofErr w:type="spellEnd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)</w:t>
      </w:r>
      <w:bookmarkEnd w:id="5"/>
    </w:p>
    <w:p w14:paraId="7048F195" w14:textId="5E9902C9" w:rsidR="0007414C" w:rsidRPr="005603B2" w:rsidRDefault="0007414C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proofErr w:type="spellStart"/>
      <w:proofErr w:type="gramStart"/>
      <w:r w:rsidRPr="005603B2">
        <w:rPr>
          <w:rFonts w:ascii="Times New Roman" w:hAnsi="Times New Roman" w:cs="Times New Roman"/>
          <w:sz w:val="20"/>
          <w:lang w:val="en-GB"/>
        </w:rPr>
        <w:t>cgMLST</w:t>
      </w:r>
      <w:proofErr w:type="spellEnd"/>
      <w:proofErr w:type="gramEnd"/>
      <w:r w:rsidRPr="005603B2">
        <w:rPr>
          <w:rFonts w:ascii="Times New Roman" w:hAnsi="Times New Roman" w:cs="Times New Roman"/>
          <w:sz w:val="20"/>
          <w:lang w:val="en-GB"/>
        </w:rPr>
        <w:t xml:space="preserve"> analysis yielded a total of 1391 core genes and an average distance between isolates of 1161</w:t>
      </w:r>
      <w:r w:rsidR="0084645C">
        <w:rPr>
          <w:rFonts w:ascii="Times New Roman" w:hAnsi="Times New Roman" w:cs="Times New Roman"/>
          <w:sz w:val="20"/>
          <w:lang w:val="en-GB"/>
        </w:rPr>
        <w:t>.</w:t>
      </w:r>
      <w:r w:rsidRPr="005603B2">
        <w:rPr>
          <w:rFonts w:ascii="Times New Roman" w:hAnsi="Times New Roman" w:cs="Times New Roman"/>
          <w:sz w:val="20"/>
          <w:lang w:val="en-GB"/>
        </w:rPr>
        <w:t>9 (3-1318). As observed in the phylogenetic tree, some serotypes, such as 15B/C or 35B, were spread across the tree, but, in general, isolates presenting the same serotype clustered together (Figure S</w:t>
      </w:r>
      <w:r w:rsidR="00CE16B4">
        <w:rPr>
          <w:rFonts w:ascii="Times New Roman" w:hAnsi="Times New Roman" w:cs="Times New Roman"/>
          <w:sz w:val="20"/>
          <w:lang w:val="en-GB"/>
        </w:rPr>
        <w:t>1</w:t>
      </w:r>
      <w:r w:rsidRPr="005603B2">
        <w:rPr>
          <w:rFonts w:ascii="Times New Roman" w:hAnsi="Times New Roman" w:cs="Times New Roman"/>
          <w:sz w:val="20"/>
          <w:lang w:val="en-GB"/>
        </w:rPr>
        <w:t>A). On the other hand, clustering by GPSC was more robust, and all isolates assigned to the same G</w:t>
      </w:r>
      <w:r w:rsidR="00CE16B4">
        <w:rPr>
          <w:rFonts w:ascii="Times New Roman" w:hAnsi="Times New Roman" w:cs="Times New Roman"/>
          <w:sz w:val="20"/>
          <w:lang w:val="en-GB"/>
        </w:rPr>
        <w:t>PSC clustered closely (Figure S1</w:t>
      </w:r>
      <w:r w:rsidRPr="005603B2">
        <w:rPr>
          <w:rFonts w:ascii="Times New Roman" w:hAnsi="Times New Roman" w:cs="Times New Roman"/>
          <w:sz w:val="20"/>
          <w:lang w:val="en-GB"/>
        </w:rPr>
        <w:t>B).</w:t>
      </w:r>
    </w:p>
    <w:p w14:paraId="013BDBC4" w14:textId="5F1B1B80" w:rsidR="00E21389" w:rsidRPr="005603B2" w:rsidRDefault="00E21389" w:rsidP="00597F71">
      <w:pPr>
        <w:pStyle w:val="Heading2"/>
        <w:spacing w:line="240" w:lineRule="auto"/>
        <w:rPr>
          <w:rFonts w:ascii="Times New Roman" w:hAnsi="Times New Roman" w:cs="Times New Roman"/>
          <w:b/>
          <w:color w:val="auto"/>
          <w:sz w:val="20"/>
          <w:lang w:val="en-GB"/>
        </w:rPr>
      </w:pPr>
      <w:bookmarkStart w:id="6" w:name="_Toc111822374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Penicillin-bi</w:t>
      </w:r>
      <w:bookmarkStart w:id="7" w:name="_GoBack"/>
      <w:bookmarkEnd w:id="7"/>
      <w:r w:rsidRPr="005603B2">
        <w:rPr>
          <w:rFonts w:ascii="Times New Roman" w:hAnsi="Times New Roman" w:cs="Times New Roman"/>
          <w:b/>
          <w:color w:val="auto"/>
          <w:sz w:val="20"/>
          <w:lang w:val="en-GB"/>
        </w:rPr>
        <w:t>nding proteins</w:t>
      </w:r>
      <w:bookmarkEnd w:id="6"/>
    </w:p>
    <w:p w14:paraId="706AA99E" w14:textId="77777777" w:rsidR="00E21389" w:rsidRPr="005603B2" w:rsidRDefault="00E21389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>Based on the phylogenetic analysis, PBP1a variants formed two distinct clades, the first one containing four divergent variants corresponding to non-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typeable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isolates, and the second one presenting a differentiated sub-clade containing the rest of divergent variants, where the distances increased along with the increase in the number of amino acid modifications (Figure S3A). Interestingly, PBP1a variants from non-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typeable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 xml:space="preserve"> isolates consistently showed more divergence compared to the reference protein sequence (7.8-15% divergence, 56-108 amino acid modifications).</w:t>
      </w:r>
    </w:p>
    <w:p w14:paraId="46FA142D" w14:textId="73159B71" w:rsidR="00E21389" w:rsidRPr="005603B2" w:rsidRDefault="00E21389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>In PBP2x variants, no clear division was identified. However, it can be observed that a higher number of total modifications correlates with a higher accumulation of the seven mutations previously described</w:t>
      </w:r>
      <w:r w:rsidR="00CE16B4">
        <w:rPr>
          <w:rFonts w:ascii="Times New Roman" w:hAnsi="Times New Roman" w:cs="Times New Roman"/>
          <w:sz w:val="20"/>
          <w:lang w:val="en-GB"/>
        </w:rPr>
        <w:t xml:space="preserve"> to confer resistance (Figure S2</w:t>
      </w:r>
      <w:r w:rsidRPr="005603B2">
        <w:rPr>
          <w:rFonts w:ascii="Times New Roman" w:hAnsi="Times New Roman" w:cs="Times New Roman"/>
          <w:sz w:val="20"/>
          <w:lang w:val="en-GB"/>
        </w:rPr>
        <w:t>B).</w:t>
      </w:r>
    </w:p>
    <w:p w14:paraId="333868D7" w14:textId="40243008" w:rsidR="00E21389" w:rsidRPr="005603B2" w:rsidRDefault="00E21389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5603B2">
        <w:rPr>
          <w:rFonts w:ascii="Times New Roman" w:hAnsi="Times New Roman" w:cs="Times New Roman"/>
          <w:sz w:val="20"/>
          <w:lang w:val="en-GB"/>
        </w:rPr>
        <w:t>Usually, when a PBP variant presented a high number of amino acid changes, it was accompanied by other PBP variants also with a high number of changes, further reflecting the recombination origin of these changes (Table S1).</w:t>
      </w:r>
    </w:p>
    <w:p w14:paraId="74A3FBDA" w14:textId="77777777" w:rsidR="00E372F4" w:rsidRDefault="00E372F4">
      <w:pPr>
        <w:rPr>
          <w:rFonts w:ascii="Times New Roman" w:eastAsiaTheme="majorEastAsia" w:hAnsi="Times New Roman" w:cs="Times New Roman"/>
          <w:b/>
          <w:sz w:val="24"/>
          <w:szCs w:val="32"/>
          <w:lang w:val="en-GB"/>
        </w:rPr>
      </w:pPr>
      <w:bookmarkStart w:id="8" w:name="_Toc111822376"/>
      <w:r>
        <w:rPr>
          <w:rFonts w:ascii="Times New Roman" w:hAnsi="Times New Roman" w:cs="Times New Roman"/>
          <w:b/>
          <w:sz w:val="24"/>
          <w:lang w:val="en-GB"/>
        </w:rPr>
        <w:br w:type="page"/>
      </w:r>
    </w:p>
    <w:p w14:paraId="4B68D5AB" w14:textId="5B0BF432" w:rsidR="00597F71" w:rsidRPr="005603B2" w:rsidRDefault="00597F71" w:rsidP="005603B2">
      <w:pPr>
        <w:pStyle w:val="Heading1"/>
        <w:rPr>
          <w:rFonts w:ascii="Times New Roman" w:hAnsi="Times New Roman" w:cs="Times New Roman"/>
          <w:b/>
          <w:color w:val="auto"/>
          <w:sz w:val="24"/>
          <w:lang w:val="en-GB"/>
        </w:rPr>
      </w:pPr>
      <w:r w:rsidRPr="005603B2">
        <w:rPr>
          <w:rFonts w:ascii="Times New Roman" w:hAnsi="Times New Roman" w:cs="Times New Roman"/>
          <w:b/>
          <w:color w:val="auto"/>
          <w:sz w:val="24"/>
          <w:lang w:val="en-GB"/>
        </w:rPr>
        <w:lastRenderedPageBreak/>
        <w:t>Supplementary Figures</w:t>
      </w:r>
      <w:bookmarkEnd w:id="8"/>
    </w:p>
    <w:p w14:paraId="42759E3E" w14:textId="52E24A98" w:rsidR="00597F71" w:rsidRPr="005603B2" w:rsidRDefault="00176A31" w:rsidP="00597F71">
      <w:pPr>
        <w:spacing w:line="240" w:lineRule="auto"/>
        <w:rPr>
          <w:rFonts w:ascii="Times New Roman" w:hAnsi="Times New Roman" w:cs="Times New Roman"/>
          <w:lang w:val="en-GB"/>
        </w:rPr>
      </w:pPr>
      <w:r>
        <w:rPr>
          <w:rFonts w:ascii="Times New Roman" w:eastAsiaTheme="majorEastAsia" w:hAnsi="Times New Roman" w:cs="Times New Roman"/>
          <w:b/>
          <w:noProof/>
          <w:sz w:val="20"/>
          <w:szCs w:val="26"/>
          <w:lang w:val="en-GB" w:eastAsia="en-GB"/>
        </w:rPr>
        <w:drawing>
          <wp:inline distT="0" distB="0" distL="0" distR="0" wp14:anchorId="65139905" wp14:editId="1DD1C835">
            <wp:extent cx="5148423" cy="7877175"/>
            <wp:effectExtent l="0" t="0" r="0" b="0"/>
            <wp:docPr id="5" name="Picture 5" descr="C:\Users\JRodriguezRuiz\AppData\Local\Microsoft\Windows\INetCache\Content.Word\Figure S1 cgMLST Phylovi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RodriguezRuiz\AppData\Local\Microsoft\Windows\INetCache\Content.Word\Figure S1 cgMLST Phyloviz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973" cy="787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540CE" w14:textId="66DDC676" w:rsidR="00E372F4" w:rsidRDefault="00E372F4" w:rsidP="00597F71">
      <w:pPr>
        <w:spacing w:line="240" w:lineRule="auto"/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</w:pPr>
    </w:p>
    <w:p w14:paraId="53191E70" w14:textId="352B6883" w:rsidR="00597F71" w:rsidRDefault="00597F71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616450"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Figure</w:t>
      </w:r>
      <w:r w:rsidR="003D1A1E"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 xml:space="preserve"> S1</w:t>
      </w:r>
      <w:r w:rsidRPr="005603B2">
        <w:rPr>
          <w:rFonts w:ascii="Times New Roman" w:hAnsi="Times New Roman" w:cs="Times New Roman"/>
          <w:b/>
          <w:sz w:val="20"/>
          <w:lang w:val="en-GB"/>
        </w:rPr>
        <w:t>.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 Tree generated form core-genome multi-locus sequence typing analysis. Nodes are coloured according to (A) serotype and (B) Global Pneumococcal Sequence Cluster. Due to restrictions from </w:t>
      </w:r>
      <w:proofErr w:type="spellStart"/>
      <w:r w:rsidRPr="005603B2">
        <w:rPr>
          <w:rFonts w:ascii="Times New Roman" w:hAnsi="Times New Roman" w:cs="Times New Roman"/>
          <w:sz w:val="20"/>
          <w:lang w:val="en-GB"/>
        </w:rPr>
        <w:t>Phyloviz</w:t>
      </w:r>
      <w:proofErr w:type="spellEnd"/>
      <w:r w:rsidRPr="005603B2">
        <w:rPr>
          <w:rFonts w:ascii="Times New Roman" w:hAnsi="Times New Roman" w:cs="Times New Roman"/>
          <w:sz w:val="20"/>
          <w:lang w:val="en-GB"/>
        </w:rPr>
        <w:t>, only the 20 most prevalent serotypes and GPSCs are represented.</w:t>
      </w:r>
    </w:p>
    <w:p w14:paraId="2D6E2F07" w14:textId="33DDBEDD" w:rsidR="00DB703B" w:rsidRPr="00DB703B" w:rsidRDefault="00E372F4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>
        <w:rPr>
          <w:rFonts w:ascii="Times New Roman" w:eastAsiaTheme="majorEastAsia" w:hAnsi="Times New Roman" w:cs="Times New Roman"/>
          <w:b/>
          <w:noProof/>
          <w:sz w:val="20"/>
          <w:szCs w:val="26"/>
          <w:lang w:val="en-GB" w:eastAsia="en-GB"/>
        </w:rPr>
        <w:lastRenderedPageBreak/>
        <w:drawing>
          <wp:inline distT="0" distB="0" distL="0" distR="0" wp14:anchorId="044FD5CE" wp14:editId="4050FBE7">
            <wp:extent cx="4597145" cy="8201025"/>
            <wp:effectExtent l="0" t="0" r="0" b="0"/>
            <wp:docPr id="2" name="Picture 2" descr="C:\Users\JRodriguezRuiz\AppData\Local\Microsoft\Windows\INetCache\Content.Word\Figure S2 PBP trees vertic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RodriguezRuiz\AppData\Local\Microsoft\Windows\INetCache\Content.Word\Figure S2 PBP trees vertica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992" cy="820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84E37" w14:textId="56E78386" w:rsidR="00597F71" w:rsidRPr="005603B2" w:rsidRDefault="003D1A1E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Figure S2</w:t>
      </w:r>
      <w:r w:rsidR="00597F71" w:rsidRPr="005603B2">
        <w:rPr>
          <w:rFonts w:ascii="Times New Roman" w:hAnsi="Times New Roman" w:cs="Times New Roman"/>
          <w:b/>
          <w:sz w:val="20"/>
          <w:lang w:val="en-GB"/>
        </w:rPr>
        <w:t>.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Phylogenetic trees generated from penicillin-binding protein (PBP) 1a (A) and PBP2x (B) amino acid sequences. Coloured squares represent the presence of mutations previously described to confer non-susceptibility. Number of total amino acid modifications, penicillin and amoxicillin susceptibility, serotype, and number of isolates are also depicted.  </w:t>
      </w:r>
    </w:p>
    <w:p w14:paraId="0F707BEA" w14:textId="088975F0" w:rsidR="00597F71" w:rsidRPr="005603B2" w:rsidRDefault="00E372F4" w:rsidP="00597F71">
      <w:pPr>
        <w:spacing w:line="24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eastAsiaTheme="majorEastAsia" w:hAnsi="Times New Roman" w:cs="Times New Roman"/>
          <w:b/>
          <w:noProof/>
          <w:sz w:val="20"/>
          <w:szCs w:val="26"/>
          <w:lang w:val="en-GB" w:eastAsia="en-GB"/>
        </w:rPr>
        <w:lastRenderedPageBreak/>
        <w:drawing>
          <wp:inline distT="0" distB="0" distL="0" distR="0" wp14:anchorId="5CF005EA" wp14:editId="57BB50CA">
            <wp:extent cx="5753100" cy="5562600"/>
            <wp:effectExtent l="0" t="0" r="0" b="0"/>
            <wp:docPr id="3" name="Picture 3" descr="C:\Users\JRodriguezRuiz\AppData\Local\Microsoft\Windows\INetCache\Content.Word\Figure S3 recombination cps serotyp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RodriguezRuiz\AppData\Local\Microsoft\Windows\INetCache\Content.Word\Figure S3 recombination cps serotype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BC6FD" w14:textId="1ABF8EE3" w:rsidR="00616450" w:rsidRDefault="003D1A1E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Figure S3</w:t>
      </w:r>
      <w:r w:rsidR="00597F71" w:rsidRPr="005603B2">
        <w:rPr>
          <w:rFonts w:ascii="Times New Roman" w:hAnsi="Times New Roman" w:cs="Times New Roman"/>
          <w:b/>
          <w:sz w:val="20"/>
          <w:lang w:val="en-GB"/>
        </w:rPr>
        <w:t xml:space="preserve">. 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Phylogenetic trees generated from the </w:t>
      </w:r>
      <w:r w:rsidR="00597F71" w:rsidRPr="005603B2">
        <w:rPr>
          <w:rFonts w:ascii="Times New Roman" w:hAnsi="Times New Roman" w:cs="Times New Roman"/>
          <w:i/>
          <w:sz w:val="20"/>
          <w:lang w:val="en-GB"/>
        </w:rPr>
        <w:t xml:space="preserve">cps </w:t>
      </w:r>
      <w:r w:rsidR="00597F71" w:rsidRPr="005603B2">
        <w:rPr>
          <w:rFonts w:ascii="Times New Roman" w:hAnsi="Times New Roman" w:cs="Times New Roman"/>
          <w:sz w:val="20"/>
          <w:lang w:val="en-GB"/>
        </w:rPr>
        <w:t>locus region of serotype 3 (A), serotype 19A (B) and serotype 19F (C) isolates derived from this study (</w:t>
      </w:r>
      <w:r w:rsidR="008248AC">
        <w:rPr>
          <w:rFonts w:ascii="Times New Roman" w:hAnsi="Times New Roman" w:cs="Times New Roman"/>
          <w:sz w:val="20"/>
          <w:lang w:val="en-GB"/>
        </w:rPr>
        <w:t>orange shading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) and older isolates from the same serotypes. </w:t>
      </w:r>
      <w:r w:rsidR="008248AC" w:rsidRPr="008248AC">
        <w:rPr>
          <w:rFonts w:ascii="Times New Roman" w:hAnsi="Times New Roman" w:cs="Times New Roman"/>
          <w:sz w:val="20"/>
          <w:lang w:val="en-GB"/>
        </w:rPr>
        <w:t xml:space="preserve">References used were CAPIT119_D1-1, CAPIT226_D1-1 and CAPIT214_D1-1 (marked in red shading), respectively. 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In red are shown the recombination events predicted to have occurred earlier in evolution, thus being present in a cluster of isolates. In blue, recombination events predicted only in the branch leaves, that is, in only one isolate. The position of the </w:t>
      </w:r>
      <w:r w:rsidR="00597F71" w:rsidRPr="005603B2">
        <w:rPr>
          <w:rFonts w:ascii="Times New Roman" w:hAnsi="Times New Roman" w:cs="Times New Roman"/>
          <w:i/>
          <w:sz w:val="20"/>
          <w:lang w:val="en-GB"/>
        </w:rPr>
        <w:t>cps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locus is indicated with </w:t>
      </w:r>
      <w:r w:rsidR="00694E1C">
        <w:rPr>
          <w:rFonts w:ascii="Times New Roman" w:hAnsi="Times New Roman" w:cs="Times New Roman"/>
          <w:sz w:val="20"/>
          <w:lang w:val="en-GB"/>
        </w:rPr>
        <w:t>green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boxes, and </w:t>
      </w:r>
      <w:proofErr w:type="spellStart"/>
      <w:r w:rsidR="00597F71" w:rsidRPr="005603B2">
        <w:rPr>
          <w:rFonts w:ascii="Times New Roman" w:hAnsi="Times New Roman" w:cs="Times New Roman"/>
          <w:i/>
          <w:sz w:val="20"/>
          <w:lang w:val="en-GB"/>
        </w:rPr>
        <w:t>pbp</w:t>
      </w:r>
      <w:proofErr w:type="spellEnd"/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genes with </w:t>
      </w:r>
      <w:r w:rsidR="00694E1C">
        <w:rPr>
          <w:rFonts w:ascii="Times New Roman" w:hAnsi="Times New Roman" w:cs="Times New Roman"/>
          <w:sz w:val="20"/>
          <w:lang w:val="en-GB"/>
        </w:rPr>
        <w:t>red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boxes. For serotype 3, the clade to which the isolates belong is also depicted. All serotype 3 isolates belonged to sequence type 180.</w:t>
      </w:r>
    </w:p>
    <w:p w14:paraId="00275F71" w14:textId="5E230DBA" w:rsidR="00597F71" w:rsidRPr="00DB703B" w:rsidRDefault="00E372F4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>
        <w:rPr>
          <w:rFonts w:ascii="Times New Roman" w:eastAsiaTheme="majorEastAsia" w:hAnsi="Times New Roman" w:cs="Times New Roman"/>
          <w:b/>
          <w:noProof/>
          <w:sz w:val="20"/>
          <w:szCs w:val="26"/>
          <w:lang w:val="en-GB" w:eastAsia="en-GB"/>
        </w:rPr>
        <w:lastRenderedPageBreak/>
        <w:drawing>
          <wp:inline distT="0" distB="0" distL="0" distR="0" wp14:anchorId="1C7E1D0E" wp14:editId="66A8DC5B">
            <wp:extent cx="5760720" cy="6265378"/>
            <wp:effectExtent l="0" t="0" r="0" b="2540"/>
            <wp:docPr id="4" name="Picture 4" descr="C:\Users\JRodriguezRuiz\AppData\Local\Microsoft\Windows\INetCache\Content.Word\Figure S4 recombination cps S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RodriguezRuiz\AppData\Local\Microsoft\Windows\INetCache\Content.Word\Figure S4 recombination cps STs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26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F30D2D" w14:textId="6F873333" w:rsidR="005603B2" w:rsidRDefault="00E372F4" w:rsidP="00DB703B">
      <w:pPr>
        <w:spacing w:line="24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Figure S4</w:t>
      </w:r>
      <w:r w:rsidR="00597F71" w:rsidRPr="005603B2">
        <w:rPr>
          <w:rFonts w:ascii="Times New Roman" w:hAnsi="Times New Roman" w:cs="Times New Roman"/>
          <w:b/>
          <w:sz w:val="20"/>
          <w:lang w:val="en-GB"/>
        </w:rPr>
        <w:t xml:space="preserve">. 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Phylogenetic trees generated from the </w:t>
      </w:r>
      <w:r w:rsidR="00597F71" w:rsidRPr="005603B2">
        <w:rPr>
          <w:rFonts w:ascii="Times New Roman" w:hAnsi="Times New Roman" w:cs="Times New Roman"/>
          <w:i/>
          <w:sz w:val="20"/>
          <w:lang w:val="en-GB"/>
        </w:rPr>
        <w:t xml:space="preserve">cps </w:t>
      </w:r>
      <w:r w:rsidR="00597F71" w:rsidRPr="005603B2">
        <w:rPr>
          <w:rFonts w:ascii="Times New Roman" w:hAnsi="Times New Roman" w:cs="Times New Roman"/>
          <w:sz w:val="20"/>
          <w:lang w:val="en-GB"/>
        </w:rPr>
        <w:t>locus region of sequence type (ST) 162 (A), ST177 (B) and ST199 (C) isolates derived from this study (</w:t>
      </w:r>
      <w:r w:rsidR="008248AC">
        <w:rPr>
          <w:rFonts w:ascii="Times New Roman" w:hAnsi="Times New Roman" w:cs="Times New Roman"/>
          <w:sz w:val="20"/>
          <w:lang w:val="en-GB"/>
        </w:rPr>
        <w:t>orange shading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) and older isolates from the same serotypes. </w:t>
      </w:r>
      <w:r w:rsidR="008248AC" w:rsidRPr="008248AC">
        <w:rPr>
          <w:rFonts w:ascii="Times New Roman" w:hAnsi="Times New Roman" w:cs="Times New Roman"/>
          <w:sz w:val="20"/>
          <w:szCs w:val="20"/>
          <w:lang w:val="en-GB"/>
        </w:rPr>
        <w:t>References used were CAPIT</w:t>
      </w:r>
      <w:r w:rsidR="008248AC">
        <w:rPr>
          <w:rFonts w:ascii="Times New Roman" w:hAnsi="Times New Roman" w:cs="Times New Roman"/>
          <w:sz w:val="20"/>
          <w:szCs w:val="20"/>
          <w:lang w:val="en-GB"/>
        </w:rPr>
        <w:t>086</w:t>
      </w:r>
      <w:r w:rsidR="008248AC" w:rsidRPr="008248AC">
        <w:rPr>
          <w:rFonts w:ascii="Times New Roman" w:hAnsi="Times New Roman" w:cs="Times New Roman"/>
          <w:sz w:val="20"/>
          <w:szCs w:val="20"/>
          <w:lang w:val="en-GB"/>
        </w:rPr>
        <w:t>_D1-1, CAPIT</w:t>
      </w:r>
      <w:r w:rsidR="008248AC">
        <w:rPr>
          <w:rFonts w:ascii="Times New Roman" w:hAnsi="Times New Roman" w:cs="Times New Roman"/>
          <w:sz w:val="20"/>
          <w:szCs w:val="20"/>
          <w:lang w:val="en-GB"/>
        </w:rPr>
        <w:t>292</w:t>
      </w:r>
      <w:r w:rsidR="008248AC" w:rsidRPr="008248AC">
        <w:rPr>
          <w:rFonts w:ascii="Times New Roman" w:hAnsi="Times New Roman" w:cs="Times New Roman"/>
          <w:sz w:val="20"/>
          <w:szCs w:val="20"/>
          <w:lang w:val="en-GB"/>
        </w:rPr>
        <w:t>_D1-1 and CAPIT2</w:t>
      </w:r>
      <w:r w:rsidR="008248AC">
        <w:rPr>
          <w:rFonts w:ascii="Times New Roman" w:hAnsi="Times New Roman" w:cs="Times New Roman"/>
          <w:sz w:val="20"/>
          <w:szCs w:val="20"/>
          <w:lang w:val="en-GB"/>
        </w:rPr>
        <w:t>26</w:t>
      </w:r>
      <w:r w:rsidR="008248AC" w:rsidRPr="008248AC">
        <w:rPr>
          <w:rFonts w:ascii="Times New Roman" w:hAnsi="Times New Roman" w:cs="Times New Roman"/>
          <w:sz w:val="20"/>
          <w:szCs w:val="20"/>
          <w:lang w:val="en-GB"/>
        </w:rPr>
        <w:t xml:space="preserve">_D1-1 (marked in red shading), respectively. 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In red are shown the recombination events predicted to have occurred earlier in evolution, thus being present in a cluster of isolates. In blue, recombination events predicted only in the branch leaves, that is, in only one isolate. The position of the </w:t>
      </w:r>
      <w:r w:rsidR="00597F71" w:rsidRPr="005603B2">
        <w:rPr>
          <w:rFonts w:ascii="Times New Roman" w:hAnsi="Times New Roman" w:cs="Times New Roman"/>
          <w:i/>
          <w:sz w:val="20"/>
          <w:lang w:val="en-GB"/>
        </w:rPr>
        <w:t>cps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locus is indicated with </w:t>
      </w:r>
      <w:r w:rsidR="00694E1C">
        <w:rPr>
          <w:rFonts w:ascii="Times New Roman" w:hAnsi="Times New Roman" w:cs="Times New Roman"/>
          <w:sz w:val="20"/>
          <w:lang w:val="en-GB"/>
        </w:rPr>
        <w:t>green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boxes, and </w:t>
      </w:r>
      <w:proofErr w:type="spellStart"/>
      <w:r w:rsidR="00597F71" w:rsidRPr="005603B2">
        <w:rPr>
          <w:rFonts w:ascii="Times New Roman" w:hAnsi="Times New Roman" w:cs="Times New Roman"/>
          <w:i/>
          <w:sz w:val="20"/>
          <w:lang w:val="en-GB"/>
        </w:rPr>
        <w:t>pbp</w:t>
      </w:r>
      <w:proofErr w:type="spellEnd"/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genes with </w:t>
      </w:r>
      <w:r w:rsidR="00694E1C">
        <w:rPr>
          <w:rFonts w:ascii="Times New Roman" w:hAnsi="Times New Roman" w:cs="Times New Roman"/>
          <w:sz w:val="20"/>
          <w:lang w:val="en-GB"/>
        </w:rPr>
        <w:t>red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boxes.</w:t>
      </w:r>
    </w:p>
    <w:p w14:paraId="5FA6E376" w14:textId="376E3CD7" w:rsidR="005603B2" w:rsidRDefault="005603B2" w:rsidP="005603B2">
      <w:pPr>
        <w:pStyle w:val="Heading1"/>
        <w:rPr>
          <w:rFonts w:ascii="Times New Roman" w:hAnsi="Times New Roman" w:cs="Times New Roman"/>
          <w:b/>
          <w:color w:val="auto"/>
          <w:sz w:val="24"/>
          <w:lang w:val="en-GB"/>
        </w:rPr>
      </w:pPr>
      <w:bookmarkStart w:id="9" w:name="_Toc111822377"/>
      <w:r w:rsidRPr="005603B2">
        <w:rPr>
          <w:rFonts w:ascii="Times New Roman" w:hAnsi="Times New Roman" w:cs="Times New Roman"/>
          <w:b/>
          <w:color w:val="auto"/>
          <w:sz w:val="24"/>
          <w:lang w:val="en-GB"/>
        </w:rPr>
        <w:t xml:space="preserve">Supplementary </w:t>
      </w:r>
      <w:r>
        <w:rPr>
          <w:rFonts w:ascii="Times New Roman" w:hAnsi="Times New Roman" w:cs="Times New Roman"/>
          <w:b/>
          <w:color w:val="auto"/>
          <w:sz w:val="24"/>
          <w:lang w:val="en-GB"/>
        </w:rPr>
        <w:t>Tables</w:t>
      </w:r>
      <w:bookmarkEnd w:id="9"/>
    </w:p>
    <w:p w14:paraId="276E83AA" w14:textId="77777777" w:rsidR="005603B2" w:rsidRPr="005603B2" w:rsidRDefault="005603B2" w:rsidP="005603B2">
      <w:pPr>
        <w:rPr>
          <w:lang w:val="en-GB"/>
        </w:rPr>
      </w:pPr>
    </w:p>
    <w:p w14:paraId="08656EAB" w14:textId="280034B7" w:rsidR="00597F71" w:rsidRPr="005603B2" w:rsidRDefault="00597F71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616450"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Table S1</w:t>
      </w:r>
      <w:r w:rsidRPr="005603B2">
        <w:rPr>
          <w:rFonts w:ascii="Times New Roman" w:hAnsi="Times New Roman" w:cs="Times New Roman"/>
          <w:b/>
          <w:sz w:val="20"/>
          <w:lang w:val="en-GB"/>
        </w:rPr>
        <w:t>.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 Collection of isolates obtained in this study. In blue, isolates long-read sequenced.</w:t>
      </w:r>
    </w:p>
    <w:p w14:paraId="36533A8A" w14:textId="77777777" w:rsidR="00597F71" w:rsidRPr="005603B2" w:rsidRDefault="00597F71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</w:p>
    <w:p w14:paraId="3B0111E5" w14:textId="77777777" w:rsidR="00DB703B" w:rsidRDefault="00597F71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 w:rsidRPr="00616450"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Table S2</w:t>
      </w:r>
      <w:r w:rsidRPr="005603B2">
        <w:rPr>
          <w:rFonts w:ascii="Times New Roman" w:hAnsi="Times New Roman" w:cs="Times New Roman"/>
          <w:b/>
          <w:sz w:val="20"/>
          <w:lang w:val="en-GB"/>
        </w:rPr>
        <w:t>.</w:t>
      </w:r>
      <w:r w:rsidRPr="005603B2">
        <w:rPr>
          <w:rFonts w:ascii="Times New Roman" w:hAnsi="Times New Roman" w:cs="Times New Roman"/>
          <w:sz w:val="20"/>
          <w:lang w:val="en-GB"/>
        </w:rPr>
        <w:t xml:space="preserve"> Collection of isolates included in the recombination analysis. As every long-read sequenced isolate presenting serotypes 19A and 19F belonged to a different ST, all isolates belonging to those same STs were retrieved.</w:t>
      </w:r>
    </w:p>
    <w:p w14:paraId="051965FE" w14:textId="77777777" w:rsidR="00DB703B" w:rsidRDefault="00DB703B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</w:p>
    <w:p w14:paraId="0D4CF531" w14:textId="61D68799" w:rsidR="00597F71" w:rsidRDefault="003D1A1E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  <w:r>
        <w:rPr>
          <w:rFonts w:ascii="Times New Roman" w:eastAsiaTheme="majorEastAsia" w:hAnsi="Times New Roman" w:cs="Times New Roman"/>
          <w:b/>
          <w:sz w:val="20"/>
          <w:szCs w:val="26"/>
          <w:lang w:val="en-GB"/>
        </w:rPr>
        <w:t>Table S3</w:t>
      </w:r>
      <w:r w:rsidR="00597F71" w:rsidRPr="005603B2">
        <w:rPr>
          <w:rFonts w:ascii="Times New Roman" w:hAnsi="Times New Roman" w:cs="Times New Roman"/>
          <w:b/>
          <w:sz w:val="20"/>
          <w:lang w:val="en-GB"/>
        </w:rPr>
        <w:t>.</w:t>
      </w:r>
      <w:r w:rsidR="00597F71" w:rsidRPr="005603B2">
        <w:rPr>
          <w:rFonts w:ascii="Times New Roman" w:hAnsi="Times New Roman" w:cs="Times New Roman"/>
          <w:sz w:val="20"/>
          <w:lang w:val="en-GB"/>
        </w:rPr>
        <w:t xml:space="preserve"> Serotype distribution across the different arms of the trial.</w:t>
      </w:r>
    </w:p>
    <w:tbl>
      <w:tblPr>
        <w:tblW w:w="11603" w:type="dxa"/>
        <w:tblInd w:w="-128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8"/>
        <w:gridCol w:w="755"/>
        <w:gridCol w:w="559"/>
        <w:gridCol w:w="559"/>
        <w:gridCol w:w="692"/>
        <w:gridCol w:w="429"/>
        <w:gridCol w:w="553"/>
        <w:gridCol w:w="553"/>
        <w:gridCol w:w="559"/>
        <w:gridCol w:w="559"/>
        <w:gridCol w:w="553"/>
        <w:gridCol w:w="692"/>
        <w:gridCol w:w="564"/>
        <w:gridCol w:w="553"/>
        <w:gridCol w:w="553"/>
        <w:gridCol w:w="553"/>
        <w:gridCol w:w="553"/>
        <w:gridCol w:w="574"/>
      </w:tblGrid>
      <w:tr w:rsidR="00176A31" w:rsidRPr="00E372F4" w14:paraId="06E0735C" w14:textId="77777777" w:rsidTr="00176A31">
        <w:trPr>
          <w:trHeight w:val="271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DEBF7" w:fill="FFFFFF"/>
            <w:noWrap/>
            <w:vAlign w:val="center"/>
            <w:hideMark/>
          </w:tcPr>
          <w:p w14:paraId="576B37B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Arm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474509A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15B/C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3E8FF88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11A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343F0B7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15A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1A8CB8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23B1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3958D7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21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4B61766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35F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509569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35B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024AD524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23A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0BDF7F4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10A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1821846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03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8E25A0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Sg 24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EA5771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22F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CD728D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NT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545A3E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33F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6BACD34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16F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6032B4F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17F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1454738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07C</w:t>
            </w:r>
          </w:p>
        </w:tc>
      </w:tr>
      <w:tr w:rsidR="00176A31" w:rsidRPr="00E372F4" w14:paraId="1B27E28E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6532E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Higher + longer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05D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0C4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8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FE83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BAA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69F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2BB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ABC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7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D5E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2DCA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AF5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151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3CD1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667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B844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755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254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081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</w:tr>
      <w:tr w:rsidR="00176A31" w:rsidRPr="00E372F4" w14:paraId="25ED1DF6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B26E5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Higher + shorter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F9B4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586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BB52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2A9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9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688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7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FBB9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B9B7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9073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7A08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2E1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FF8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5484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2518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FDAA1" w14:textId="79B344C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19C0" w14:textId="6D618A95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8443" w14:textId="520E7AAD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C9F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</w:tr>
      <w:tr w:rsidR="00176A31" w:rsidRPr="00E372F4" w14:paraId="3B1F4E79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32024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Lower + longer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4BA4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8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0E4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CDD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8FB0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761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7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1B5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FB1A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7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AC4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14B14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20F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C64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180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2DF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6F7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C85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280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2F1B4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</w:tr>
      <w:tr w:rsidR="00176A31" w:rsidRPr="00E372F4" w14:paraId="69F58673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247C2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Lower + shorter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7A21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2F4B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396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6EC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8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796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2307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A5EF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321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B34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9E5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264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D8F1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1CE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9D42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079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98F9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56160" w14:textId="1085252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176A31" w:rsidRPr="00E372F4" w14:paraId="2170CCA0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noWrap/>
            <w:vAlign w:val="center"/>
            <w:hideMark/>
          </w:tcPr>
          <w:p w14:paraId="0B33DD3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Total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5FBB69D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48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33D8408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40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A30A30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6EB4CE4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27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BF1784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49A0378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227DFF1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56AF19A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18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677D36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DF668B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411D15B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3D60AE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10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56C42F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13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550CBE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37AC1BA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8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60AE173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7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1BD2CE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7</w:t>
            </w:r>
          </w:p>
        </w:tc>
      </w:tr>
      <w:tr w:rsidR="00176A31" w:rsidRPr="00E372F4" w14:paraId="78728370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6D1C4" w14:textId="5EEE1424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A3C86" w14:textId="6E8788E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09EF3" w14:textId="609C38B2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E8194" w14:textId="6437EDC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DF889" w14:textId="50AA322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47D94" w14:textId="2C52DEDB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2807E" w14:textId="023C457D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82090" w14:textId="5D427C4A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61664" w14:textId="5AA6FF58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5F19E" w14:textId="539EC95B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D2F478" w14:textId="0D9F819A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970AA" w14:textId="3B3BA6BF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41822" w14:textId="7A78B0E5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E72D2" w14:textId="0327344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7AB0C" w14:textId="120D8800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9BB89" w14:textId="2C271350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C37E1" w14:textId="721CAE1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8AD06" w14:textId="514F93E0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176A31" w:rsidRPr="00E372F4" w14:paraId="7BE8623B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94BBC" w14:textId="74E8EB6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B4270" w14:textId="269B2E3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0A60A" w14:textId="2A48307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EC84B" w14:textId="2E78528C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6A5FB" w14:textId="59038E5D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A8BFE" w14:textId="787966E4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941C7" w14:textId="646D2240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D331B" w14:textId="49C7E0F8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E550C" w14:textId="140E5D44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176B8" w14:textId="061CC50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41DA6" w14:textId="18BEA64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25AF9" w14:textId="64FD0538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8CB10" w14:textId="59BE2DFA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2FF06" w14:textId="6FF6BA9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E7DB1" w14:textId="67612CD6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8DA87" w14:textId="160202DC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41DD3" w14:textId="663461B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8E4A5" w14:textId="0295F21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176A31" w:rsidRPr="00E372F4" w14:paraId="1BB794D3" w14:textId="77777777" w:rsidTr="00176A31">
        <w:trPr>
          <w:trHeight w:val="271"/>
        </w:trPr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DEBF7" w:fill="FFFFFF"/>
            <w:noWrap/>
            <w:vAlign w:val="center"/>
            <w:hideMark/>
          </w:tcPr>
          <w:p w14:paraId="1D0D7EE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Arm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9CA14F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19A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4894538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23B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D543FA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12F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41B921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09N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0C01F5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34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57F6C8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38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34725C2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31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246A63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08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0B63D94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19F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109393A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06C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0894F24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13</w:t>
            </w:r>
          </w:p>
        </w:tc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51F112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35D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3E258C4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20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3D742F3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06E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D4547C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15F</w:t>
            </w:r>
          </w:p>
        </w:tc>
        <w:tc>
          <w:tcPr>
            <w:tcW w:w="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5DF402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10B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0AC43F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37</w:t>
            </w:r>
          </w:p>
        </w:tc>
      </w:tr>
      <w:tr w:rsidR="00176A31" w:rsidRPr="00E372F4" w14:paraId="291EEC35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52A82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Higher + longer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9E7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8CC3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6924" w14:textId="4D74335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4EF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5244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ADF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0E7E" w14:textId="7DE18CA8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BF1B" w14:textId="50DDFEE5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45A6" w14:textId="6F88666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DF2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99BB" w14:textId="5ECCE3F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F8E7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953D" w14:textId="755177AE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F4AE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988F5" w14:textId="516933F6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27AC" w14:textId="4BFB57FB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6D74F" w14:textId="046B1C7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176A31" w:rsidRPr="00E372F4" w14:paraId="62551FC4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8867F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Higher + shorter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C766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079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1D7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E8657" w14:textId="1C2ECFE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48EF9" w14:textId="4AE9A06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DB85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42F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4CC2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8279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B3A2" w14:textId="7FBAD1E6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1749" w14:textId="3D135FE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CFF4B" w14:textId="2B5260B5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ACDCB" w14:textId="1254C00C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5ADA7" w14:textId="585839FD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AF65" w14:textId="4BB59080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735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56B5" w14:textId="0F75666E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176A31" w:rsidRPr="00E372F4" w14:paraId="456ABB11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07D03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Lower + longer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E1FC" w14:textId="25E73AF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712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326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3A3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4FF3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BEA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755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05E2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9EC0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3A0A" w14:textId="32CDE7A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558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988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D11E9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118D" w14:textId="203BD36C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F3C72" w14:textId="322A981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9C4E" w14:textId="2719C3F6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53B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</w:tr>
      <w:tr w:rsidR="00176A31" w:rsidRPr="00E372F4" w14:paraId="082568F4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74821" w14:textId="77777777" w:rsidR="00E372F4" w:rsidRPr="00E372F4" w:rsidRDefault="00E372F4" w:rsidP="00176A31">
            <w:pPr>
              <w:spacing w:after="0" w:line="240" w:lineRule="auto"/>
              <w:ind w:firstLineChars="100" w:firstLine="220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Lower + shorter</w:t>
            </w:r>
          </w:p>
        </w:tc>
        <w:tc>
          <w:tcPr>
            <w:tcW w:w="7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E25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1BD1" w14:textId="227F75C8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21CD" w14:textId="0ED6431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9F7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A5E1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5AF0" w14:textId="4CD87D21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9DD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86FE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F8D1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4D538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96B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6CE5C" w14:textId="28454889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7E22" w14:textId="04FC78AE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A89C" w14:textId="64AE5492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1C60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84F17" w14:textId="0EEF4912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F263" w14:textId="0CD2FDD3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176A31" w:rsidRPr="00E372F4" w14:paraId="04DCF253" w14:textId="77777777" w:rsidTr="00176A31">
        <w:trPr>
          <w:trHeight w:val="271"/>
        </w:trPr>
        <w:tc>
          <w:tcPr>
            <w:tcW w:w="17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FFFFFF"/>
            <w:noWrap/>
            <w:vAlign w:val="center"/>
            <w:hideMark/>
          </w:tcPr>
          <w:p w14:paraId="1E3819D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Total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6943B4E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7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657FE86B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7043D4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8B039B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6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1BA308CF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5895B34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20ABE7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139029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5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33253945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5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3612D187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AFCEA22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23AED5C6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54BC1FC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465D84B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0CBA163D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59F3D1E3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center"/>
            <w:hideMark/>
          </w:tcPr>
          <w:p w14:paraId="79C7E65A" w14:textId="77777777" w:rsidR="00E372F4" w:rsidRPr="00E372F4" w:rsidRDefault="00E372F4" w:rsidP="00176A3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E372F4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1</w:t>
            </w:r>
          </w:p>
        </w:tc>
      </w:tr>
    </w:tbl>
    <w:p w14:paraId="7E1CD7AA" w14:textId="77777777" w:rsidR="00E372F4" w:rsidRPr="005603B2" w:rsidRDefault="00E372F4" w:rsidP="00597F71">
      <w:pPr>
        <w:spacing w:line="240" w:lineRule="auto"/>
        <w:rPr>
          <w:rFonts w:ascii="Times New Roman" w:hAnsi="Times New Roman" w:cs="Times New Roman"/>
          <w:sz w:val="20"/>
          <w:lang w:val="en-GB"/>
        </w:rPr>
      </w:pPr>
    </w:p>
    <w:sectPr w:rsidR="00E372F4" w:rsidRPr="005603B2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295763" w14:textId="77777777" w:rsidR="00597F71" w:rsidRDefault="00597F71" w:rsidP="00597F71">
      <w:pPr>
        <w:spacing w:after="0" w:line="240" w:lineRule="auto"/>
      </w:pPr>
      <w:r>
        <w:separator/>
      </w:r>
    </w:p>
  </w:endnote>
  <w:endnote w:type="continuationSeparator" w:id="0">
    <w:p w14:paraId="30481F40" w14:textId="77777777" w:rsidR="00597F71" w:rsidRDefault="00597F71" w:rsidP="00597F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66532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7436AB" w14:textId="301D7F6D" w:rsidR="00597F71" w:rsidRDefault="00597F7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6A3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18BD098" w14:textId="77777777" w:rsidR="00597F71" w:rsidRDefault="00597F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CFBC0A" w14:textId="77777777" w:rsidR="00597F71" w:rsidRDefault="00597F71" w:rsidP="00597F71">
      <w:pPr>
        <w:spacing w:after="0" w:line="240" w:lineRule="auto"/>
      </w:pPr>
      <w:r>
        <w:separator/>
      </w:r>
    </w:p>
  </w:footnote>
  <w:footnote w:type="continuationSeparator" w:id="0">
    <w:p w14:paraId="6BFBF88C" w14:textId="77777777" w:rsidR="00597F71" w:rsidRDefault="00597F71" w:rsidP="00597F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l-BE" w:vendorID="64" w:dllVersion="6" w:nlCheck="1" w:checkStyle="0"/>
  <w:activeWritingStyle w:appName="MSWord" w:lang="es-ES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nl-BE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05C"/>
    <w:rsid w:val="0007414C"/>
    <w:rsid w:val="000B7D45"/>
    <w:rsid w:val="000C5903"/>
    <w:rsid w:val="001211DA"/>
    <w:rsid w:val="0013017F"/>
    <w:rsid w:val="00176A31"/>
    <w:rsid w:val="001B55A1"/>
    <w:rsid w:val="002F5D01"/>
    <w:rsid w:val="00300ABC"/>
    <w:rsid w:val="0033041F"/>
    <w:rsid w:val="0037047A"/>
    <w:rsid w:val="003D1A1E"/>
    <w:rsid w:val="003F4BA6"/>
    <w:rsid w:val="005603B2"/>
    <w:rsid w:val="00597F71"/>
    <w:rsid w:val="00614A06"/>
    <w:rsid w:val="00616450"/>
    <w:rsid w:val="006667DE"/>
    <w:rsid w:val="006846DE"/>
    <w:rsid w:val="00694E1C"/>
    <w:rsid w:val="006B03A8"/>
    <w:rsid w:val="006F486E"/>
    <w:rsid w:val="00760634"/>
    <w:rsid w:val="00774C54"/>
    <w:rsid w:val="008248AC"/>
    <w:rsid w:val="0084645C"/>
    <w:rsid w:val="008831AE"/>
    <w:rsid w:val="00A2649F"/>
    <w:rsid w:val="00B06A07"/>
    <w:rsid w:val="00B9205C"/>
    <w:rsid w:val="00BE1199"/>
    <w:rsid w:val="00C0532B"/>
    <w:rsid w:val="00C1063B"/>
    <w:rsid w:val="00CD5A6A"/>
    <w:rsid w:val="00CE16B4"/>
    <w:rsid w:val="00D91C57"/>
    <w:rsid w:val="00DA6A66"/>
    <w:rsid w:val="00DB703B"/>
    <w:rsid w:val="00E21389"/>
    <w:rsid w:val="00E372F4"/>
    <w:rsid w:val="00EE76EF"/>
    <w:rsid w:val="00FE44FF"/>
    <w:rsid w:val="00FE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2EB55"/>
  <w15:chartTrackingRefBased/>
  <w15:docId w15:val="{E5F2A7EC-55E7-4917-A2E0-3E43BF03C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7F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76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7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EE76E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C1063B"/>
    <w:rPr>
      <w:color w:val="0563C1" w:themeColor="hyperlink"/>
      <w:u w:val="single"/>
    </w:rPr>
  </w:style>
  <w:style w:type="paragraph" w:customStyle="1" w:styleId="Heading3own">
    <w:name w:val="Heading 3_own"/>
    <w:basedOn w:val="Heading3"/>
    <w:link w:val="Heading3ownChar"/>
    <w:qFormat/>
    <w:rsid w:val="006667DE"/>
    <w:pPr>
      <w:spacing w:after="120"/>
    </w:pPr>
    <w:rPr>
      <w:rFonts w:ascii="Times New Roman" w:hAnsi="Times New Roman" w:cs="Times New Roman"/>
      <w:bCs/>
      <w:i/>
      <w:iCs/>
      <w:u w:val="single"/>
      <w:lang w:val="en-GB"/>
    </w:rPr>
  </w:style>
  <w:style w:type="character" w:customStyle="1" w:styleId="Heading3ownChar">
    <w:name w:val="Heading 3_own Char"/>
    <w:basedOn w:val="Heading3Char"/>
    <w:link w:val="Heading3own"/>
    <w:rsid w:val="006667DE"/>
    <w:rPr>
      <w:rFonts w:ascii="Times New Roman" w:eastAsiaTheme="majorEastAsia" w:hAnsi="Times New Roman" w:cs="Times New Roman"/>
      <w:bCs/>
      <w:i/>
      <w:iCs/>
      <w:color w:val="1F3763" w:themeColor="accent1" w:themeShade="7F"/>
      <w:sz w:val="24"/>
      <w:szCs w:val="24"/>
      <w:u w:val="single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7D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97F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7F71"/>
  </w:style>
  <w:style w:type="paragraph" w:styleId="Footer">
    <w:name w:val="footer"/>
    <w:basedOn w:val="Normal"/>
    <w:link w:val="FooterChar"/>
    <w:uiPriority w:val="99"/>
    <w:unhideWhenUsed/>
    <w:rsid w:val="00597F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7F71"/>
  </w:style>
  <w:style w:type="character" w:customStyle="1" w:styleId="Heading1Char">
    <w:name w:val="Heading 1 Char"/>
    <w:basedOn w:val="DefaultParagraphFont"/>
    <w:link w:val="Heading1"/>
    <w:uiPriority w:val="9"/>
    <w:rsid w:val="00597F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597F71"/>
    <w:pPr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97F71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597F71"/>
    <w:pPr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597F71"/>
    <w:pPr>
      <w:spacing w:after="100"/>
      <w:ind w:left="440"/>
    </w:pPr>
    <w:rPr>
      <w:rFonts w:eastAsiaTheme="minorEastAsia" w:cs="Times New Roman"/>
      <w:lang w:val="en-US"/>
    </w:rPr>
  </w:style>
  <w:style w:type="paragraph" w:styleId="NormalWeb">
    <w:name w:val="Normal (Web)"/>
    <w:basedOn w:val="Normal"/>
    <w:uiPriority w:val="99"/>
    <w:semiHidden/>
    <w:unhideWhenUsed/>
    <w:rsid w:val="00597F7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A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A0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00AB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211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11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11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11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11D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06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402841-06AE-4906-A105-8647185DB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7</Pages>
  <Words>1269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Surbhi Malhotra</dc:creator>
  <cp:keywords/>
  <dc:description/>
  <cp:lastModifiedBy>Juan Pablo Rodriguez Ruiz</cp:lastModifiedBy>
  <cp:revision>3</cp:revision>
  <dcterms:created xsi:type="dcterms:W3CDTF">2023-04-11T09:52:00Z</dcterms:created>
  <dcterms:modified xsi:type="dcterms:W3CDTF">2023-04-11T10:51:00Z</dcterms:modified>
</cp:coreProperties>
</file>