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9DF" w:rsidRPr="007159DF" w:rsidRDefault="007159DF" w:rsidP="007159DF">
      <w:pPr>
        <w:widowControl/>
        <w:ind w:firstLine="274"/>
        <w:jc w:val="center"/>
        <w:rPr>
          <w:rFonts w:ascii="Times New Roman" w:eastAsia="ＭＳ 明朝" w:hAnsi="Times New Roman" w:cs="Times New Roman"/>
          <w:b/>
          <w:kern w:val="0"/>
          <w:sz w:val="32"/>
          <w:szCs w:val="32"/>
        </w:rPr>
      </w:pPr>
      <w:r w:rsidRPr="007159DF">
        <w:rPr>
          <w:rFonts w:ascii="Times New Roman" w:eastAsia="ＭＳ 明朝" w:hAnsi="Times New Roman" w:cs="Times New Roman" w:hint="eastAsia"/>
          <w:b/>
          <w:kern w:val="0"/>
          <w:sz w:val="32"/>
          <w:szCs w:val="32"/>
        </w:rPr>
        <w:t>(Supplementary information)</w:t>
      </w:r>
    </w:p>
    <w:p w:rsidR="007159DF" w:rsidRPr="007159DF" w:rsidRDefault="007159DF" w:rsidP="007159DF">
      <w:pPr>
        <w:widowControl/>
        <w:spacing w:line="240" w:lineRule="exact"/>
        <w:ind w:firstLine="272"/>
        <w:jc w:val="center"/>
        <w:rPr>
          <w:rFonts w:ascii="Times New Roman" w:eastAsia="ＭＳ 明朝" w:hAnsi="Times New Roman" w:cs="Times New Roman"/>
          <w:b/>
          <w:kern w:val="0"/>
          <w:sz w:val="32"/>
          <w:szCs w:val="32"/>
        </w:rPr>
      </w:pPr>
    </w:p>
    <w:p w:rsidR="007159DF" w:rsidRPr="007159DF" w:rsidRDefault="00005D2A" w:rsidP="007159DF">
      <w:pPr>
        <w:widowControl/>
        <w:ind w:firstLine="274"/>
        <w:jc w:val="center"/>
        <w:rPr>
          <w:rFonts w:ascii="Times New Roman" w:eastAsia="SimSun" w:hAnsi="Times New Roman" w:cs="Times New Roman"/>
          <w:b/>
          <w:kern w:val="0"/>
          <w:sz w:val="24"/>
          <w:szCs w:val="24"/>
          <w:lang w:eastAsia="zh-CN"/>
        </w:rPr>
      </w:pPr>
      <w:r w:rsidRPr="00005D2A">
        <w:rPr>
          <w:rFonts w:ascii="Times New Roman" w:eastAsia="SimSun" w:hAnsi="Times New Roman" w:cs="Times New Roman"/>
          <w:b/>
          <w:kern w:val="0"/>
          <w:sz w:val="24"/>
          <w:szCs w:val="24"/>
          <w:lang w:eastAsia="zh-CN"/>
        </w:rPr>
        <w:t xml:space="preserve">Single </w:t>
      </w:r>
      <w:proofErr w:type="spellStart"/>
      <w:r w:rsidRPr="00005D2A">
        <w:rPr>
          <w:rFonts w:ascii="Times New Roman" w:eastAsia="SimSun" w:hAnsi="Times New Roman" w:cs="Times New Roman"/>
          <w:b/>
          <w:kern w:val="0"/>
          <w:sz w:val="24"/>
          <w:szCs w:val="24"/>
          <w:lang w:eastAsia="zh-CN"/>
        </w:rPr>
        <w:t>PbS</w:t>
      </w:r>
      <w:proofErr w:type="spellEnd"/>
      <w:r w:rsidRPr="00005D2A">
        <w:rPr>
          <w:rFonts w:ascii="Times New Roman" w:eastAsia="SimSun" w:hAnsi="Times New Roman" w:cs="Times New Roman"/>
          <w:b/>
          <w:kern w:val="0"/>
          <w:sz w:val="24"/>
          <w:szCs w:val="24"/>
          <w:lang w:eastAsia="zh-CN"/>
        </w:rPr>
        <w:t xml:space="preserve"> colloidal quantum dot transistor</w:t>
      </w:r>
    </w:p>
    <w:p w:rsidR="007159DF" w:rsidRPr="007159DF" w:rsidRDefault="007159DF" w:rsidP="007159DF">
      <w:pPr>
        <w:widowControl/>
        <w:spacing w:line="240" w:lineRule="exact"/>
        <w:ind w:firstLine="272"/>
        <w:rPr>
          <w:rFonts w:ascii="Times New Roman" w:eastAsia="SimSun" w:hAnsi="Times New Roman" w:cs="Times New Roman"/>
          <w:kern w:val="0"/>
          <w:szCs w:val="24"/>
          <w:lang w:eastAsia="zh-CN"/>
        </w:rPr>
      </w:pPr>
    </w:p>
    <w:p w:rsidR="002262DA" w:rsidRPr="002262DA" w:rsidRDefault="002262DA" w:rsidP="002262DA">
      <w:pPr>
        <w:widowControl/>
        <w:ind w:firstLine="274"/>
        <w:jc w:val="center"/>
        <w:rPr>
          <w:rFonts w:ascii="Times New Roman" w:eastAsia="ＭＳ 明朝" w:hAnsi="Times New Roman" w:cs="Times New Roman"/>
          <w:kern w:val="0"/>
          <w:sz w:val="22"/>
        </w:rPr>
      </w:pPr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>Kenji Shibata,</w:t>
      </w:r>
      <w:proofErr w:type="gramStart"/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1,</w:t>
      </w: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†</w:t>
      </w:r>
      <w:proofErr w:type="gramEnd"/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 xml:space="preserve"> 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>Masaki</w:t>
      </w:r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 xml:space="preserve"> Y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>oshida</w:t>
      </w:r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>,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 xml:space="preserve"> 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>Kazuhiko Hirakawa,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2,3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Tomohiro Otsuka,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4,5,6,7,8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Satria </w:t>
      </w:r>
      <w:proofErr w:type="spellStart"/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>Zulkarnaen</w:t>
      </w:r>
      <w:proofErr w:type="spellEnd"/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Bisri,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9,10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and </w:t>
      </w:r>
      <w:r w:rsidRPr="002262DA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>Yoshihiro Iwasa,</w:t>
      </w:r>
      <w:r w:rsidRPr="002262DA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9,11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kern w:val="0"/>
          <w:sz w:val="22"/>
          <w:vertAlign w:val="superscript"/>
        </w:rPr>
      </w:pPr>
    </w:p>
    <w:p w:rsidR="002262DA" w:rsidRPr="002262DA" w:rsidRDefault="002262DA" w:rsidP="002262DA">
      <w:pPr>
        <w:autoSpaceDE w:val="0"/>
        <w:autoSpaceDN w:val="0"/>
        <w:adjustRightInd w:val="0"/>
        <w:ind w:right="-1"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vertAlign w:val="superscript"/>
        </w:rPr>
        <w:t>1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Department of Electrical and Electronic Engineering, Tohoku Institute of Technology, 35-1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Yagiyama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Kasumi-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cho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Taihaku-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Sendai, 982-8577,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2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Institute of Industrial Science,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 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 xml:space="preserve">University of Tokyo, 4-6-1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Komaba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Meguro-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Tokyo 153-8505, Japa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3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Institute for Nano Quantum Information Electronics,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 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 xml:space="preserve">University of Tokyo, 4-6-1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Komaba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Meguro-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Tokyo 153-8505,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4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Research Institute of Electrical Communication, Tohoku University, 2-1-1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Katahira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Aoba-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Sendai, 980-8577,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5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WPI Advanced Institute for Materials Research, Tohoku University, Sendai 980-8577,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6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Department of Electronic Engineering, Tohoku University, Aoba 6-6-05,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Aramaki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Aoba-Ku, Sendai 980-8579,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 w:hint="eastAsia"/>
          <w:kern w:val="0"/>
          <w:sz w:val="20"/>
          <w:szCs w:val="20"/>
          <w:vertAlign w:val="superscript"/>
        </w:rPr>
        <w:t>7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Center for Science and Innovation in Spintronics, Tohoku University, 2-1-1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Katahira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Aoba-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Sendai 980-8577,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8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Quantum Functional System Research Group, RIKEN Center for Emergent Matter Science, 2-1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Hirosawa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Wako, Saitama 351-0198,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9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Emergent Device Research Team, RIKEN Center for Emergent Matter Science, 2-1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Hirosawa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 Wako, Saitama 351-0198,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10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Department of Applied Physics and Chemical Engineering, Tokyo University of Agriculture and Technology, 2-24-16 Naka-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cho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Koganei-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shi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  <w:lang w:eastAsia="en-US"/>
        </w:rPr>
        <w:t>, Tokyo 184-8588, Japan</w:t>
      </w:r>
    </w:p>
    <w:p w:rsidR="002262DA" w:rsidRPr="002262DA" w:rsidRDefault="002262DA" w:rsidP="002262DA">
      <w:pPr>
        <w:widowControl/>
        <w:jc w:val="center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2262DA">
        <w:rPr>
          <w:rFonts w:ascii="Times New Roman" w:eastAsia="ＭＳ 明朝" w:hAnsi="Times New Roman" w:cs="Times New Roman"/>
          <w:kern w:val="0"/>
          <w:sz w:val="20"/>
          <w:szCs w:val="20"/>
          <w:vertAlign w:val="superscript"/>
        </w:rPr>
        <w:t>11</w:t>
      </w:r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 xml:space="preserve">Department of Applied Physics and Quantum-Phase Electronics Center, University of Tokyo, 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Hongo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Bunkyo-</w:t>
      </w:r>
      <w:proofErr w:type="spellStart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ku</w:t>
      </w:r>
      <w:proofErr w:type="spellEnd"/>
      <w:r w:rsidRPr="002262DA">
        <w:rPr>
          <w:rFonts w:ascii="Times New Roman" w:eastAsia="ＭＳ 明朝" w:hAnsi="Times New Roman" w:cs="Times New Roman"/>
          <w:i/>
          <w:kern w:val="0"/>
          <w:sz w:val="20"/>
          <w:szCs w:val="20"/>
        </w:rPr>
        <w:t>, Tokyo, 113-8656, Japan</w:t>
      </w:r>
    </w:p>
    <w:p w:rsidR="007159DF" w:rsidRPr="007159DF" w:rsidRDefault="007159DF" w:rsidP="007159DF">
      <w:pPr>
        <w:widowControl/>
        <w:autoSpaceDE w:val="0"/>
        <w:autoSpaceDN w:val="0"/>
        <w:adjustRightInd w:val="0"/>
        <w:ind w:right="-1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7159DF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____________________</w:t>
      </w:r>
    </w:p>
    <w:p w:rsidR="007159DF" w:rsidRPr="007159DF" w:rsidRDefault="007159DF" w:rsidP="007159DF">
      <w:pPr>
        <w:widowControl/>
        <w:autoSpaceDE w:val="0"/>
        <w:autoSpaceDN w:val="0"/>
        <w:adjustRightInd w:val="0"/>
        <w:ind w:right="-1"/>
        <w:jc w:val="left"/>
        <w:rPr>
          <w:rFonts w:ascii="Times New Roman" w:eastAsia="ＭＳ 明朝" w:hAnsi="Times New Roman" w:cs="Times New Roman"/>
          <w:b/>
          <w:kern w:val="0"/>
          <w:sz w:val="20"/>
          <w:szCs w:val="20"/>
        </w:rPr>
      </w:pPr>
      <w:r w:rsidRPr="007159DF">
        <w:rPr>
          <w:rFonts w:ascii="Times New Roman" w:eastAsia="ＭＳ 明朝" w:hAnsi="Times New Roman" w:cs="Times New Roman"/>
          <w:kern w:val="0"/>
          <w:sz w:val="20"/>
          <w:szCs w:val="20"/>
        </w:rPr>
        <w:t>†</w:t>
      </w:r>
      <w:r w:rsidRPr="007159DF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 xml:space="preserve">Electronic address: </w:t>
      </w:r>
      <w:hyperlink r:id="rId6" w:history="1">
        <w:r w:rsidRPr="007159DF">
          <w:rPr>
            <w:rFonts w:ascii="Times New Roman" w:eastAsia="ＭＳ 明朝" w:hAnsi="Times New Roman" w:cs="Times New Roman"/>
            <w:kern w:val="0"/>
            <w:sz w:val="20"/>
            <w:szCs w:val="20"/>
            <w:u w:val="single"/>
          </w:rPr>
          <w:t>kshibata@tohtech.ac.jp</w:t>
        </w:r>
      </w:hyperlink>
    </w:p>
    <w:p w:rsidR="007159DF" w:rsidRPr="007159DF" w:rsidRDefault="007159DF" w:rsidP="007159DF"/>
    <w:p w:rsidR="007159DF" w:rsidRPr="007159DF" w:rsidRDefault="007159DF" w:rsidP="007159DF">
      <w:r w:rsidRPr="007159DF">
        <w:rPr>
          <w:noProof/>
        </w:rPr>
        <w:drawing>
          <wp:anchor distT="0" distB="0" distL="114300" distR="114300" simplePos="0" relativeHeight="251659264" behindDoc="0" locked="0" layoutInCell="1" allowOverlap="1" wp14:anchorId="7DC5D9C6" wp14:editId="2A408AB9">
            <wp:simplePos x="0" y="0"/>
            <wp:positionH relativeFrom="margin">
              <wp:align>center</wp:align>
            </wp:positionH>
            <wp:positionV relativeFrom="paragraph">
              <wp:posOffset>318458</wp:posOffset>
            </wp:positionV>
            <wp:extent cx="5298440" cy="3032760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440" cy="303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>Supplementary Figure S1: Low-temperature transport properties for samples D and E.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 xml:space="preserve">Coulomb stability diagrams obtained for </w:t>
      </w:r>
      <w:r w:rsidRPr="007159DF">
        <w:rPr>
          <w:rFonts w:ascii="Times New Roman" w:hAnsi="Times New Roman" w:cs="Times New Roman" w:hint="eastAsia"/>
        </w:rPr>
        <w:t>s</w:t>
      </w:r>
      <w:r w:rsidRPr="007159DF">
        <w:rPr>
          <w:rFonts w:ascii="Times New Roman" w:hAnsi="Times New Roman" w:cs="Times New Roman"/>
        </w:rPr>
        <w:t xml:space="preserve">amples (a) D with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4.8 nm and (b) E with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8.7 nm. The number of confined electrons in the CQD is shown in each figure. The dashed lines are guides for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>eyes.</w:t>
      </w:r>
    </w:p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>
      <w:r w:rsidRPr="007159DF">
        <w:rPr>
          <w:noProof/>
        </w:rPr>
        <w:drawing>
          <wp:anchor distT="0" distB="0" distL="114300" distR="114300" simplePos="0" relativeHeight="251666432" behindDoc="0" locked="0" layoutInCell="1" allowOverlap="1" wp14:anchorId="0916B68C" wp14:editId="4765DC72">
            <wp:simplePos x="0" y="0"/>
            <wp:positionH relativeFrom="margin">
              <wp:posOffset>121000</wp:posOffset>
            </wp:positionH>
            <wp:positionV relativeFrom="paragraph">
              <wp:posOffset>59150</wp:posOffset>
            </wp:positionV>
            <wp:extent cx="5819845" cy="5459104"/>
            <wp:effectExtent l="0" t="0" r="9525" b="0"/>
            <wp:wrapNone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845" cy="5459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/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>Supplementary Figure S2: Detailed analysis of the excited states in sample A.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 xml:space="preserve">(a) Coulomb stability diagram obtained for </w:t>
      </w:r>
      <w:r w:rsidRPr="007159DF">
        <w:rPr>
          <w:rFonts w:ascii="Times New Roman" w:eastAsia="游明朝" w:hAnsi="Times New Roman" w:cs="Times New Roman"/>
        </w:rPr>
        <w:t>sample</w:t>
      </w:r>
      <w:r w:rsidRPr="007159DF">
        <w:rPr>
          <w:rFonts w:ascii="Times New Roman" w:hAnsi="Times New Roman" w:cs="Times New Roman"/>
        </w:rPr>
        <w:t xml:space="preserve"> A. The positions of the excited-state lines are indicated by orange arrows with assigned numbers 1, 2, 3, and 4, which correspond to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),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>+</w:t>
      </w:r>
      <w:proofErr w:type="gramStart"/>
      <w:r w:rsidRPr="007159DF">
        <w:rPr>
          <w:rFonts w:ascii="Times New Roman" w:hAnsi="Times New Roman" w:cs="Times New Roman"/>
        </w:rPr>
        <w:t>1)</w:t>
      </w:r>
      <w:r w:rsidRPr="007159DF">
        <w:rPr>
          <w:rFonts w:ascii="Times New Roman" w:hAnsi="Times New Roman" w:cs="Times New Roman"/>
          <w:vertAlign w:val="subscript"/>
        </w:rPr>
        <w:t>low</w:t>
      </w:r>
      <w:proofErr w:type="gramEnd"/>
      <w:r w:rsidRPr="007159DF">
        <w:rPr>
          <w:rFonts w:ascii="Times New Roman" w:hAnsi="Times New Roman" w:cs="Times New Roman"/>
        </w:rPr>
        <w:t xml:space="preserve">,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>+1)</w:t>
      </w:r>
      <w:r w:rsidRPr="007159DF">
        <w:rPr>
          <w:rFonts w:ascii="Times New Roman" w:hAnsi="Times New Roman" w:cs="Times New Roman"/>
          <w:vertAlign w:val="subscript"/>
        </w:rPr>
        <w:t>high</w:t>
      </w:r>
      <w:r w:rsidRPr="007159DF">
        <w:rPr>
          <w:rFonts w:ascii="Times New Roman" w:hAnsi="Times New Roman" w:cs="Times New Roman"/>
        </w:rPr>
        <w:t xml:space="preserve">, and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+2) in the main text, respectively. (b) Schematic illustrations of the band diagrams at </w:t>
      </w:r>
      <w:r w:rsidRPr="007159DF">
        <w:rPr>
          <w:rFonts w:ascii="Times New Roman" w:eastAsia="游明朝" w:hAnsi="Times New Roman" w:cs="Times New Roman"/>
        </w:rPr>
        <w:t>positions</w:t>
      </w:r>
      <w:r w:rsidRPr="007159DF">
        <w:rPr>
          <w:rFonts w:ascii="Times New Roman" w:hAnsi="Times New Roman" w:cs="Times New Roman"/>
        </w:rPr>
        <w:t xml:space="preserve"> A (upper left), B (upper right), A’ (lower left), and B’</w:t>
      </w:r>
      <w:r w:rsidRPr="007159DF">
        <w:rPr>
          <w:rFonts w:ascii="Times New Roman" w:eastAsia="游明朝" w:hAnsi="Times New Roman" w:cs="Times New Roman"/>
        </w:rPr>
        <w:t xml:space="preserve"> </w:t>
      </w:r>
      <w:r w:rsidRPr="007159DF">
        <w:rPr>
          <w:rFonts w:ascii="Times New Roman" w:hAnsi="Times New Roman" w:cs="Times New Roman"/>
        </w:rPr>
        <w:t xml:space="preserve">(lower right) in (a), where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>+1) is the electrochemical potential for adding the 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>+1)-</w:t>
      </w:r>
      <w:proofErr w:type="spellStart"/>
      <w:r w:rsidRPr="007159DF">
        <w:rPr>
          <w:rFonts w:ascii="Times New Roman" w:hAnsi="Times New Roman" w:cs="Times New Roman"/>
        </w:rPr>
        <w:t>th</w:t>
      </w:r>
      <w:proofErr w:type="spellEnd"/>
      <w:r w:rsidRPr="007159DF">
        <w:rPr>
          <w:rFonts w:ascii="Times New Roman" w:hAnsi="Times New Roman" w:cs="Times New Roman"/>
        </w:rPr>
        <w:t xml:space="preserve"> electron.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) is the ground- to excited-state energy </w:t>
      </w:r>
      <w:r w:rsidRPr="007159DF">
        <w:rPr>
          <w:rFonts w:ascii="Times New Roman" w:eastAsia="游明朝" w:hAnsi="Times New Roman" w:cs="Times New Roman"/>
        </w:rPr>
        <w:t>separation</w:t>
      </w:r>
      <w:r w:rsidRPr="007159DF">
        <w:rPr>
          <w:rFonts w:ascii="Times New Roman" w:hAnsi="Times New Roman" w:cs="Times New Roman"/>
        </w:rPr>
        <w:t xml:space="preserve"> for 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 electrons. </w:t>
      </w:r>
      <w:r w:rsidRPr="007159DF">
        <w:rPr>
          <w:rFonts w:ascii="Times New Roman" w:eastAsia="游明朝" w:hAnsi="Times New Roman" w:cs="Times New Roman"/>
        </w:rPr>
        <w:t>The dashed</w:t>
      </w:r>
      <w:r w:rsidRPr="007159DF">
        <w:rPr>
          <w:rFonts w:ascii="Times New Roman" w:hAnsi="Times New Roman" w:cs="Times New Roman"/>
        </w:rPr>
        <w:t xml:space="preserve"> line indicates</w:t>
      </w:r>
      <w:r w:rsidRPr="007159DF">
        <w:rPr>
          <w:rFonts w:ascii="Times New Roman" w:eastAsia="游明朝" w:hAnsi="Times New Roman" w:cs="Times New Roman"/>
        </w:rPr>
        <w:t xml:space="preserve"> the</w:t>
      </w:r>
      <w:r w:rsidRPr="007159DF">
        <w:rPr>
          <w:rFonts w:ascii="Times New Roman" w:hAnsi="Times New Roman" w:cs="Times New Roman"/>
        </w:rPr>
        <w:t xml:space="preserve"> electrochemical potential due to the excited state of </w:t>
      </w:r>
      <w:r w:rsidRPr="007159DF">
        <w:rPr>
          <w:rFonts w:ascii="Times New Roman" w:hAnsi="Times New Roman" w:cs="Times New Roman"/>
          <w:i/>
        </w:rPr>
        <w:t xml:space="preserve">N </w:t>
      </w:r>
      <w:r w:rsidRPr="007159DF">
        <w:rPr>
          <w:rFonts w:ascii="Times New Roman" w:hAnsi="Times New Roman" w:cs="Times New Roman"/>
        </w:rPr>
        <w:t xml:space="preserve">electrons. At positions B and B’, electrochemical potentials in the CQD are pushed up by the electric field from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and enter the bias window with an increase in</w:t>
      </w:r>
      <w:r w:rsidRPr="007159DF">
        <w:rPr>
          <w:rFonts w:ascii="Times New Roman" w:hAnsi="Times New Roman" w:cs="Times New Roman" w:hint="eastAsia"/>
        </w:rPr>
        <w:t xml:space="preserve"> </w:t>
      </w:r>
      <w:r w:rsidRPr="007159DF">
        <w:rPr>
          <w:rFonts w:ascii="Times New Roman" w:hAnsi="Times New Roman" w:cs="Times New Roman"/>
        </w:rPr>
        <w:t xml:space="preserve">the negative </w:t>
      </w:r>
      <w:r w:rsidRPr="007159DF">
        <w:rPr>
          <w:rFonts w:ascii="Times New Roman" w:hAnsi="Times New Roman" w:cs="Times New Roman"/>
          <w:i/>
        </w:rPr>
        <w:lastRenderedPageBreak/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, </w:t>
      </w:r>
      <w:r w:rsidRPr="007159DF">
        <w:rPr>
          <w:rFonts w:ascii="Times New Roman" w:eastAsia="游明朝" w:hAnsi="Times New Roman" w:cs="Times New Roman"/>
        </w:rPr>
        <w:t>resulting</w:t>
      </w:r>
      <w:r w:rsidRPr="007159DF">
        <w:rPr>
          <w:rFonts w:ascii="Times New Roman" w:hAnsi="Times New Roman" w:cs="Times New Roman"/>
        </w:rPr>
        <w:t xml:space="preserve"> in electrons being able to be transported through either the ground state of 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+1) electrons (solid line) or the excited state of 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 electrons (dashed line). (c) Differential conductance as a function of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along the solid line AB (black curve,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-5 V) and the dashed line A’B’ (red curve,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15 V). Data for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15 V </w:t>
      </w:r>
      <w:r w:rsidRPr="007159DF">
        <w:rPr>
          <w:rFonts w:ascii="Times New Roman" w:eastAsia="游明朝" w:hAnsi="Times New Roman" w:cs="Times New Roman"/>
        </w:rPr>
        <w:t>are</w:t>
      </w:r>
      <w:r w:rsidRPr="007159DF">
        <w:rPr>
          <w:rFonts w:ascii="Times New Roman" w:hAnsi="Times New Roman" w:cs="Times New Roman"/>
        </w:rPr>
        <w:t xml:space="preserve"> shifted by 0.14 V in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  <w:i/>
        </w:rPr>
        <w:t>x</w:t>
      </w:r>
      <w:r w:rsidRPr="007159DF">
        <w:rPr>
          <w:rFonts w:ascii="Times New Roman" w:hAnsi="Times New Roman" w:cs="Times New Roman"/>
        </w:rPr>
        <w:t>-direction so that the conductance peaks determined by the boundary of the 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>+1) Coulomb diamond match for comparison of the voltage spacing between the boundary of the 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+1) Coulomb diamond and the excited-state line of the 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 electrons. The voltage difference between the boundary of the 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+1) Coulomb diamond and the excited-state line of the 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 electrons shows </w:t>
      </w:r>
      <w:r w:rsidRPr="007159DF">
        <w:rPr>
          <w:rFonts w:ascii="Times New Roman" w:eastAsia="游明朝" w:hAnsi="Times New Roman" w:cs="Times New Roman"/>
        </w:rPr>
        <w:t xml:space="preserve">a </w:t>
      </w:r>
      <w:r w:rsidRPr="007159DF">
        <w:rPr>
          <w:rFonts w:ascii="Times New Roman" w:hAnsi="Times New Roman" w:cs="Times New Roman"/>
        </w:rPr>
        <w:t xml:space="preserve">significant difference between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>two data</w:t>
      </w:r>
      <w:r w:rsidRPr="007159DF">
        <w:rPr>
          <w:rFonts w:ascii="Times New Roman" w:eastAsia="游明朝" w:hAnsi="Times New Roman" w:cs="Times New Roman"/>
        </w:rPr>
        <w:t>sets</w:t>
      </w:r>
      <w:r w:rsidRPr="007159DF">
        <w:rPr>
          <w:rFonts w:ascii="Times New Roman" w:hAnsi="Times New Roman" w:cs="Times New Roman"/>
        </w:rPr>
        <w:t>, indicating</w:t>
      </w:r>
      <w:r w:rsidRPr="007159DF">
        <w:rPr>
          <w:rFonts w:ascii="Times New Roman" w:eastAsia="游明朝" w:hAnsi="Times New Roman" w:cs="Times New Roman"/>
        </w:rPr>
        <w:t xml:space="preserve"> that</w:t>
      </w:r>
      <w:r w:rsidRPr="007159DF">
        <w:rPr>
          <w:rFonts w:ascii="Times New Roman" w:hAnsi="Times New Roman" w:cs="Times New Roman"/>
        </w:rPr>
        <w:t xml:space="preserve"> </w:t>
      </w:r>
      <w:r w:rsidRPr="007159DF">
        <w:rPr>
          <w:rFonts w:ascii="Symbol" w:hAnsi="Symbol" w:cs="Times New Roman"/>
        </w:rPr>
        <w:sym w:font="Symbol" w:char="F044"/>
      </w:r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(</w:t>
      </w:r>
      <w:r w:rsidRPr="007159DF">
        <w:rPr>
          <w:rFonts w:ascii="Times New Roman" w:hAnsi="Times New Roman" w:cs="Times New Roman"/>
          <w:i/>
        </w:rPr>
        <w:t>N</w:t>
      </w:r>
      <w:r w:rsidRPr="007159DF">
        <w:rPr>
          <w:rFonts w:ascii="Times New Roman" w:hAnsi="Times New Roman" w:cs="Times New Roman"/>
        </w:rPr>
        <w:t xml:space="preserve">) increases by ~50 </w:t>
      </w:r>
      <w:proofErr w:type="spellStart"/>
      <w:r w:rsidRPr="007159DF">
        <w:rPr>
          <w:rFonts w:ascii="Times New Roman" w:hAnsi="Times New Roman" w:cs="Times New Roman"/>
        </w:rPr>
        <w:t>meV</w:t>
      </w:r>
      <w:proofErr w:type="spellEnd"/>
      <w:r w:rsidRPr="007159DF">
        <w:rPr>
          <w:rFonts w:ascii="Times New Roman" w:hAnsi="Times New Roman" w:cs="Times New Roman"/>
        </w:rPr>
        <w:t xml:space="preserve"> with the increase </w:t>
      </w:r>
      <w:r w:rsidRPr="007159DF">
        <w:rPr>
          <w:rFonts w:ascii="Times New Roman" w:eastAsia="游明朝" w:hAnsi="Times New Roman" w:cs="Times New Roman"/>
        </w:rPr>
        <w:t>in</w:t>
      </w:r>
      <w:r w:rsidRPr="007159DF">
        <w:rPr>
          <w:rFonts w:ascii="Times New Roman" w:hAnsi="Times New Roman" w:cs="Times New Roman"/>
        </w:rPr>
        <w:t xml:space="preserve">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from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-5 V to 15 V. Such behavior is not observed in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 xml:space="preserve">positive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region, probably because of the asymmetric tunnel coupling in this sample; the tunnel coupling to the source is strong, whereas that to the drain is weak, leading to the polarity</w:t>
      </w:r>
      <w:r w:rsidRPr="007159DF">
        <w:rPr>
          <w:rFonts w:ascii="Times New Roman" w:eastAsia="游明朝" w:hAnsi="Times New Roman" w:cs="Times New Roman"/>
        </w:rPr>
        <w:t>-</w:t>
      </w:r>
      <w:r w:rsidRPr="007159DF">
        <w:rPr>
          <w:rFonts w:ascii="Times New Roman" w:hAnsi="Times New Roman" w:cs="Times New Roman"/>
        </w:rPr>
        <w:t>dependent appearance of the anomaly.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29C6D51C" wp14:editId="4BEA68E4">
            <wp:simplePos x="0" y="0"/>
            <wp:positionH relativeFrom="margin">
              <wp:align>center</wp:align>
            </wp:positionH>
            <wp:positionV relativeFrom="paragraph">
              <wp:posOffset>83118</wp:posOffset>
            </wp:positionV>
            <wp:extent cx="5553998" cy="2800350"/>
            <wp:effectExtent l="0" t="0" r="889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998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>Supplementary Figure S3: Kondo effect in sample G (</w:t>
      </w:r>
      <w:r w:rsidRPr="007159DF">
        <w:rPr>
          <w:rFonts w:ascii="Times New Roman" w:hAnsi="Times New Roman" w:cs="Times New Roman"/>
          <w:b/>
          <w:i/>
        </w:rPr>
        <w:t>d</w:t>
      </w:r>
      <w:r w:rsidRPr="007159DF">
        <w:rPr>
          <w:rFonts w:ascii="Times New Roman" w:hAnsi="Times New Roman" w:cs="Times New Roman"/>
          <w:b/>
        </w:rPr>
        <w:t xml:space="preserve"> ~ 4.8 nm) measured at </w:t>
      </w:r>
      <w:r w:rsidRPr="007159DF">
        <w:rPr>
          <w:rFonts w:ascii="Times New Roman" w:hAnsi="Times New Roman" w:cs="Times New Roman"/>
          <w:b/>
          <w:i/>
        </w:rPr>
        <w:t>T</w:t>
      </w:r>
      <w:r w:rsidRPr="007159DF">
        <w:rPr>
          <w:rFonts w:ascii="Times New Roman" w:hAnsi="Times New Roman" w:cs="Times New Roman"/>
          <w:b/>
        </w:rPr>
        <w:t xml:space="preserve"> = 4 K.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 xml:space="preserve">(a) </w:t>
      </w:r>
      <w:r w:rsidRPr="007159DF">
        <w:rPr>
          <w:rFonts w:ascii="Times New Roman" w:hAnsi="Times New Roman" w:cs="Times New Roman"/>
          <w:i/>
        </w:rPr>
        <w:t>I</w:t>
      </w:r>
      <w:r w:rsidRPr="007159DF">
        <w:rPr>
          <w:rFonts w:ascii="Times New Roman" w:hAnsi="Times New Roman" w:cs="Times New Roman"/>
        </w:rPr>
        <w:t>-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</w:rPr>
        <w:t xml:space="preserve"> curves plotted for various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>. The conductance is almost one</w:t>
      </w:r>
      <w:r w:rsidRPr="007159DF">
        <w:rPr>
          <w:rFonts w:ascii="Times New Roman" w:eastAsia="游明朝" w:hAnsi="Times New Roman" w:cs="Times New Roman"/>
        </w:rPr>
        <w:t xml:space="preserve"> </w:t>
      </w:r>
      <w:r w:rsidRPr="007159DF">
        <w:rPr>
          <w:rFonts w:ascii="Times New Roman" w:hAnsi="Times New Roman" w:cs="Times New Roman"/>
        </w:rPr>
        <w:t xml:space="preserve">order </w:t>
      </w:r>
      <w:r w:rsidRPr="007159DF">
        <w:rPr>
          <w:rFonts w:ascii="Times New Roman" w:eastAsia="游明朝" w:hAnsi="Times New Roman" w:cs="Times New Roman"/>
        </w:rPr>
        <w:t xml:space="preserve">of magnitude </w:t>
      </w:r>
      <w:r w:rsidRPr="007159DF">
        <w:rPr>
          <w:rFonts w:ascii="Times New Roman" w:hAnsi="Times New Roman" w:cs="Times New Roman"/>
        </w:rPr>
        <w:t xml:space="preserve">higher than that in sample F. (b) Coulomb stability diagram of sample G. </w:t>
      </w:r>
      <w:r w:rsidRPr="007159DF">
        <w:rPr>
          <w:rFonts w:ascii="Times New Roman" w:eastAsia="游明朝" w:hAnsi="Times New Roman" w:cs="Times New Roman"/>
        </w:rPr>
        <w:t>A clear</w:t>
      </w:r>
      <w:r w:rsidRPr="007159DF">
        <w:rPr>
          <w:rFonts w:ascii="Times New Roman" w:hAnsi="Times New Roman" w:cs="Times New Roman"/>
        </w:rPr>
        <w:t xml:space="preserve"> Kondo peak is observed at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= 0 V. (c) Differential conductance as a function of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(i.e., Kondo peak) plotted for various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. The width of the Kondo peak, </w:t>
      </w:r>
      <w:r w:rsidRPr="007159DF">
        <w:rPr>
          <w:rFonts w:ascii="Times New Roman" w:hAnsi="Times New Roman" w:cs="Times New Roman"/>
          <w:i/>
        </w:rPr>
        <w:t>w</w:t>
      </w:r>
      <w:r w:rsidRPr="007159DF">
        <w:rPr>
          <w:rFonts w:ascii="Times New Roman" w:hAnsi="Times New Roman" w:cs="Times New Roman"/>
        </w:rPr>
        <w:t xml:space="preserve">, depends on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; </w:t>
      </w:r>
      <w:r w:rsidRPr="007159DF">
        <w:rPr>
          <w:rFonts w:ascii="Times New Roman" w:hAnsi="Times New Roman" w:cs="Times New Roman"/>
          <w:i/>
        </w:rPr>
        <w:t>w</w:t>
      </w:r>
      <w:r w:rsidRPr="007159DF">
        <w:rPr>
          <w:rFonts w:ascii="Times New Roman" w:hAnsi="Times New Roman" w:cs="Times New Roman"/>
        </w:rPr>
        <w:t xml:space="preserve"> becomes larger when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approaches the charge degeneracy point. Such behavior is known to be typical of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 xml:space="preserve">Kondo effect in quantum dot </w:t>
      </w:r>
      <w:r w:rsidRPr="007159DF">
        <w:rPr>
          <w:rFonts w:ascii="Times New Roman" w:eastAsia="游明朝" w:hAnsi="Times New Roman" w:cs="Times New Roman"/>
        </w:rPr>
        <w:t>systems</w:t>
      </w:r>
      <w:r w:rsidRPr="007159DF">
        <w:rPr>
          <w:rFonts w:ascii="Times New Roman" w:hAnsi="Times New Roman" w:cs="Times New Roman"/>
        </w:rPr>
        <w:t xml:space="preserve">. From the width of the Kondo peak,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 xml:space="preserve">Kondo temperature </w:t>
      </w:r>
      <w:r w:rsidRPr="007159DF">
        <w:rPr>
          <w:rFonts w:ascii="Times New Roman" w:hAnsi="Times New Roman" w:cs="Times New Roman"/>
          <w:i/>
        </w:rPr>
        <w:t>T</w:t>
      </w:r>
      <w:r w:rsidRPr="007159DF">
        <w:rPr>
          <w:rFonts w:ascii="Times New Roman" w:hAnsi="Times New Roman" w:cs="Times New Roman"/>
          <w:vertAlign w:val="subscript"/>
        </w:rPr>
        <w:t>K</w:t>
      </w:r>
      <w:r w:rsidRPr="007159DF">
        <w:rPr>
          <w:rFonts w:ascii="Times New Roman" w:hAnsi="Times New Roman" w:cs="Times New Roman"/>
        </w:rPr>
        <w:t xml:space="preserve"> is estimated to be </w:t>
      </w:r>
      <w:r w:rsidRPr="007159DF">
        <w:rPr>
          <w:rFonts w:ascii="Times New Roman" w:hAnsi="Times New Roman" w:cs="Times New Roman"/>
          <w:i/>
        </w:rPr>
        <w:t>T</w:t>
      </w:r>
      <w:r w:rsidRPr="007159DF">
        <w:rPr>
          <w:rFonts w:ascii="Times New Roman" w:hAnsi="Times New Roman" w:cs="Times New Roman"/>
          <w:vertAlign w:val="subscript"/>
        </w:rPr>
        <w:t xml:space="preserve">K </w:t>
      </w:r>
      <w:r w:rsidRPr="007159DF">
        <w:rPr>
          <w:rFonts w:ascii="Times New Roman" w:hAnsi="Times New Roman" w:cs="Times New Roman"/>
        </w:rPr>
        <w:t xml:space="preserve">~50 K at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10 V</w:t>
      </w:r>
      <w:r w:rsidRPr="007159DF">
        <w:rPr>
          <w:rFonts w:ascii="Times New Roman" w:eastAsia="游明朝" w:hAnsi="Times New Roman" w:cs="Times New Roman"/>
        </w:rPr>
        <w:t xml:space="preserve"> and</w:t>
      </w:r>
      <w:r w:rsidRPr="007159DF">
        <w:rPr>
          <w:rFonts w:ascii="Times New Roman" w:hAnsi="Times New Roman" w:cs="Times New Roman"/>
        </w:rPr>
        <w:t xml:space="preserve"> </w:t>
      </w:r>
      <w:r w:rsidRPr="007159DF">
        <w:rPr>
          <w:rFonts w:ascii="Times New Roman" w:hAnsi="Times New Roman" w:cs="Times New Roman"/>
          <w:i/>
        </w:rPr>
        <w:t>T</w:t>
      </w:r>
      <w:r w:rsidRPr="007159DF">
        <w:rPr>
          <w:rFonts w:ascii="Times New Roman" w:hAnsi="Times New Roman" w:cs="Times New Roman"/>
          <w:vertAlign w:val="subscript"/>
        </w:rPr>
        <w:t xml:space="preserve">K </w:t>
      </w:r>
      <w:r w:rsidRPr="007159DF">
        <w:rPr>
          <w:rFonts w:ascii="Times New Roman" w:hAnsi="Times New Roman" w:cs="Times New Roman"/>
        </w:rPr>
        <w:t xml:space="preserve">~80 K at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 = 40 V. (d) Schematic band diagram of a quantum dot with one spin-degenerate energy level </w:t>
      </w:r>
      <w:r w:rsidRPr="007159DF">
        <w:rPr>
          <w:rFonts w:ascii="Symbol" w:hAnsi="Symbol" w:cs="Times New Roman"/>
        </w:rPr>
        <w:sym w:font="Symbol" w:char="F065"/>
      </w:r>
      <w:r w:rsidRPr="007159DF">
        <w:rPr>
          <w:rFonts w:ascii="Times New Roman" w:hAnsi="Times New Roman" w:cs="Times New Roman"/>
          <w:vertAlign w:val="subscript"/>
        </w:rPr>
        <w:t>0</w:t>
      </w:r>
      <w:r w:rsidRPr="007159DF">
        <w:rPr>
          <w:rFonts w:ascii="Times New Roman" w:hAnsi="Times New Roman" w:cs="Times New Roman"/>
        </w:rPr>
        <w:t xml:space="preserve"> occupied by a single electron, where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Times New Roman" w:hAnsi="Times New Roman" w:cs="Times New Roman"/>
          <w:vertAlign w:val="subscript"/>
        </w:rPr>
        <w:t>D</w:t>
      </w:r>
      <w:r w:rsidRPr="007159DF">
        <w:rPr>
          <w:rFonts w:ascii="Times New Roman" w:hAnsi="Times New Roman" w:cs="Times New Roman"/>
        </w:rPr>
        <w:t xml:space="preserve"> and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Times New Roman" w:hAnsi="Times New Roman" w:cs="Times New Roman"/>
          <w:vertAlign w:val="subscript"/>
        </w:rPr>
        <w:t>S</w:t>
      </w:r>
      <w:r w:rsidRPr="007159DF">
        <w:rPr>
          <w:rFonts w:ascii="Times New Roman" w:hAnsi="Times New Roman" w:cs="Times New Roman"/>
        </w:rPr>
        <w:t xml:space="preserve"> are the tunnel coupling energies to the drain and source electrodes, respectively. The energy states of </w:t>
      </w:r>
      <w:r w:rsidRPr="007159DF">
        <w:rPr>
          <w:rFonts w:ascii="Times New Roman" w:eastAsia="游明朝" w:hAnsi="Times New Roman" w:cs="Times New Roman"/>
        </w:rPr>
        <w:t xml:space="preserve">the </w:t>
      </w:r>
      <w:r w:rsidRPr="007159DF">
        <w:rPr>
          <w:rFonts w:ascii="Times New Roman" w:hAnsi="Times New Roman" w:cs="Times New Roman"/>
        </w:rPr>
        <w:t xml:space="preserve">source and drain electrodes are filled up to electrochemical potentials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  <w:vertAlign w:val="subscript"/>
        </w:rPr>
        <w:t>D</w:t>
      </w:r>
      <w:r w:rsidRPr="007159DF">
        <w:rPr>
          <w:rFonts w:ascii="Times New Roman" w:hAnsi="Times New Roman" w:cs="Times New Roman"/>
        </w:rPr>
        <w:t xml:space="preserve"> and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  <w:vertAlign w:val="subscript"/>
        </w:rPr>
        <w:t>S</w:t>
      </w:r>
      <w:r w:rsidRPr="007159DF">
        <w:rPr>
          <w:rFonts w:ascii="Times New Roman" w:hAnsi="Times New Roman" w:cs="Times New Roman"/>
        </w:rPr>
        <w:t xml:space="preserve">, respectively. The tunnel coupling energy,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Symbol" w:hAnsi="Symbol" w:cs="Times New Roman"/>
        </w:rPr>
        <w:sym w:font="Symbol" w:char="F02C"/>
      </w:r>
      <w:r w:rsidRPr="007159DF">
        <w:rPr>
          <w:rFonts w:ascii="Times New Roman" w:hAnsi="Times New Roman" w:cs="Times New Roman"/>
        </w:rPr>
        <w:t xml:space="preserve"> between the quantum dot and the source-drain electrodes is calculated by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Times New Roman" w:hAnsi="Times New Roman" w:cs="Times New Roman"/>
        </w:rPr>
        <w:t xml:space="preserve"> =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Times New Roman" w:hAnsi="Times New Roman" w:cs="Times New Roman"/>
          <w:vertAlign w:val="subscript"/>
        </w:rPr>
        <w:t>D</w:t>
      </w:r>
      <w:r w:rsidRPr="007159DF">
        <w:rPr>
          <w:rFonts w:ascii="Times New Roman" w:hAnsi="Times New Roman" w:cs="Times New Roman"/>
        </w:rPr>
        <w:t xml:space="preserve"> + </w:t>
      </w:r>
      <w:r w:rsidRPr="007159DF">
        <w:rPr>
          <w:rFonts w:ascii="Symbol" w:hAnsi="Symbol" w:cs="Times New Roman"/>
        </w:rPr>
        <w:sym w:font="Symbol" w:char="F047"/>
      </w:r>
      <w:r w:rsidRPr="007159DF">
        <w:rPr>
          <w:rFonts w:ascii="Times New Roman" w:hAnsi="Times New Roman" w:cs="Times New Roman"/>
          <w:vertAlign w:val="subscript"/>
        </w:rPr>
        <w:t>S</w:t>
      </w:r>
      <w:r w:rsidRPr="007159DF">
        <w:rPr>
          <w:rFonts w:ascii="Times New Roman" w:hAnsi="Times New Roman" w:cs="Times New Roman"/>
        </w:rPr>
        <w:t xml:space="preserve">, while the electrochemical potential of the source-drain electrodes at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 xml:space="preserve"> = 0 V is expressed as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  <w:vertAlign w:val="subscript"/>
        </w:rPr>
        <w:t>D</w:t>
      </w:r>
      <w:r w:rsidRPr="007159DF">
        <w:rPr>
          <w:rFonts w:ascii="Times New Roman" w:hAnsi="Times New Roman" w:cs="Times New Roman"/>
        </w:rPr>
        <w:t xml:space="preserve"> =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  <w:vertAlign w:val="subscript"/>
        </w:rPr>
        <w:t>S</w:t>
      </w:r>
      <w:r w:rsidRPr="007159DF">
        <w:rPr>
          <w:rFonts w:ascii="Times New Roman" w:hAnsi="Times New Roman" w:cs="Times New Roman"/>
        </w:rPr>
        <w:t xml:space="preserve"> = </w:t>
      </w:r>
      <w:r w:rsidRPr="007159DF">
        <w:rPr>
          <w:rFonts w:ascii="Symbol" w:hAnsi="Symbol" w:cs="Times New Roman"/>
        </w:rPr>
        <w:sym w:font="Symbol" w:char="F06D"/>
      </w:r>
      <w:r w:rsidRPr="007159DF">
        <w:rPr>
          <w:rFonts w:ascii="Times New Roman" w:hAnsi="Times New Roman" w:cs="Times New Roman"/>
        </w:rPr>
        <w:t xml:space="preserve"> in the main text.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1F20E5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AC6C4DF" wp14:editId="367B9B3E">
            <wp:simplePos x="0" y="0"/>
            <wp:positionH relativeFrom="column">
              <wp:posOffset>1171054</wp:posOffset>
            </wp:positionH>
            <wp:positionV relativeFrom="paragraph">
              <wp:posOffset>42545</wp:posOffset>
            </wp:positionV>
            <wp:extent cx="3712191" cy="3680974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191" cy="368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 xml:space="preserve">Supplementary Figure S4: Fabrication of </w:t>
      </w:r>
      <w:r w:rsidRPr="007159DF">
        <w:rPr>
          <w:rFonts w:ascii="Times New Roman" w:eastAsia="游明朝" w:hAnsi="Times New Roman" w:cs="Times New Roman"/>
          <w:b/>
        </w:rPr>
        <w:t>nanogap</w:t>
      </w:r>
      <w:r w:rsidRPr="007159DF">
        <w:rPr>
          <w:rFonts w:ascii="Times New Roman" w:hAnsi="Times New Roman" w:cs="Times New Roman"/>
          <w:b/>
        </w:rPr>
        <w:t xml:space="preserve"> source-drain electrodes by the EBJ method.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>(a) Schematic cross-sectional image (upper) and SEM image (top view) of a sample with the experimental setup for the EBJ method (lower). (b) Typical nanogap source-drain electrode formed by the EBJ method. (c) Histogram of the fabricated nanogap sizes.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3EFF79A8" wp14:editId="69EAFD97">
            <wp:simplePos x="0" y="0"/>
            <wp:positionH relativeFrom="margin">
              <wp:align>center</wp:align>
            </wp:positionH>
            <wp:positionV relativeFrom="paragraph">
              <wp:posOffset>235840</wp:posOffset>
            </wp:positionV>
            <wp:extent cx="5757882" cy="1673525"/>
            <wp:effectExtent l="0" t="0" r="0" b="317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882" cy="167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>Supplementary Figure S5: SEM images of fabricated single-</w:t>
      </w:r>
      <w:proofErr w:type="spellStart"/>
      <w:r w:rsidRPr="007159DF">
        <w:rPr>
          <w:rFonts w:ascii="Times New Roman" w:hAnsi="Times New Roman" w:cs="Times New Roman"/>
          <w:b/>
        </w:rPr>
        <w:t>PbS</w:t>
      </w:r>
      <w:proofErr w:type="spellEnd"/>
      <w:r w:rsidRPr="007159DF">
        <w:rPr>
          <w:rFonts w:ascii="Times New Roman" w:hAnsi="Times New Roman" w:cs="Times New Roman"/>
          <w:b/>
        </w:rPr>
        <w:t>-CQD transistors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>SEM images of typical single-</w:t>
      </w:r>
      <w:proofErr w:type="spellStart"/>
      <w:r w:rsidRPr="007159DF">
        <w:rPr>
          <w:rFonts w:ascii="Times New Roman" w:hAnsi="Times New Roman" w:cs="Times New Roman"/>
        </w:rPr>
        <w:t>PbS</w:t>
      </w:r>
      <w:proofErr w:type="spellEnd"/>
      <w:r w:rsidRPr="007159DF">
        <w:rPr>
          <w:rFonts w:ascii="Times New Roman" w:hAnsi="Times New Roman" w:cs="Times New Roman"/>
        </w:rPr>
        <w:t xml:space="preserve">-CQD transistors (top view) for diameter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values of (a)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= 3.6 nm, (b)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= 4.8 nm, and (c) 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= 8.7 nm.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770F88B5" wp14:editId="29FC7573">
            <wp:simplePos x="0" y="0"/>
            <wp:positionH relativeFrom="margin">
              <wp:align>center</wp:align>
            </wp:positionH>
            <wp:positionV relativeFrom="paragraph">
              <wp:posOffset>49596</wp:posOffset>
            </wp:positionV>
            <wp:extent cx="4151520" cy="5913720"/>
            <wp:effectExtent l="0" t="0" r="190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520" cy="591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 xml:space="preserve">Supplementary Figure S6: Size distribution of </w:t>
      </w:r>
      <w:proofErr w:type="spellStart"/>
      <w:r w:rsidRPr="007159DF">
        <w:rPr>
          <w:rFonts w:ascii="Times New Roman" w:hAnsi="Times New Roman" w:cs="Times New Roman"/>
          <w:b/>
        </w:rPr>
        <w:t>PbS</w:t>
      </w:r>
      <w:proofErr w:type="spellEnd"/>
      <w:r w:rsidRPr="007159DF">
        <w:rPr>
          <w:rFonts w:ascii="Times New Roman" w:hAnsi="Times New Roman" w:cs="Times New Roman"/>
          <w:b/>
        </w:rPr>
        <w:t xml:space="preserve"> CQDs.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>SEM image (left) and histogram of the diameters with the Gaussian result fitting shown as</w:t>
      </w:r>
      <w:r w:rsidRPr="007159DF">
        <w:rPr>
          <w:rFonts w:ascii="Times New Roman" w:eastAsia="游明朝" w:hAnsi="Times New Roman" w:cs="Times New Roman"/>
        </w:rPr>
        <w:t xml:space="preserve"> a</w:t>
      </w:r>
      <w:r w:rsidRPr="007159DF">
        <w:rPr>
          <w:rFonts w:ascii="Times New Roman" w:hAnsi="Times New Roman" w:cs="Times New Roman"/>
        </w:rPr>
        <w:t xml:space="preserve"> red line (right) for </w:t>
      </w:r>
      <w:r w:rsidRPr="007159DF">
        <w:rPr>
          <w:rFonts w:ascii="Times New Roman" w:eastAsia="游明朝" w:hAnsi="Times New Roman" w:cs="Times New Roman"/>
        </w:rPr>
        <w:t>oleic</w:t>
      </w:r>
      <w:r w:rsidRPr="007159DF">
        <w:rPr>
          <w:rFonts w:ascii="Times New Roman" w:hAnsi="Times New Roman" w:cs="Times New Roman"/>
        </w:rPr>
        <w:t xml:space="preserve"> acid-capped </w:t>
      </w:r>
      <w:proofErr w:type="spellStart"/>
      <w:r w:rsidRPr="007159DF">
        <w:rPr>
          <w:rFonts w:ascii="Times New Roman" w:hAnsi="Times New Roman" w:cs="Times New Roman"/>
        </w:rPr>
        <w:t>PbS</w:t>
      </w:r>
      <w:proofErr w:type="spellEnd"/>
      <w:r w:rsidRPr="007159DF">
        <w:rPr>
          <w:rFonts w:ascii="Times New Roman" w:hAnsi="Times New Roman" w:cs="Times New Roman"/>
        </w:rPr>
        <w:t xml:space="preserve"> CQDs with (a) 1100 nm peak emission (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3.6 nm), (b) 1500 nm peak emission (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4.8 nm), and (c) 2000 nm peak absorption (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8.7 nm).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5532939E" wp14:editId="1056023F">
            <wp:simplePos x="0" y="0"/>
            <wp:positionH relativeFrom="margin">
              <wp:align>center</wp:align>
            </wp:positionH>
            <wp:positionV relativeFrom="paragraph">
              <wp:posOffset>51909</wp:posOffset>
            </wp:positionV>
            <wp:extent cx="3418764" cy="3329298"/>
            <wp:effectExtent l="0" t="0" r="0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764" cy="3329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 xml:space="preserve">Supplementary Figure S7: Determination of </w:t>
      </w:r>
      <w:proofErr w:type="spellStart"/>
      <w:r w:rsidRPr="007159DF">
        <w:rPr>
          <w:rFonts w:ascii="Times New Roman" w:hAnsi="Times New Roman" w:cs="Times New Roman"/>
          <w:b/>
          <w:i/>
        </w:rPr>
        <w:t>E</w:t>
      </w:r>
      <w:r w:rsidRPr="007159DF">
        <w:rPr>
          <w:rFonts w:ascii="Times New Roman" w:hAnsi="Times New Roman" w:cs="Times New Roman"/>
          <w:b/>
          <w:vertAlign w:val="subscript"/>
        </w:rPr>
        <w:t>add</w:t>
      </w:r>
      <w:proofErr w:type="spellEnd"/>
      <w:r w:rsidRPr="007159DF">
        <w:rPr>
          <w:rFonts w:ascii="Times New Roman" w:hAnsi="Times New Roman" w:cs="Times New Roman"/>
          <w:b/>
        </w:rPr>
        <w:t xml:space="preserve"> for each Coulomb diamond.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proofErr w:type="spellStart"/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  <w:vertAlign w:val="subscript"/>
        </w:rPr>
        <w:t>add</w:t>
      </w:r>
      <w:proofErr w:type="spellEnd"/>
      <w:r w:rsidRPr="007159DF">
        <w:rPr>
          <w:rFonts w:ascii="Times New Roman" w:hAnsi="Times New Roman" w:cs="Times New Roman"/>
        </w:rPr>
        <w:t xml:space="preserve"> for each Coulomb diamond is determined by </w:t>
      </w:r>
      <w:proofErr w:type="spellStart"/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</w:rPr>
        <w:t>|</w:t>
      </w:r>
      <w:proofErr w:type="gramStart"/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proofErr w:type="spellEnd"/>
      <w:r w:rsidRPr="007159DF">
        <w:rPr>
          <w:rFonts w:ascii="Times New Roman" w:hAnsi="Times New Roman" w:cs="Times New Roman"/>
        </w:rPr>
        <w:t>(</w:t>
      </w:r>
      <w:proofErr w:type="gramEnd"/>
      <w:r w:rsidRPr="007159DF">
        <w:rPr>
          <w:rFonts w:ascii="Times New Roman" w:hAnsi="Times New Roman" w:cs="Times New Roman"/>
        </w:rPr>
        <w:t xml:space="preserve">apex)|, where </w:t>
      </w:r>
      <w:proofErr w:type="spellStart"/>
      <w:r w:rsidRPr="007159DF">
        <w:rPr>
          <w:rFonts w:ascii="Times New Roman" w:hAnsi="Times New Roman" w:cs="Times New Roman"/>
          <w:i/>
        </w:rPr>
        <w:t>e</w:t>
      </w:r>
      <w:proofErr w:type="spellEnd"/>
      <w:r w:rsidRPr="007159DF">
        <w:rPr>
          <w:rFonts w:ascii="Times New Roman" w:hAnsi="Times New Roman" w:cs="Times New Roman"/>
        </w:rPr>
        <w:t xml:space="preserve"> is the elementary charge. When |</w:t>
      </w:r>
      <w:proofErr w:type="gramStart"/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SD</w:t>
      </w:r>
      <w:r w:rsidRPr="007159DF">
        <w:rPr>
          <w:rFonts w:ascii="Times New Roman" w:hAnsi="Times New Roman" w:cs="Times New Roman"/>
        </w:rPr>
        <w:t>(</w:t>
      </w:r>
      <w:proofErr w:type="gramEnd"/>
      <w:r w:rsidRPr="007159DF">
        <w:rPr>
          <w:rFonts w:ascii="Times New Roman" w:hAnsi="Times New Roman" w:cs="Times New Roman"/>
        </w:rPr>
        <w:t xml:space="preserve">apex)| is polarity dependent, </w:t>
      </w:r>
      <w:proofErr w:type="spellStart"/>
      <w:r w:rsidRPr="007159DF">
        <w:rPr>
          <w:rFonts w:ascii="Times New Roman" w:hAnsi="Times New Roman" w:cs="Times New Roman"/>
          <w:i/>
        </w:rPr>
        <w:t>E</w:t>
      </w:r>
      <w:r w:rsidRPr="007159DF">
        <w:rPr>
          <w:rFonts w:ascii="Times New Roman" w:hAnsi="Times New Roman" w:cs="Times New Roman"/>
          <w:vertAlign w:val="subscript"/>
        </w:rPr>
        <w:t>add</w:t>
      </w:r>
      <w:proofErr w:type="spellEnd"/>
      <w:r w:rsidRPr="007159DF">
        <w:rPr>
          <w:rFonts w:ascii="Times New Roman" w:hAnsi="Times New Roman" w:cs="Times New Roman"/>
        </w:rPr>
        <w:t xml:space="preserve"> is determined as the average of the two values.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4EA0E94D" wp14:editId="0E231494">
            <wp:simplePos x="0" y="0"/>
            <wp:positionH relativeFrom="margin">
              <wp:align>center</wp:align>
            </wp:positionH>
            <wp:positionV relativeFrom="paragraph">
              <wp:posOffset>84388</wp:posOffset>
            </wp:positionV>
            <wp:extent cx="5470879" cy="3295934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879" cy="329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  <w:b/>
        </w:rPr>
      </w:pPr>
      <w:r w:rsidRPr="007159DF">
        <w:rPr>
          <w:rFonts w:ascii="Times New Roman" w:hAnsi="Times New Roman" w:cs="Times New Roman"/>
          <w:b/>
        </w:rPr>
        <w:t>Supplementary Figure S8: Observation of the bandgap region.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  <w:r w:rsidRPr="007159DF">
        <w:rPr>
          <w:rFonts w:ascii="Times New Roman" w:hAnsi="Times New Roman" w:cs="Times New Roman"/>
        </w:rPr>
        <w:t xml:space="preserve">(a) Coulomb stability diagram for </w:t>
      </w:r>
      <w:proofErr w:type="spellStart"/>
      <w:r w:rsidRPr="007159DF">
        <w:rPr>
          <w:rFonts w:ascii="Times New Roman" w:hAnsi="Times New Roman" w:cs="Times New Roman"/>
        </w:rPr>
        <w:t>PbS</w:t>
      </w:r>
      <w:proofErr w:type="spellEnd"/>
      <w:r w:rsidRPr="007159DF">
        <w:rPr>
          <w:rFonts w:ascii="Times New Roman" w:hAnsi="Times New Roman" w:cs="Times New Roman"/>
        </w:rPr>
        <w:t xml:space="preserve"> CQD sample H (</w:t>
      </w:r>
      <w:r w:rsidRPr="007159DF">
        <w:rPr>
          <w:rFonts w:ascii="Times New Roman" w:hAnsi="Times New Roman" w:cs="Times New Roman"/>
          <w:i/>
        </w:rPr>
        <w:t>d</w:t>
      </w:r>
      <w:r w:rsidRPr="007159DF">
        <w:rPr>
          <w:rFonts w:ascii="Times New Roman" w:hAnsi="Times New Roman" w:cs="Times New Roman"/>
        </w:rPr>
        <w:t xml:space="preserve"> ~ 4.8 nm) with HfO</w:t>
      </w:r>
      <w:r w:rsidRPr="007159DF">
        <w:rPr>
          <w:rFonts w:ascii="Times New Roman" w:hAnsi="Times New Roman" w:cs="Times New Roman"/>
          <w:vertAlign w:val="subscript"/>
        </w:rPr>
        <w:t>2</w:t>
      </w:r>
      <w:r w:rsidRPr="007159DF">
        <w:rPr>
          <w:rFonts w:ascii="Times New Roman" w:hAnsi="Times New Roman" w:cs="Times New Roman"/>
        </w:rPr>
        <w:t xml:space="preserve"> as the gate </w:t>
      </w:r>
      <w:r w:rsidRPr="007159DF">
        <w:rPr>
          <w:rFonts w:ascii="Times New Roman" w:eastAsia="游明朝" w:hAnsi="Times New Roman" w:cs="Times New Roman"/>
        </w:rPr>
        <w:t>dielectric</w:t>
      </w:r>
      <w:r w:rsidRPr="007159DF">
        <w:rPr>
          <w:rFonts w:ascii="Times New Roman" w:hAnsi="Times New Roman" w:cs="Times New Roman"/>
        </w:rPr>
        <w:t>. We observed</w:t>
      </w:r>
      <w:r w:rsidRPr="007159DF">
        <w:rPr>
          <w:rFonts w:ascii="Times New Roman" w:eastAsia="游明朝" w:hAnsi="Times New Roman" w:cs="Times New Roman"/>
        </w:rPr>
        <w:t xml:space="preserve"> that the</w:t>
      </w:r>
      <w:r w:rsidRPr="007159DF">
        <w:rPr>
          <w:rFonts w:ascii="Times New Roman" w:hAnsi="Times New Roman" w:cs="Times New Roman"/>
        </w:rPr>
        <w:t xml:space="preserve"> large Coulomb gap monotonically increases with </w:t>
      </w:r>
      <w:r w:rsidRPr="007159DF">
        <w:rPr>
          <w:rFonts w:ascii="Times New Roman" w:eastAsia="游明朝" w:hAnsi="Times New Roman" w:cs="Times New Roman"/>
        </w:rPr>
        <w:t xml:space="preserve">increasing </w:t>
      </w:r>
      <w:r w:rsidRPr="007159DF">
        <w:rPr>
          <w:rFonts w:ascii="Times New Roman" w:hAnsi="Times New Roman" w:cs="Times New Roman"/>
        </w:rPr>
        <w:t xml:space="preserve">negative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, suggesting the bandgap region of the </w:t>
      </w:r>
      <w:proofErr w:type="spellStart"/>
      <w:r w:rsidRPr="007159DF">
        <w:rPr>
          <w:rFonts w:ascii="Times New Roman" w:hAnsi="Times New Roman" w:cs="Times New Roman"/>
        </w:rPr>
        <w:t>PbS</w:t>
      </w:r>
      <w:proofErr w:type="spellEnd"/>
      <w:r w:rsidRPr="007159DF">
        <w:rPr>
          <w:rFonts w:ascii="Times New Roman" w:hAnsi="Times New Roman" w:cs="Times New Roman"/>
        </w:rPr>
        <w:t xml:space="preserve"> CQD. Since the Coulomb gap decreases with </w:t>
      </w:r>
      <w:r w:rsidRPr="007159DF">
        <w:rPr>
          <w:rFonts w:ascii="Times New Roman" w:eastAsia="游明朝" w:hAnsi="Times New Roman" w:cs="Times New Roman"/>
        </w:rPr>
        <w:t xml:space="preserve">increasing </w:t>
      </w:r>
      <w:r w:rsidRPr="007159DF">
        <w:rPr>
          <w:rFonts w:ascii="Times New Roman" w:hAnsi="Times New Roman" w:cs="Times New Roman"/>
        </w:rPr>
        <w:t xml:space="preserve">positive </w:t>
      </w:r>
      <w:r w:rsidRPr="007159DF">
        <w:rPr>
          <w:rFonts w:ascii="Times New Roman" w:hAnsi="Times New Roman" w:cs="Times New Roman"/>
          <w:i/>
        </w:rPr>
        <w:t>V</w:t>
      </w:r>
      <w:r w:rsidRPr="007159DF">
        <w:rPr>
          <w:rFonts w:ascii="Times New Roman" w:hAnsi="Times New Roman" w:cs="Times New Roman"/>
          <w:vertAlign w:val="subscript"/>
        </w:rPr>
        <w:t>G</w:t>
      </w:r>
      <w:r w:rsidRPr="007159DF">
        <w:rPr>
          <w:rFonts w:ascii="Times New Roman" w:hAnsi="Times New Roman" w:cs="Times New Roman"/>
        </w:rPr>
        <w:t xml:space="preserve">, we are detecting </w:t>
      </w:r>
      <w:r w:rsidRPr="007159DF">
        <w:rPr>
          <w:rFonts w:ascii="Times New Roman" w:eastAsia="游明朝" w:hAnsi="Times New Roman" w:cs="Times New Roman"/>
        </w:rPr>
        <w:t>the</w:t>
      </w:r>
      <w:r w:rsidRPr="007159DF">
        <w:rPr>
          <w:rFonts w:ascii="Times New Roman" w:hAnsi="Times New Roman" w:cs="Times New Roman"/>
        </w:rPr>
        <w:t xml:space="preserve"> bandgap region near the conduction band edge. The reason </w:t>
      </w:r>
      <w:r w:rsidRPr="007159DF">
        <w:rPr>
          <w:rFonts w:ascii="Times New Roman" w:eastAsia="游明朝" w:hAnsi="Times New Roman" w:cs="Times New Roman"/>
        </w:rPr>
        <w:t>for</w:t>
      </w:r>
      <w:r w:rsidRPr="007159DF">
        <w:rPr>
          <w:rFonts w:ascii="Times New Roman" w:hAnsi="Times New Roman" w:cs="Times New Roman"/>
        </w:rPr>
        <w:t xml:space="preserve"> the bandgap observation in this sample </w:t>
      </w:r>
      <w:r w:rsidRPr="007159DF">
        <w:rPr>
          <w:rFonts w:ascii="Times New Roman" w:eastAsia="游明朝" w:hAnsi="Times New Roman" w:cs="Times New Roman"/>
        </w:rPr>
        <w:t>is</w:t>
      </w:r>
      <w:r w:rsidRPr="007159DF">
        <w:rPr>
          <w:rFonts w:ascii="Times New Roman" w:hAnsi="Times New Roman" w:cs="Times New Roman"/>
        </w:rPr>
        <w:t xml:space="preserve"> the slight difference in the amount of surface charges caused by the use of a different gate dielectric. (b) Schematic cross-sectional image of the </w:t>
      </w:r>
      <w:proofErr w:type="spellStart"/>
      <w:r w:rsidRPr="007159DF">
        <w:rPr>
          <w:rFonts w:ascii="Times New Roman" w:hAnsi="Times New Roman" w:cs="Times New Roman"/>
        </w:rPr>
        <w:t>PbS</w:t>
      </w:r>
      <w:proofErr w:type="spellEnd"/>
      <w:r w:rsidRPr="007159DF">
        <w:rPr>
          <w:rFonts w:ascii="Times New Roman" w:hAnsi="Times New Roman" w:cs="Times New Roman"/>
        </w:rPr>
        <w:t xml:space="preserve"> CQD sample with HfO</w:t>
      </w:r>
      <w:r w:rsidRPr="007159DF">
        <w:rPr>
          <w:rFonts w:ascii="Times New Roman" w:hAnsi="Times New Roman" w:cs="Times New Roman"/>
          <w:vertAlign w:val="subscript"/>
        </w:rPr>
        <w:t>2</w:t>
      </w:r>
      <w:r w:rsidRPr="007159DF">
        <w:rPr>
          <w:rFonts w:ascii="Times New Roman" w:hAnsi="Times New Roman" w:cs="Times New Roman"/>
        </w:rPr>
        <w:t xml:space="preserve"> as the gate </w:t>
      </w:r>
      <w:r w:rsidRPr="007159DF">
        <w:rPr>
          <w:rFonts w:ascii="Times New Roman" w:eastAsia="游明朝" w:hAnsi="Times New Roman" w:cs="Times New Roman"/>
        </w:rPr>
        <w:t>dielectric</w:t>
      </w:r>
      <w:r w:rsidRPr="007159DF">
        <w:rPr>
          <w:rFonts w:ascii="Times New Roman" w:hAnsi="Times New Roman" w:cs="Times New Roman"/>
        </w:rPr>
        <w:t>.</w:t>
      </w: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rPr>
          <w:rFonts w:ascii="Times New Roman" w:hAnsi="Times New Roman" w:cs="Times New Roman"/>
        </w:rPr>
      </w:pPr>
    </w:p>
    <w:p w:rsidR="007159DF" w:rsidRPr="007159DF" w:rsidRDefault="007159DF" w:rsidP="007159DF">
      <w:pPr>
        <w:widowControl/>
        <w:rPr>
          <w:rFonts w:ascii="Times New Roman" w:eastAsia="ＭＳ Ｐゴシック" w:hAnsi="Times New Roman" w:cs="Times New Roman"/>
          <w:kern w:val="0"/>
          <w:sz w:val="24"/>
          <w:szCs w:val="24"/>
        </w:rPr>
      </w:pPr>
    </w:p>
    <w:p w:rsidR="007159DF" w:rsidRPr="007159DF" w:rsidRDefault="007159DF" w:rsidP="007159DF">
      <w:pPr>
        <w:widowControl/>
        <w:rPr>
          <w:rFonts w:ascii="Times New Roman" w:eastAsia="ＭＳ Ｐゴシック" w:hAnsi="Times New Roman" w:cs="Times New Roman"/>
          <w:kern w:val="0"/>
          <w:sz w:val="24"/>
          <w:szCs w:val="24"/>
        </w:rPr>
      </w:pPr>
    </w:p>
    <w:p w:rsidR="007159DF" w:rsidRPr="007159DF" w:rsidRDefault="007159DF" w:rsidP="007159DF">
      <w:pPr>
        <w:widowControl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:rsidR="00A65EE3" w:rsidRPr="007159DF" w:rsidRDefault="00A65EE3" w:rsidP="00A42C3F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A65EE3" w:rsidRPr="007159DF" w:rsidSect="00104A19">
      <w:footerReference w:type="even" r:id="rId15"/>
      <w:footerReference w:type="default" r:id="rId16"/>
      <w:pgSz w:w="11906" w:h="16838"/>
      <w:pgMar w:top="1418" w:right="1134" w:bottom="1134" w:left="1134" w:header="851" w:footer="992" w:gutter="0"/>
      <w:cols w:space="425"/>
      <w:docGrid w:type="lines" w:linePitch="5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6330" w:rsidRDefault="00246330" w:rsidP="00A65EE3">
      <w:r>
        <w:separator/>
      </w:r>
    </w:p>
  </w:endnote>
  <w:endnote w:type="continuationSeparator" w:id="0">
    <w:p w:rsidR="00246330" w:rsidRDefault="00246330" w:rsidP="00A65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0FAE" w:rsidRPr="00DB7041" w:rsidRDefault="00C37326" w:rsidP="00575949">
    <w:pPr>
      <w:pStyle w:val="a6"/>
      <w:framePr w:wrap="around" w:vAnchor="text" w:hAnchor="margin" w:xAlign="center" w:y="1"/>
      <w:rPr>
        <w:rStyle w:val="aa"/>
      </w:rPr>
    </w:pPr>
    <w:r w:rsidRPr="00DB7041">
      <w:rPr>
        <w:rStyle w:val="aa"/>
      </w:rPr>
      <w:fldChar w:fldCharType="begin"/>
    </w:r>
    <w:r w:rsidRPr="00DB7041">
      <w:rPr>
        <w:rStyle w:val="aa"/>
      </w:rPr>
      <w:instrText>PAGE</w:instrText>
    </w:r>
    <w:r w:rsidRPr="00DB7041">
      <w:rPr>
        <w:rStyle w:val="aa"/>
      </w:rPr>
      <w:fldChar w:fldCharType="end"/>
    </w:r>
  </w:p>
  <w:p w:rsidR="00530FAE" w:rsidRPr="00DB7041" w:rsidRDefault="0024633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0FAE" w:rsidRPr="00DB7041" w:rsidRDefault="00C37326" w:rsidP="00575949">
    <w:pPr>
      <w:pStyle w:val="a6"/>
      <w:framePr w:wrap="around" w:vAnchor="text" w:hAnchor="margin" w:xAlign="center" w:y="1"/>
      <w:rPr>
        <w:rStyle w:val="aa"/>
      </w:rPr>
    </w:pPr>
    <w:r w:rsidRPr="00DB7041">
      <w:rPr>
        <w:rStyle w:val="aa"/>
      </w:rPr>
      <w:fldChar w:fldCharType="begin"/>
    </w:r>
    <w:r w:rsidRPr="00DB7041">
      <w:rPr>
        <w:rStyle w:val="aa"/>
      </w:rPr>
      <w:instrText xml:space="preserve">PAGE  </w:instrText>
    </w:r>
    <w:r w:rsidRPr="00DB7041">
      <w:rPr>
        <w:rStyle w:val="aa"/>
      </w:rPr>
      <w:fldChar w:fldCharType="separate"/>
    </w:r>
    <w:r w:rsidRPr="00DB7041">
      <w:rPr>
        <w:rStyle w:val="aa"/>
        <w:noProof/>
      </w:rPr>
      <w:t>12</w:t>
    </w:r>
    <w:r w:rsidRPr="00DB7041">
      <w:rPr>
        <w:rStyle w:val="aa"/>
      </w:rPr>
      <w:fldChar w:fldCharType="end"/>
    </w:r>
  </w:p>
  <w:p w:rsidR="00530FAE" w:rsidRPr="00DB7041" w:rsidRDefault="0024633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6330" w:rsidRDefault="00246330" w:rsidP="00A65EE3">
      <w:r>
        <w:separator/>
      </w:r>
    </w:p>
  </w:footnote>
  <w:footnote w:type="continuationSeparator" w:id="0">
    <w:p w:rsidR="00246330" w:rsidRDefault="00246330" w:rsidP="00A65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45E"/>
    <w:rsid w:val="00005D2A"/>
    <w:rsid w:val="000300F0"/>
    <w:rsid w:val="00063A8F"/>
    <w:rsid w:val="000A1D66"/>
    <w:rsid w:val="000F6F35"/>
    <w:rsid w:val="001A26C5"/>
    <w:rsid w:val="001A61A6"/>
    <w:rsid w:val="001C7A6B"/>
    <w:rsid w:val="001F20E5"/>
    <w:rsid w:val="001F6647"/>
    <w:rsid w:val="002262DA"/>
    <w:rsid w:val="00246330"/>
    <w:rsid w:val="002731B3"/>
    <w:rsid w:val="002745ED"/>
    <w:rsid w:val="00283BB4"/>
    <w:rsid w:val="0029273D"/>
    <w:rsid w:val="002F14FF"/>
    <w:rsid w:val="002F6677"/>
    <w:rsid w:val="00323809"/>
    <w:rsid w:val="0035042A"/>
    <w:rsid w:val="00397F0A"/>
    <w:rsid w:val="003A5F96"/>
    <w:rsid w:val="003F3288"/>
    <w:rsid w:val="00402616"/>
    <w:rsid w:val="00427732"/>
    <w:rsid w:val="00463494"/>
    <w:rsid w:val="00473CB2"/>
    <w:rsid w:val="00495FF5"/>
    <w:rsid w:val="00507B59"/>
    <w:rsid w:val="00526951"/>
    <w:rsid w:val="0054746A"/>
    <w:rsid w:val="00587F6B"/>
    <w:rsid w:val="00593D8C"/>
    <w:rsid w:val="005A1C21"/>
    <w:rsid w:val="00615212"/>
    <w:rsid w:val="00650802"/>
    <w:rsid w:val="00667E35"/>
    <w:rsid w:val="00677F66"/>
    <w:rsid w:val="0069188C"/>
    <w:rsid w:val="006924BD"/>
    <w:rsid w:val="006C086A"/>
    <w:rsid w:val="006D1938"/>
    <w:rsid w:val="007073E9"/>
    <w:rsid w:val="007159DF"/>
    <w:rsid w:val="00733CC1"/>
    <w:rsid w:val="007436FC"/>
    <w:rsid w:val="007970B6"/>
    <w:rsid w:val="007A684E"/>
    <w:rsid w:val="007C22A9"/>
    <w:rsid w:val="007D2A2C"/>
    <w:rsid w:val="007E545E"/>
    <w:rsid w:val="007E6CAD"/>
    <w:rsid w:val="008526E4"/>
    <w:rsid w:val="008D2E77"/>
    <w:rsid w:val="00912A45"/>
    <w:rsid w:val="009206FE"/>
    <w:rsid w:val="00922EE8"/>
    <w:rsid w:val="00940C05"/>
    <w:rsid w:val="00985F70"/>
    <w:rsid w:val="009C4024"/>
    <w:rsid w:val="009F4256"/>
    <w:rsid w:val="00A25058"/>
    <w:rsid w:val="00A40D17"/>
    <w:rsid w:val="00A42C3F"/>
    <w:rsid w:val="00A5401C"/>
    <w:rsid w:val="00A65EE3"/>
    <w:rsid w:val="00A90C2C"/>
    <w:rsid w:val="00AA09EB"/>
    <w:rsid w:val="00AD006B"/>
    <w:rsid w:val="00B27791"/>
    <w:rsid w:val="00B5479C"/>
    <w:rsid w:val="00B616E5"/>
    <w:rsid w:val="00BF7FDC"/>
    <w:rsid w:val="00C04DF5"/>
    <w:rsid w:val="00C37326"/>
    <w:rsid w:val="00C56997"/>
    <w:rsid w:val="00CA0E4A"/>
    <w:rsid w:val="00CD3353"/>
    <w:rsid w:val="00D51A8F"/>
    <w:rsid w:val="00D76708"/>
    <w:rsid w:val="00D77EA2"/>
    <w:rsid w:val="00D81D59"/>
    <w:rsid w:val="00DD2262"/>
    <w:rsid w:val="00DF0B9B"/>
    <w:rsid w:val="00E12D03"/>
    <w:rsid w:val="00E25B17"/>
    <w:rsid w:val="00E34721"/>
    <w:rsid w:val="00EE5028"/>
    <w:rsid w:val="00F23957"/>
    <w:rsid w:val="00FB0B9E"/>
    <w:rsid w:val="00FB64F8"/>
    <w:rsid w:val="00FC3599"/>
    <w:rsid w:val="00FD4DA2"/>
    <w:rsid w:val="00FE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AF03A95-3481-45E7-A50E-A48835F2D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2A9"/>
    <w:pPr>
      <w:ind w:leftChars="400" w:left="840"/>
    </w:pPr>
  </w:style>
  <w:style w:type="paragraph" w:customStyle="1" w:styleId="Paragraph">
    <w:name w:val="Paragraph"/>
    <w:basedOn w:val="a"/>
    <w:rsid w:val="00FB0B9E"/>
    <w:pPr>
      <w:widowControl/>
      <w:ind w:firstLine="274"/>
    </w:pPr>
    <w:rPr>
      <w:rFonts w:ascii="Times New Roman" w:eastAsia="ＭＳ 明朝" w:hAnsi="Times New Roman" w:cs="Times New Roman"/>
      <w:kern w:val="0"/>
      <w:sz w:val="20"/>
      <w:szCs w:val="20"/>
      <w:lang w:eastAsia="en-US"/>
    </w:rPr>
  </w:style>
  <w:style w:type="paragraph" w:styleId="a4">
    <w:name w:val="header"/>
    <w:basedOn w:val="a"/>
    <w:link w:val="a5"/>
    <w:uiPriority w:val="99"/>
    <w:unhideWhenUsed/>
    <w:rsid w:val="00A65E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5EE3"/>
  </w:style>
  <w:style w:type="paragraph" w:styleId="a6">
    <w:name w:val="footer"/>
    <w:basedOn w:val="a"/>
    <w:link w:val="a7"/>
    <w:uiPriority w:val="99"/>
    <w:unhideWhenUsed/>
    <w:rsid w:val="00A65E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5EE3"/>
  </w:style>
  <w:style w:type="paragraph" w:styleId="a8">
    <w:name w:val="Balloon Text"/>
    <w:basedOn w:val="a"/>
    <w:link w:val="a9"/>
    <w:uiPriority w:val="99"/>
    <w:semiHidden/>
    <w:unhideWhenUsed/>
    <w:rsid w:val="001A26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A26C5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8D2E77"/>
    <w:pPr>
      <w:widowControl w:val="0"/>
      <w:autoSpaceDE w:val="0"/>
      <w:autoSpaceDN w:val="0"/>
      <w:adjustRightInd w:val="0"/>
    </w:pPr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character" w:styleId="aa">
    <w:name w:val="page number"/>
    <w:basedOn w:val="a0"/>
    <w:rsid w:val="00715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4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mailto:kshibata@tohtech.ac.jp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1084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shibata</dc:creator>
  <cp:keywords/>
  <dc:description/>
  <cp:lastModifiedBy>kenji shibata</cp:lastModifiedBy>
  <cp:revision>4</cp:revision>
  <cp:lastPrinted>2023-03-10T08:40:00Z</cp:lastPrinted>
  <dcterms:created xsi:type="dcterms:W3CDTF">2023-04-13T09:16:00Z</dcterms:created>
  <dcterms:modified xsi:type="dcterms:W3CDTF">2023-04-23T02:59:00Z</dcterms:modified>
</cp:coreProperties>
</file>