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C6BE3" w14:textId="4363F2B1" w:rsidR="007B39BA" w:rsidRPr="007B39BA" w:rsidRDefault="007B39BA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B39BA">
        <w:rPr>
          <w:rFonts w:ascii="Times New Roman" w:hAnsi="Times New Roman" w:cs="Times New Roman"/>
          <w:b/>
          <w:bCs/>
          <w:sz w:val="32"/>
          <w:szCs w:val="32"/>
        </w:rPr>
        <w:t>Supplementary material</w:t>
      </w:r>
    </w:p>
    <w:p w14:paraId="3EA1EAB1" w14:textId="6F69390B" w:rsidR="007B39BA" w:rsidRDefault="007B39BA">
      <w:r>
        <w:rPr>
          <w:noProof/>
        </w:rPr>
        <w:drawing>
          <wp:inline distT="0" distB="0" distL="0" distR="0" wp14:anchorId="1BDD7624" wp14:editId="33BC7EC6">
            <wp:extent cx="5274310" cy="296735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A6C97" w14:textId="77777777" w:rsidR="007B39BA" w:rsidRDefault="007B39BA" w:rsidP="007B3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1D84">
        <w:rPr>
          <w:rFonts w:ascii="Times New Roman" w:hAnsi="Times New Roman" w:cs="Times New Roman"/>
          <w:b/>
          <w:bCs/>
          <w:sz w:val="24"/>
          <w:szCs w:val="24"/>
        </w:rPr>
        <w:t>Supplement Figure 1.</w:t>
      </w:r>
      <w:r w:rsidRPr="00111D84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115199467"/>
      <w:r w:rsidRPr="00111D84">
        <w:rPr>
          <w:rFonts w:ascii="Times New Roman" w:hAnsi="Times New Roman" w:cs="Times New Roman"/>
          <w:sz w:val="24"/>
          <w:szCs w:val="24"/>
        </w:rPr>
        <w:t xml:space="preserve">Survival analysis for </w:t>
      </w:r>
      <w:r>
        <w:rPr>
          <w:rFonts w:ascii="Times New Roman" w:hAnsi="Times New Roman" w:cs="Times New Roman"/>
          <w:sz w:val="24"/>
          <w:szCs w:val="24"/>
        </w:rPr>
        <w:t>ATF3</w:t>
      </w:r>
      <w:r w:rsidRPr="00111D84">
        <w:rPr>
          <w:rFonts w:ascii="Times New Roman" w:hAnsi="Times New Roman" w:cs="Times New Roman"/>
          <w:sz w:val="24"/>
          <w:szCs w:val="24"/>
        </w:rPr>
        <w:t xml:space="preserve"> in BLCA </w:t>
      </w:r>
      <w:r w:rsidRPr="00111D84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111D84">
        <w:rPr>
          <w:rFonts w:ascii="Times New Roman" w:hAnsi="Times New Roman" w:cs="Times New Roman"/>
          <w:sz w:val="24"/>
          <w:szCs w:val="24"/>
        </w:rPr>
        <w:t xml:space="preserve">, BRCA </w:t>
      </w:r>
      <w:r w:rsidRPr="00111D8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111D84">
        <w:rPr>
          <w:rFonts w:ascii="Times New Roman" w:hAnsi="Times New Roman" w:cs="Times New Roman"/>
          <w:sz w:val="24"/>
          <w:szCs w:val="24"/>
        </w:rPr>
        <w:t>,</w:t>
      </w:r>
      <w:r w:rsidRPr="008C2A28">
        <w:rPr>
          <w:rFonts w:ascii="Times New Roman" w:hAnsi="Times New Roman" w:cs="Times New Roman"/>
          <w:sz w:val="24"/>
          <w:szCs w:val="24"/>
        </w:rPr>
        <w:t xml:space="preserve"> </w:t>
      </w:r>
      <w:r w:rsidRPr="00111D84">
        <w:rPr>
          <w:rFonts w:ascii="Times New Roman" w:hAnsi="Times New Roman" w:cs="Times New Roman"/>
          <w:sz w:val="24"/>
          <w:szCs w:val="24"/>
        </w:rPr>
        <w:t xml:space="preserve">KIRC </w:t>
      </w:r>
      <w:r w:rsidRPr="00111D84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111D8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KIRP </w:t>
      </w:r>
      <w:r w:rsidRPr="00111D84">
        <w:rPr>
          <w:rFonts w:ascii="Times New Roman" w:hAnsi="Times New Roman" w:cs="Times New Roman"/>
          <w:b/>
          <w:bCs/>
          <w:sz w:val="24"/>
          <w:szCs w:val="24"/>
        </w:rPr>
        <w:t>(D)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111D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LIHC </w:t>
      </w:r>
      <w:r w:rsidRPr="00111D84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111D8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111D84">
        <w:rPr>
          <w:rFonts w:ascii="Times New Roman" w:hAnsi="Times New Roman" w:cs="Times New Roman"/>
          <w:sz w:val="24"/>
          <w:szCs w:val="24"/>
        </w:rPr>
        <w:t>, LU</w:t>
      </w:r>
      <w:r>
        <w:rPr>
          <w:rFonts w:ascii="Times New Roman" w:hAnsi="Times New Roman" w:cs="Times New Roman"/>
          <w:sz w:val="24"/>
          <w:szCs w:val="24"/>
        </w:rPr>
        <w:t>AD</w:t>
      </w:r>
      <w:r w:rsidRPr="00111D84">
        <w:rPr>
          <w:rFonts w:ascii="Times New Roman" w:hAnsi="Times New Roman" w:cs="Times New Roman"/>
          <w:sz w:val="24"/>
          <w:szCs w:val="24"/>
        </w:rPr>
        <w:t xml:space="preserve"> </w:t>
      </w:r>
      <w:r w:rsidRPr="00111D84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111D8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111D8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LUSC</w:t>
      </w:r>
      <w:r w:rsidRPr="00111D84">
        <w:rPr>
          <w:rFonts w:ascii="Times New Roman" w:hAnsi="Times New Roman" w:cs="Times New Roman"/>
          <w:sz w:val="24"/>
          <w:szCs w:val="24"/>
        </w:rPr>
        <w:t xml:space="preserve"> </w:t>
      </w:r>
      <w:r w:rsidRPr="00111D84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111D8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111D8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PRAD</w:t>
      </w:r>
      <w:r w:rsidRPr="00111D84">
        <w:rPr>
          <w:rFonts w:ascii="Times New Roman" w:hAnsi="Times New Roman" w:cs="Times New Roman"/>
          <w:sz w:val="24"/>
          <w:szCs w:val="24"/>
        </w:rPr>
        <w:t xml:space="preserve"> </w:t>
      </w:r>
      <w:r w:rsidRPr="00111D84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111D84">
        <w:rPr>
          <w:rFonts w:ascii="Times New Roman" w:hAnsi="Times New Roman" w:cs="Times New Roman"/>
          <w:b/>
          <w:bCs/>
          <w:sz w:val="24"/>
          <w:szCs w:val="24"/>
        </w:rPr>
        <w:t>)</w:t>
      </w:r>
      <w:bookmarkEnd w:id="0"/>
      <w:r>
        <w:rPr>
          <w:rFonts w:ascii="Times New Roman" w:hAnsi="Times New Roman" w:cs="Times New Roman"/>
          <w:sz w:val="24"/>
          <w:szCs w:val="24"/>
        </w:rPr>
        <w:t>, READ</w:t>
      </w:r>
      <w:r w:rsidRPr="00111D84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111D8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THCA</w:t>
      </w:r>
      <w:r w:rsidRPr="00111D84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Pr="00111D8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UCEC</w:t>
      </w:r>
      <w:r w:rsidRPr="00111D84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111D8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1D84">
        <w:rPr>
          <w:rFonts w:ascii="Times New Roman" w:hAnsi="Times New Roman" w:cs="Times New Roman"/>
          <w:sz w:val="24"/>
          <w:szCs w:val="24"/>
        </w:rPr>
        <w:t>using the UALCAN database.</w:t>
      </w:r>
    </w:p>
    <w:p w14:paraId="32BE52E2" w14:textId="71116B70" w:rsidR="007B39BA" w:rsidRDefault="007B39BA"/>
    <w:p w14:paraId="44538AF8" w14:textId="058EA917" w:rsidR="007B39BA" w:rsidRDefault="007B39BA">
      <w:r>
        <w:rPr>
          <w:noProof/>
        </w:rPr>
        <w:lastRenderedPageBreak/>
        <w:drawing>
          <wp:inline distT="0" distB="0" distL="0" distR="0" wp14:anchorId="0D1B1EAE" wp14:editId="1CD07E6C">
            <wp:extent cx="5274310" cy="451548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17A21" w14:textId="77777777" w:rsidR="007B39BA" w:rsidRPr="00D15EAC" w:rsidRDefault="007B39BA" w:rsidP="007B3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1D84">
        <w:rPr>
          <w:rFonts w:ascii="Times New Roman" w:hAnsi="Times New Roman" w:cs="Times New Roman"/>
          <w:b/>
          <w:bCs/>
          <w:sz w:val="24"/>
          <w:szCs w:val="24"/>
        </w:rPr>
        <w:t xml:space="preserve">Supplement 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Pr="00D15EAC">
        <w:rPr>
          <w:rFonts w:ascii="Times New Roman" w:hAnsi="Times New Roman" w:cs="Times New Roman"/>
          <w:sz w:val="24"/>
          <w:szCs w:val="24"/>
        </w:rPr>
        <w:t>The lncRNA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15EAC">
        <w:rPr>
          <w:rFonts w:ascii="Times New Roman" w:hAnsi="Times New Roman" w:cs="Times New Roman"/>
          <w:sz w:val="24"/>
          <w:szCs w:val="24"/>
        </w:rPr>
        <w:t xml:space="preserve">hsa-miR-221-3p regulatory network established by </w:t>
      </w:r>
      <w:proofErr w:type="spellStart"/>
      <w:r w:rsidRPr="00D15EAC">
        <w:rPr>
          <w:rFonts w:ascii="Times New Roman" w:hAnsi="Times New Roman" w:cs="Times New Roman"/>
          <w:sz w:val="24"/>
          <w:szCs w:val="24"/>
        </w:rPr>
        <w:t>Cytoscape</w:t>
      </w:r>
      <w:proofErr w:type="spellEnd"/>
      <w:r w:rsidRPr="00D15EAC">
        <w:rPr>
          <w:rFonts w:ascii="Times New Roman" w:hAnsi="Times New Roman" w:cs="Times New Roman"/>
          <w:sz w:val="24"/>
          <w:szCs w:val="24"/>
        </w:rPr>
        <w:t xml:space="preserve"> software.</w:t>
      </w:r>
    </w:p>
    <w:p w14:paraId="4CF97F24" w14:textId="4D028EF3" w:rsidR="007B39BA" w:rsidRDefault="007B39BA"/>
    <w:p w14:paraId="7632EBDF" w14:textId="75DBB206" w:rsidR="007B39BA" w:rsidRDefault="007B39BA">
      <w:r>
        <w:rPr>
          <w:noProof/>
        </w:rPr>
        <w:lastRenderedPageBreak/>
        <w:drawing>
          <wp:inline distT="0" distB="0" distL="0" distR="0" wp14:anchorId="1BF60E1D" wp14:editId="461DE745">
            <wp:extent cx="5274310" cy="43383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056E9" w14:textId="77777777" w:rsidR="007B39BA" w:rsidRPr="00D15EAC" w:rsidRDefault="007B39BA" w:rsidP="007B3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1D84">
        <w:rPr>
          <w:rFonts w:ascii="Times New Roman" w:hAnsi="Times New Roman" w:cs="Times New Roman"/>
          <w:b/>
          <w:bCs/>
          <w:sz w:val="24"/>
          <w:szCs w:val="24"/>
        </w:rPr>
        <w:t xml:space="preserve">Supplement 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Pr="005E00D5">
        <w:rPr>
          <w:rFonts w:ascii="Times New Roman" w:hAnsi="Times New Roman" w:cs="Times New Roman"/>
          <w:sz w:val="24"/>
          <w:szCs w:val="24"/>
        </w:rPr>
        <w:t xml:space="preserve">Expression analysis for upstream </w:t>
      </w:r>
      <w:proofErr w:type="spellStart"/>
      <w:r w:rsidRPr="005E00D5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5E00D5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hsa-miR-221-3p</w:t>
      </w:r>
      <w:r w:rsidRPr="005E00D5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ccRCC</w:t>
      </w:r>
      <w:proofErr w:type="spellEnd"/>
      <w:r>
        <w:rPr>
          <w:rFonts w:ascii="Times New Roman" w:hAnsi="Times New Roman" w:cs="Times New Roman"/>
          <w:sz w:val="24"/>
          <w:szCs w:val="24"/>
        </w:rPr>
        <w:t>. (</w:t>
      </w:r>
      <w:r w:rsidRPr="004A7F07">
        <w:rPr>
          <w:rFonts w:ascii="Times New Roman" w:hAnsi="Times New Roman" w:cs="Times New Roman"/>
          <w:b/>
          <w:bCs/>
          <w:sz w:val="24"/>
          <w:szCs w:val="24"/>
        </w:rPr>
        <w:t>A-D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5E00D5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E00D5">
        <w:rPr>
          <w:rFonts w:ascii="Times New Roman" w:hAnsi="Times New Roman" w:cs="Times New Roman"/>
          <w:sz w:val="24"/>
          <w:szCs w:val="24"/>
        </w:rPr>
        <w:t>expression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E00D5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GAS5</w:t>
      </w:r>
      <w:r w:rsidRPr="005E00D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AC095055.1, TUG1and ZEB1-AS1 </w:t>
      </w:r>
      <w:r w:rsidRPr="005E00D5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>
        <w:rPr>
          <w:rFonts w:ascii="Times New Roman" w:hAnsi="Times New Roman" w:cs="Times New Roman"/>
          <w:sz w:val="24"/>
          <w:szCs w:val="24"/>
        </w:rPr>
        <w:t>ccRCC</w:t>
      </w:r>
      <w:proofErr w:type="spellEnd"/>
      <w:r w:rsidRPr="005E00D5">
        <w:rPr>
          <w:rFonts w:ascii="Times New Roman" w:hAnsi="Times New Roman" w:cs="Times New Roman"/>
          <w:sz w:val="24"/>
          <w:szCs w:val="24"/>
        </w:rPr>
        <w:t xml:space="preserve"> and control normal samples determined by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5E00D5">
        <w:rPr>
          <w:rFonts w:ascii="Times New Roman" w:hAnsi="Times New Roman" w:cs="Times New Roman"/>
          <w:sz w:val="24"/>
          <w:szCs w:val="24"/>
        </w:rPr>
        <w:t>starBase</w:t>
      </w:r>
      <w:proofErr w:type="spellEnd"/>
      <w:r w:rsidRPr="005E00D5">
        <w:rPr>
          <w:rFonts w:ascii="Times New Roman" w:hAnsi="Times New Roman" w:cs="Times New Roman"/>
          <w:sz w:val="24"/>
          <w:szCs w:val="24"/>
        </w:rPr>
        <w:t xml:space="preserve"> database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497A95" w14:textId="5D5271D6" w:rsidR="007B39BA" w:rsidRDefault="007B39BA"/>
    <w:p w14:paraId="3EE6107C" w14:textId="77777777" w:rsidR="007B39BA" w:rsidRDefault="007B39BA">
      <w:pPr>
        <w:widowControl/>
        <w:jc w:val="left"/>
      </w:pPr>
      <w:r>
        <w:br w:type="page"/>
      </w:r>
    </w:p>
    <w:tbl>
      <w:tblPr>
        <w:tblStyle w:val="a7"/>
        <w:tblW w:w="8337" w:type="dxa"/>
        <w:tblLook w:val="04A0" w:firstRow="1" w:lastRow="0" w:firstColumn="1" w:lastColumn="0" w:noHBand="0" w:noVBand="1"/>
      </w:tblPr>
      <w:tblGrid>
        <w:gridCol w:w="3132"/>
        <w:gridCol w:w="2399"/>
        <w:gridCol w:w="2806"/>
      </w:tblGrid>
      <w:tr w:rsidR="007B39BA" w:rsidRPr="001930C2" w14:paraId="4AD3ADFC" w14:textId="77777777" w:rsidTr="00BC74A0">
        <w:trPr>
          <w:trHeight w:val="280"/>
        </w:trPr>
        <w:tc>
          <w:tcPr>
            <w:tcW w:w="8337" w:type="dxa"/>
            <w:gridSpan w:val="3"/>
            <w:tcBorders>
              <w:top w:val="nil"/>
              <w:left w:val="nil"/>
              <w:right w:val="nil"/>
            </w:tcBorders>
            <w:noWrap/>
          </w:tcPr>
          <w:p w14:paraId="1B13348C" w14:textId="77777777" w:rsidR="007B39BA" w:rsidRPr="001930C2" w:rsidRDefault="007B39BA" w:rsidP="00A46894">
            <w:pPr>
              <w:widowControl/>
              <w:spacing w:afterLines="50" w:after="15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30C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Supplement Table 1</w:t>
            </w:r>
            <w:r w:rsidRPr="001930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Correlation analysis between lncRNA and hsa-miR-221-3p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ccRCC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</w:p>
        </w:tc>
      </w:tr>
      <w:tr w:rsidR="007B39BA" w:rsidRPr="00FA7D4B" w14:paraId="6A85D011" w14:textId="77777777" w:rsidTr="00BC74A0">
        <w:trPr>
          <w:trHeight w:val="280"/>
        </w:trPr>
        <w:tc>
          <w:tcPr>
            <w:tcW w:w="3132" w:type="dxa"/>
            <w:noWrap/>
          </w:tcPr>
          <w:p w14:paraId="35C66F32" w14:textId="77777777" w:rsidR="007B39BA" w:rsidRPr="00FA7D4B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A7D4B">
              <w:rPr>
                <w:rFonts w:ascii="Times New Roman" w:hAnsi="Times New Roman" w:cs="Times New Roman"/>
                <w:b/>
                <w:bCs/>
              </w:rPr>
              <w:t>lncRNA</w:t>
            </w:r>
          </w:p>
        </w:tc>
        <w:tc>
          <w:tcPr>
            <w:tcW w:w="2399" w:type="dxa"/>
            <w:noWrap/>
          </w:tcPr>
          <w:p w14:paraId="18A4920E" w14:textId="77777777" w:rsidR="007B39BA" w:rsidRPr="00FA7D4B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A7D4B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2806" w:type="dxa"/>
            <w:noWrap/>
          </w:tcPr>
          <w:p w14:paraId="7C83E219" w14:textId="77777777" w:rsidR="007B39BA" w:rsidRPr="00FA7D4B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FA7D4B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</w:p>
        </w:tc>
      </w:tr>
      <w:tr w:rsidR="007B39BA" w:rsidRPr="00936DEF" w14:paraId="685F97E8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2A8C071A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AC239868.1</w:t>
            </w:r>
          </w:p>
        </w:tc>
        <w:tc>
          <w:tcPr>
            <w:tcW w:w="2399" w:type="dxa"/>
            <w:noWrap/>
            <w:hideMark/>
          </w:tcPr>
          <w:p w14:paraId="58F92BA3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-0.045 </w:t>
            </w:r>
          </w:p>
        </w:tc>
        <w:tc>
          <w:tcPr>
            <w:tcW w:w="2806" w:type="dxa"/>
            <w:noWrap/>
            <w:hideMark/>
          </w:tcPr>
          <w:p w14:paraId="6A0BF915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3.06E-01</w:t>
            </w:r>
          </w:p>
        </w:tc>
      </w:tr>
      <w:tr w:rsidR="007B39BA" w:rsidRPr="00936DEF" w14:paraId="084C9A35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36539418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LINC01806</w:t>
            </w:r>
          </w:p>
        </w:tc>
        <w:tc>
          <w:tcPr>
            <w:tcW w:w="2399" w:type="dxa"/>
            <w:noWrap/>
            <w:hideMark/>
          </w:tcPr>
          <w:p w14:paraId="3F653D60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  <w:tc>
          <w:tcPr>
            <w:tcW w:w="2806" w:type="dxa"/>
            <w:noWrap/>
            <w:hideMark/>
          </w:tcPr>
          <w:p w14:paraId="29F071DB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8.69E-01</w:t>
            </w:r>
          </w:p>
        </w:tc>
      </w:tr>
      <w:tr w:rsidR="007B39BA" w:rsidRPr="00936DEF" w14:paraId="25BA9A16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7DC486D7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TTN-AS1</w:t>
            </w:r>
          </w:p>
        </w:tc>
        <w:tc>
          <w:tcPr>
            <w:tcW w:w="2399" w:type="dxa"/>
            <w:noWrap/>
            <w:hideMark/>
          </w:tcPr>
          <w:p w14:paraId="7775F105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  <w:tc>
          <w:tcPr>
            <w:tcW w:w="2806" w:type="dxa"/>
            <w:noWrap/>
            <w:hideMark/>
          </w:tcPr>
          <w:p w14:paraId="02AC4408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9.49E-01</w:t>
            </w:r>
          </w:p>
        </w:tc>
      </w:tr>
      <w:tr w:rsidR="007B39BA" w:rsidRPr="00936DEF" w14:paraId="52F77CAA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02B5F3CC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AC073957.2</w:t>
            </w:r>
          </w:p>
        </w:tc>
        <w:tc>
          <w:tcPr>
            <w:tcW w:w="2399" w:type="dxa"/>
            <w:noWrap/>
            <w:hideMark/>
          </w:tcPr>
          <w:p w14:paraId="19568D43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0.000 </w:t>
            </w:r>
          </w:p>
        </w:tc>
        <w:tc>
          <w:tcPr>
            <w:tcW w:w="2806" w:type="dxa"/>
            <w:noWrap/>
            <w:hideMark/>
          </w:tcPr>
          <w:p w14:paraId="28760701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1.00E+00</w:t>
            </w:r>
          </w:p>
        </w:tc>
      </w:tr>
      <w:tr w:rsidR="007B39BA" w:rsidRPr="00936DEF" w14:paraId="500E8A70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7B7674A6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AC000120.1</w:t>
            </w:r>
          </w:p>
        </w:tc>
        <w:tc>
          <w:tcPr>
            <w:tcW w:w="2399" w:type="dxa"/>
            <w:noWrap/>
            <w:hideMark/>
          </w:tcPr>
          <w:p w14:paraId="0A65FDEB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  <w:tc>
          <w:tcPr>
            <w:tcW w:w="2806" w:type="dxa"/>
            <w:noWrap/>
            <w:hideMark/>
          </w:tcPr>
          <w:p w14:paraId="05CACC5C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8.74E-01</w:t>
            </w:r>
          </w:p>
        </w:tc>
      </w:tr>
      <w:tr w:rsidR="007B39BA" w:rsidRPr="00936DEF" w14:paraId="7C414E40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58E1BA2F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AC093726.1</w:t>
            </w:r>
          </w:p>
        </w:tc>
        <w:tc>
          <w:tcPr>
            <w:tcW w:w="2399" w:type="dxa"/>
            <w:noWrap/>
            <w:hideMark/>
          </w:tcPr>
          <w:p w14:paraId="66B0928F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-0.044 </w:t>
            </w:r>
          </w:p>
        </w:tc>
        <w:tc>
          <w:tcPr>
            <w:tcW w:w="2806" w:type="dxa"/>
            <w:noWrap/>
            <w:hideMark/>
          </w:tcPr>
          <w:p w14:paraId="1EF370F6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3.23E-01</w:t>
            </w:r>
          </w:p>
        </w:tc>
      </w:tr>
      <w:tr w:rsidR="007B39BA" w:rsidRPr="00936DEF" w14:paraId="2A7107DB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7063F8FD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AC091563.1</w:t>
            </w:r>
          </w:p>
        </w:tc>
        <w:tc>
          <w:tcPr>
            <w:tcW w:w="2399" w:type="dxa"/>
            <w:noWrap/>
            <w:hideMark/>
          </w:tcPr>
          <w:p w14:paraId="4653F8F9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-0.156 </w:t>
            </w:r>
          </w:p>
        </w:tc>
        <w:tc>
          <w:tcPr>
            <w:tcW w:w="2806" w:type="dxa"/>
            <w:noWrap/>
            <w:hideMark/>
          </w:tcPr>
          <w:p w14:paraId="1E833410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3.80E-04</w:t>
            </w:r>
          </w:p>
        </w:tc>
      </w:tr>
      <w:tr w:rsidR="007B39BA" w:rsidRPr="00936DEF" w14:paraId="21527D24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4D471F52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AC107375.1</w:t>
            </w:r>
          </w:p>
        </w:tc>
        <w:tc>
          <w:tcPr>
            <w:tcW w:w="2399" w:type="dxa"/>
            <w:noWrap/>
            <w:hideMark/>
          </w:tcPr>
          <w:p w14:paraId="3C89608F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-0.045 </w:t>
            </w:r>
          </w:p>
        </w:tc>
        <w:tc>
          <w:tcPr>
            <w:tcW w:w="2806" w:type="dxa"/>
            <w:noWrap/>
            <w:hideMark/>
          </w:tcPr>
          <w:p w14:paraId="7D4A2AA2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3.10E-01</w:t>
            </w:r>
          </w:p>
        </w:tc>
      </w:tr>
      <w:tr w:rsidR="007B39BA" w:rsidRPr="00936DEF" w14:paraId="64BAD146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7497A451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AL158212.3</w:t>
            </w:r>
          </w:p>
        </w:tc>
        <w:tc>
          <w:tcPr>
            <w:tcW w:w="2399" w:type="dxa"/>
            <w:noWrap/>
            <w:hideMark/>
          </w:tcPr>
          <w:p w14:paraId="7887BA3F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-0.005 </w:t>
            </w:r>
          </w:p>
        </w:tc>
        <w:tc>
          <w:tcPr>
            <w:tcW w:w="2806" w:type="dxa"/>
            <w:noWrap/>
            <w:hideMark/>
          </w:tcPr>
          <w:p w14:paraId="0A0108CA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9.19E-01</w:t>
            </w:r>
          </w:p>
        </w:tc>
      </w:tr>
      <w:tr w:rsidR="007B39BA" w:rsidRPr="00936DEF" w14:paraId="5432496D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6DFB447E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NEAT1</w:t>
            </w:r>
          </w:p>
        </w:tc>
        <w:tc>
          <w:tcPr>
            <w:tcW w:w="2399" w:type="dxa"/>
            <w:noWrap/>
            <w:hideMark/>
          </w:tcPr>
          <w:p w14:paraId="5B7F7C59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0.163 </w:t>
            </w:r>
          </w:p>
        </w:tc>
        <w:tc>
          <w:tcPr>
            <w:tcW w:w="2806" w:type="dxa"/>
            <w:noWrap/>
            <w:hideMark/>
          </w:tcPr>
          <w:p w14:paraId="44D255CC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2.03E-04</w:t>
            </w:r>
          </w:p>
        </w:tc>
      </w:tr>
      <w:tr w:rsidR="007B39BA" w:rsidRPr="00936DEF" w14:paraId="42B35BD1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2837BE07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AP002360.3</w:t>
            </w:r>
          </w:p>
        </w:tc>
        <w:tc>
          <w:tcPr>
            <w:tcW w:w="2399" w:type="dxa"/>
            <w:noWrap/>
            <w:hideMark/>
          </w:tcPr>
          <w:p w14:paraId="7D81EDCD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-0.001 </w:t>
            </w:r>
          </w:p>
        </w:tc>
        <w:tc>
          <w:tcPr>
            <w:tcW w:w="2806" w:type="dxa"/>
            <w:noWrap/>
            <w:hideMark/>
          </w:tcPr>
          <w:p w14:paraId="7C8CDAD0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9.78E-01</w:t>
            </w:r>
          </w:p>
        </w:tc>
      </w:tr>
      <w:tr w:rsidR="007B39BA" w:rsidRPr="00936DEF" w14:paraId="10F42853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75D63D4F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RASSF8-AS1</w:t>
            </w:r>
          </w:p>
        </w:tc>
        <w:tc>
          <w:tcPr>
            <w:tcW w:w="2399" w:type="dxa"/>
            <w:noWrap/>
            <w:hideMark/>
          </w:tcPr>
          <w:p w14:paraId="36FAFE7B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-0.001 </w:t>
            </w:r>
          </w:p>
        </w:tc>
        <w:tc>
          <w:tcPr>
            <w:tcW w:w="2806" w:type="dxa"/>
            <w:noWrap/>
            <w:hideMark/>
          </w:tcPr>
          <w:p w14:paraId="5601750C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9.90E-01</w:t>
            </w:r>
          </w:p>
        </w:tc>
      </w:tr>
      <w:tr w:rsidR="007B39BA" w:rsidRPr="00936DEF" w14:paraId="5EBA89DF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01BBBF43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HOTAIR</w:t>
            </w:r>
          </w:p>
        </w:tc>
        <w:tc>
          <w:tcPr>
            <w:tcW w:w="2399" w:type="dxa"/>
            <w:noWrap/>
            <w:hideMark/>
          </w:tcPr>
          <w:p w14:paraId="1AA52F48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-0.077 </w:t>
            </w:r>
          </w:p>
        </w:tc>
        <w:tc>
          <w:tcPr>
            <w:tcW w:w="2806" w:type="dxa"/>
            <w:noWrap/>
            <w:hideMark/>
          </w:tcPr>
          <w:p w14:paraId="4E138AA4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8.12E-02</w:t>
            </w:r>
          </w:p>
        </w:tc>
      </w:tr>
      <w:tr w:rsidR="007B39BA" w:rsidRPr="00936DEF" w14:paraId="46B930BF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3548171D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PSMA3-AS1</w:t>
            </w:r>
          </w:p>
        </w:tc>
        <w:tc>
          <w:tcPr>
            <w:tcW w:w="2399" w:type="dxa"/>
            <w:noWrap/>
            <w:hideMark/>
          </w:tcPr>
          <w:p w14:paraId="29AB8AFA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0.032 </w:t>
            </w:r>
          </w:p>
        </w:tc>
        <w:tc>
          <w:tcPr>
            <w:tcW w:w="2806" w:type="dxa"/>
            <w:noWrap/>
            <w:hideMark/>
          </w:tcPr>
          <w:p w14:paraId="34FF71B0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4.72E-01</w:t>
            </w:r>
          </w:p>
        </w:tc>
      </w:tr>
      <w:tr w:rsidR="007B39BA" w:rsidRPr="00936DEF" w14:paraId="30B9D1AE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498FF7FD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LINC02305</w:t>
            </w:r>
          </w:p>
        </w:tc>
        <w:tc>
          <w:tcPr>
            <w:tcW w:w="2399" w:type="dxa"/>
            <w:noWrap/>
            <w:hideMark/>
          </w:tcPr>
          <w:p w14:paraId="33296E44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0.009 </w:t>
            </w:r>
          </w:p>
        </w:tc>
        <w:tc>
          <w:tcPr>
            <w:tcW w:w="2806" w:type="dxa"/>
            <w:noWrap/>
            <w:hideMark/>
          </w:tcPr>
          <w:p w14:paraId="5777F9DF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8.30E-01</w:t>
            </w:r>
          </w:p>
        </w:tc>
      </w:tr>
      <w:tr w:rsidR="007B39BA" w:rsidRPr="00936DEF" w14:paraId="75C74703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63ADC8BD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ARHGAP11B</w:t>
            </w:r>
          </w:p>
        </w:tc>
        <w:tc>
          <w:tcPr>
            <w:tcW w:w="2399" w:type="dxa"/>
            <w:noWrap/>
            <w:hideMark/>
          </w:tcPr>
          <w:p w14:paraId="1CFAF445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0.026 </w:t>
            </w:r>
          </w:p>
        </w:tc>
        <w:tc>
          <w:tcPr>
            <w:tcW w:w="2806" w:type="dxa"/>
            <w:noWrap/>
            <w:hideMark/>
          </w:tcPr>
          <w:p w14:paraId="6279CD56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5.59E-01</w:t>
            </w:r>
          </w:p>
        </w:tc>
      </w:tr>
      <w:tr w:rsidR="007B39BA" w:rsidRPr="00936DEF" w14:paraId="0DDAEA2F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78FC3812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ZNF213-AS1</w:t>
            </w:r>
          </w:p>
        </w:tc>
        <w:tc>
          <w:tcPr>
            <w:tcW w:w="2399" w:type="dxa"/>
            <w:noWrap/>
            <w:hideMark/>
          </w:tcPr>
          <w:p w14:paraId="7EFFFFA6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-0.034 </w:t>
            </w:r>
          </w:p>
        </w:tc>
        <w:tc>
          <w:tcPr>
            <w:tcW w:w="2806" w:type="dxa"/>
            <w:noWrap/>
            <w:hideMark/>
          </w:tcPr>
          <w:p w14:paraId="3DFF7FE9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4.34E-01</w:t>
            </w:r>
          </w:p>
        </w:tc>
      </w:tr>
      <w:tr w:rsidR="007B39BA" w:rsidRPr="00936DEF" w14:paraId="3F4C7837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2256CD11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AC135050.6</w:t>
            </w:r>
          </w:p>
        </w:tc>
        <w:tc>
          <w:tcPr>
            <w:tcW w:w="2399" w:type="dxa"/>
            <w:noWrap/>
            <w:hideMark/>
          </w:tcPr>
          <w:p w14:paraId="7705BD4B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0.008 </w:t>
            </w:r>
          </w:p>
        </w:tc>
        <w:tc>
          <w:tcPr>
            <w:tcW w:w="2806" w:type="dxa"/>
            <w:noWrap/>
            <w:hideMark/>
          </w:tcPr>
          <w:p w14:paraId="323BE853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8.62E-01</w:t>
            </w:r>
          </w:p>
        </w:tc>
      </w:tr>
      <w:tr w:rsidR="007B39BA" w:rsidRPr="00936DEF" w14:paraId="43362A00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73ACBB6E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AC020978.7</w:t>
            </w:r>
          </w:p>
        </w:tc>
        <w:tc>
          <w:tcPr>
            <w:tcW w:w="2399" w:type="dxa"/>
            <w:noWrap/>
            <w:hideMark/>
          </w:tcPr>
          <w:p w14:paraId="449F68EA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0.058 </w:t>
            </w:r>
          </w:p>
        </w:tc>
        <w:tc>
          <w:tcPr>
            <w:tcW w:w="2806" w:type="dxa"/>
            <w:noWrap/>
            <w:hideMark/>
          </w:tcPr>
          <w:p w14:paraId="3288BFE3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1.90E-01</w:t>
            </w:r>
          </w:p>
        </w:tc>
      </w:tr>
      <w:tr w:rsidR="007B39BA" w:rsidRPr="00936DEF" w14:paraId="67405DB1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0FF6273B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AC012184.3</w:t>
            </w:r>
          </w:p>
        </w:tc>
        <w:tc>
          <w:tcPr>
            <w:tcW w:w="2399" w:type="dxa"/>
            <w:noWrap/>
            <w:hideMark/>
          </w:tcPr>
          <w:p w14:paraId="714BC51E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0.087 </w:t>
            </w:r>
          </w:p>
        </w:tc>
        <w:tc>
          <w:tcPr>
            <w:tcW w:w="2806" w:type="dxa"/>
            <w:noWrap/>
            <w:hideMark/>
          </w:tcPr>
          <w:p w14:paraId="02D60311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4.86E-02</w:t>
            </w:r>
          </w:p>
        </w:tc>
      </w:tr>
      <w:tr w:rsidR="007B39BA" w:rsidRPr="00936DEF" w14:paraId="4C984F28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2B574A30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LINC02193</w:t>
            </w:r>
          </w:p>
        </w:tc>
        <w:tc>
          <w:tcPr>
            <w:tcW w:w="2399" w:type="dxa"/>
            <w:noWrap/>
            <w:hideMark/>
          </w:tcPr>
          <w:p w14:paraId="4EC5D9B8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0.062 </w:t>
            </w:r>
          </w:p>
        </w:tc>
        <w:tc>
          <w:tcPr>
            <w:tcW w:w="2806" w:type="dxa"/>
            <w:noWrap/>
            <w:hideMark/>
          </w:tcPr>
          <w:p w14:paraId="173E5039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1.61E-01</w:t>
            </w:r>
          </w:p>
        </w:tc>
      </w:tr>
      <w:tr w:rsidR="007B39BA" w:rsidRPr="00936DEF" w14:paraId="0BABFBDF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0A219112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RUNDC3A-AS1</w:t>
            </w:r>
          </w:p>
        </w:tc>
        <w:tc>
          <w:tcPr>
            <w:tcW w:w="2399" w:type="dxa"/>
            <w:noWrap/>
            <w:hideMark/>
          </w:tcPr>
          <w:p w14:paraId="44C7035B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0.500 </w:t>
            </w:r>
          </w:p>
        </w:tc>
        <w:tc>
          <w:tcPr>
            <w:tcW w:w="2806" w:type="dxa"/>
            <w:noWrap/>
            <w:hideMark/>
          </w:tcPr>
          <w:p w14:paraId="21D88D28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4.24E-34</w:t>
            </w:r>
          </w:p>
        </w:tc>
      </w:tr>
      <w:tr w:rsidR="007B39BA" w:rsidRPr="00936DEF" w14:paraId="37DA435B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5FEA404C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AC015813.6</w:t>
            </w:r>
          </w:p>
        </w:tc>
        <w:tc>
          <w:tcPr>
            <w:tcW w:w="2399" w:type="dxa"/>
            <w:noWrap/>
            <w:hideMark/>
          </w:tcPr>
          <w:p w14:paraId="38B19CD8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-0.086 </w:t>
            </w:r>
          </w:p>
        </w:tc>
        <w:tc>
          <w:tcPr>
            <w:tcW w:w="2806" w:type="dxa"/>
            <w:noWrap/>
            <w:hideMark/>
          </w:tcPr>
          <w:p w14:paraId="10DAE044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5.09E-02</w:t>
            </w:r>
          </w:p>
        </w:tc>
      </w:tr>
      <w:tr w:rsidR="007B39BA" w:rsidRPr="00936DEF" w14:paraId="2ECB3932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4B56CBCE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BPTFP1</w:t>
            </w:r>
          </w:p>
        </w:tc>
        <w:tc>
          <w:tcPr>
            <w:tcW w:w="2399" w:type="dxa"/>
            <w:noWrap/>
            <w:hideMark/>
          </w:tcPr>
          <w:p w14:paraId="5BD57E31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-0.004 </w:t>
            </w:r>
          </w:p>
        </w:tc>
        <w:tc>
          <w:tcPr>
            <w:tcW w:w="2806" w:type="dxa"/>
            <w:noWrap/>
            <w:hideMark/>
          </w:tcPr>
          <w:p w14:paraId="28570E45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9.36E-01</w:t>
            </w:r>
          </w:p>
        </w:tc>
      </w:tr>
      <w:tr w:rsidR="007B39BA" w:rsidRPr="00936DEF" w14:paraId="71D69593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455DFB9F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AC145207.5</w:t>
            </w:r>
          </w:p>
        </w:tc>
        <w:tc>
          <w:tcPr>
            <w:tcW w:w="2399" w:type="dxa"/>
            <w:noWrap/>
            <w:hideMark/>
          </w:tcPr>
          <w:p w14:paraId="418ACF0A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-0.071 </w:t>
            </w:r>
          </w:p>
        </w:tc>
        <w:tc>
          <w:tcPr>
            <w:tcW w:w="2806" w:type="dxa"/>
            <w:noWrap/>
            <w:hideMark/>
          </w:tcPr>
          <w:p w14:paraId="05358907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1.08E-01</w:t>
            </w:r>
          </w:p>
        </w:tc>
      </w:tr>
      <w:tr w:rsidR="007B39BA" w:rsidRPr="00936DEF" w14:paraId="223C4138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503525E8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AC011825.3</w:t>
            </w:r>
          </w:p>
        </w:tc>
        <w:tc>
          <w:tcPr>
            <w:tcW w:w="2399" w:type="dxa"/>
            <w:noWrap/>
            <w:hideMark/>
          </w:tcPr>
          <w:p w14:paraId="21FC18B7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-0.018 </w:t>
            </w:r>
          </w:p>
        </w:tc>
        <w:tc>
          <w:tcPr>
            <w:tcW w:w="2806" w:type="dxa"/>
            <w:noWrap/>
            <w:hideMark/>
          </w:tcPr>
          <w:p w14:paraId="5F4CD961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6.83E-01</w:t>
            </w:r>
          </w:p>
        </w:tc>
      </w:tr>
      <w:tr w:rsidR="007B39BA" w:rsidRPr="00936DEF" w14:paraId="6337A5FD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7C9ED928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AC074135.1</w:t>
            </w:r>
          </w:p>
        </w:tc>
        <w:tc>
          <w:tcPr>
            <w:tcW w:w="2399" w:type="dxa"/>
            <w:noWrap/>
            <w:hideMark/>
          </w:tcPr>
          <w:p w14:paraId="74FDCF3C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0.076 </w:t>
            </w:r>
          </w:p>
        </w:tc>
        <w:tc>
          <w:tcPr>
            <w:tcW w:w="2806" w:type="dxa"/>
            <w:noWrap/>
            <w:hideMark/>
          </w:tcPr>
          <w:p w14:paraId="48042CCE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8.34E-02</w:t>
            </w:r>
          </w:p>
        </w:tc>
      </w:tr>
      <w:tr w:rsidR="007B39BA" w:rsidRPr="00936DEF" w14:paraId="1B7B869E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68E7BBDD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AC022150.4</w:t>
            </w:r>
          </w:p>
        </w:tc>
        <w:tc>
          <w:tcPr>
            <w:tcW w:w="2399" w:type="dxa"/>
            <w:noWrap/>
            <w:hideMark/>
          </w:tcPr>
          <w:p w14:paraId="1D1F0F23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-0.121 </w:t>
            </w:r>
          </w:p>
        </w:tc>
        <w:tc>
          <w:tcPr>
            <w:tcW w:w="2806" w:type="dxa"/>
            <w:noWrap/>
            <w:hideMark/>
          </w:tcPr>
          <w:p w14:paraId="4B94833D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5.99E-03</w:t>
            </w:r>
          </w:p>
        </w:tc>
      </w:tr>
      <w:tr w:rsidR="007B39BA" w:rsidRPr="00936DEF" w14:paraId="708D4CB8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6CE80B80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AL049712.1</w:t>
            </w:r>
          </w:p>
        </w:tc>
        <w:tc>
          <w:tcPr>
            <w:tcW w:w="2399" w:type="dxa"/>
            <w:noWrap/>
            <w:hideMark/>
          </w:tcPr>
          <w:p w14:paraId="1D0E1EDE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-0.011 </w:t>
            </w:r>
          </w:p>
        </w:tc>
        <w:tc>
          <w:tcPr>
            <w:tcW w:w="2806" w:type="dxa"/>
            <w:noWrap/>
            <w:hideMark/>
          </w:tcPr>
          <w:p w14:paraId="41C2FDBE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8.06E-01</w:t>
            </w:r>
          </w:p>
        </w:tc>
      </w:tr>
      <w:tr w:rsidR="007B39BA" w:rsidRPr="00936DEF" w14:paraId="3A7EACE9" w14:textId="77777777" w:rsidTr="00BC74A0">
        <w:trPr>
          <w:trHeight w:val="280"/>
        </w:trPr>
        <w:tc>
          <w:tcPr>
            <w:tcW w:w="3132" w:type="dxa"/>
            <w:noWrap/>
            <w:hideMark/>
          </w:tcPr>
          <w:p w14:paraId="77C521DB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AF254983.1</w:t>
            </w:r>
          </w:p>
        </w:tc>
        <w:tc>
          <w:tcPr>
            <w:tcW w:w="2399" w:type="dxa"/>
            <w:noWrap/>
            <w:hideMark/>
          </w:tcPr>
          <w:p w14:paraId="60B0C7DE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0.091 </w:t>
            </w:r>
          </w:p>
        </w:tc>
        <w:tc>
          <w:tcPr>
            <w:tcW w:w="2806" w:type="dxa"/>
            <w:noWrap/>
            <w:hideMark/>
          </w:tcPr>
          <w:p w14:paraId="78F06C7B" w14:textId="77777777" w:rsidR="007B39BA" w:rsidRPr="00936DEF" w:rsidRDefault="007B39BA" w:rsidP="00BC74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36D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3.88E-02</w:t>
            </w:r>
          </w:p>
        </w:tc>
      </w:tr>
    </w:tbl>
    <w:p w14:paraId="0F0F6997" w14:textId="22DA334B" w:rsidR="007B39BA" w:rsidRDefault="007B39BA"/>
    <w:p w14:paraId="27EE7E64" w14:textId="77777777" w:rsidR="007B39BA" w:rsidRDefault="007B39BA">
      <w:pPr>
        <w:widowControl/>
        <w:jc w:val="left"/>
      </w:pPr>
      <w:r>
        <w:br w:type="page"/>
      </w:r>
    </w:p>
    <w:tbl>
      <w:tblPr>
        <w:tblStyle w:val="a7"/>
        <w:tblW w:w="839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1"/>
        <w:gridCol w:w="3831"/>
        <w:gridCol w:w="1574"/>
        <w:gridCol w:w="966"/>
        <w:gridCol w:w="759"/>
      </w:tblGrid>
      <w:tr w:rsidR="007B39BA" w:rsidRPr="00232BBA" w14:paraId="7A035EA2" w14:textId="77777777" w:rsidTr="00BC74A0">
        <w:trPr>
          <w:trHeight w:val="280"/>
          <w:jc w:val="center"/>
        </w:trPr>
        <w:tc>
          <w:tcPr>
            <w:tcW w:w="8391" w:type="dxa"/>
            <w:gridSpan w:val="5"/>
            <w:tcBorders>
              <w:bottom w:val="single" w:sz="4" w:space="0" w:color="auto"/>
            </w:tcBorders>
            <w:noWrap/>
          </w:tcPr>
          <w:p w14:paraId="54487027" w14:textId="3CA1D9CC" w:rsidR="007B39BA" w:rsidRPr="00A46894" w:rsidRDefault="00295A96" w:rsidP="00BC74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30C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Supplement</w:t>
            </w:r>
            <w:r w:rsidRPr="00A46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B39BA" w:rsidRPr="00A46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="007B39BA" w:rsidRPr="00A46894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</w:t>
            </w:r>
            <w:r w:rsidR="007B39BA" w:rsidRPr="00A46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ble </w:t>
            </w:r>
            <w:r w:rsidR="007B39BA" w:rsidRPr="00A46894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 w:rsidR="007B39BA" w:rsidRPr="00A46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46894" w:rsidRPr="00A4689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A46894" w:rsidRPr="00A46894">
              <w:rPr>
                <w:rFonts w:ascii="Times New Roman" w:hAnsi="Times New Roman" w:cs="Times New Roman" w:hint="eastAsia"/>
                <w:sz w:val="24"/>
                <w:szCs w:val="24"/>
              </w:rPr>
              <w:t>op</w:t>
            </w:r>
            <w:r w:rsidR="00A46894" w:rsidRPr="00A46894">
              <w:rPr>
                <w:rFonts w:ascii="Times New Roman" w:hAnsi="Times New Roman" w:cs="Times New Roman"/>
                <w:sz w:val="24"/>
                <w:szCs w:val="24"/>
              </w:rPr>
              <w:t xml:space="preserve"> ten GO analysis of ATF3-interacting genes</w:t>
            </w:r>
          </w:p>
        </w:tc>
      </w:tr>
      <w:tr w:rsidR="007B39BA" w:rsidRPr="00232BBA" w14:paraId="401A9B10" w14:textId="77777777" w:rsidTr="00BC74A0">
        <w:trPr>
          <w:trHeight w:val="280"/>
          <w:jc w:val="center"/>
        </w:trPr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525E37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F55D70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Term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0E7C76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Fold Enrichment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EC98E7D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6C2029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Count</w:t>
            </w:r>
          </w:p>
        </w:tc>
      </w:tr>
      <w:tr w:rsidR="007B39BA" w:rsidRPr="00232BBA" w14:paraId="48188109" w14:textId="77777777" w:rsidTr="00BC74A0">
        <w:trPr>
          <w:trHeight w:val="280"/>
          <w:jc w:val="center"/>
        </w:trPr>
        <w:tc>
          <w:tcPr>
            <w:tcW w:w="1261" w:type="dxa"/>
            <w:tcBorders>
              <w:top w:val="single" w:sz="4" w:space="0" w:color="auto"/>
            </w:tcBorders>
            <w:noWrap/>
            <w:hideMark/>
          </w:tcPr>
          <w:p w14:paraId="57BB8A4E" w14:textId="77777777" w:rsidR="007B39BA" w:rsidRPr="00232BBA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GO:0045944</w:t>
            </w:r>
          </w:p>
        </w:tc>
        <w:tc>
          <w:tcPr>
            <w:tcW w:w="3831" w:type="dxa"/>
            <w:tcBorders>
              <w:top w:val="single" w:sz="4" w:space="0" w:color="auto"/>
            </w:tcBorders>
            <w:noWrap/>
            <w:hideMark/>
          </w:tcPr>
          <w:p w14:paraId="50B5B5D7" w14:textId="77777777" w:rsidR="007B39BA" w:rsidRPr="00232BBA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positive regulation of transcription from RNA polymerase II promoter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noWrap/>
            <w:hideMark/>
          </w:tcPr>
          <w:p w14:paraId="660DDB56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9.92538</w:t>
            </w:r>
          </w:p>
        </w:tc>
        <w:tc>
          <w:tcPr>
            <w:tcW w:w="966" w:type="dxa"/>
            <w:tcBorders>
              <w:top w:val="single" w:sz="4" w:space="0" w:color="auto"/>
            </w:tcBorders>
            <w:noWrap/>
            <w:hideMark/>
          </w:tcPr>
          <w:p w14:paraId="3CA4511A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2.59E-10</w:t>
            </w:r>
          </w:p>
        </w:tc>
        <w:tc>
          <w:tcPr>
            <w:tcW w:w="759" w:type="dxa"/>
            <w:tcBorders>
              <w:top w:val="single" w:sz="4" w:space="0" w:color="auto"/>
            </w:tcBorders>
            <w:noWrap/>
            <w:hideMark/>
          </w:tcPr>
          <w:p w14:paraId="06C82AA4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7B39BA" w:rsidRPr="00232BBA" w14:paraId="050C8463" w14:textId="77777777" w:rsidTr="00BC74A0">
        <w:trPr>
          <w:trHeight w:val="280"/>
          <w:jc w:val="center"/>
        </w:trPr>
        <w:tc>
          <w:tcPr>
            <w:tcW w:w="1261" w:type="dxa"/>
            <w:noWrap/>
            <w:hideMark/>
          </w:tcPr>
          <w:p w14:paraId="6F1B1D98" w14:textId="77777777" w:rsidR="007B39BA" w:rsidRPr="00232BBA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GO:0000122</w:t>
            </w:r>
          </w:p>
        </w:tc>
        <w:tc>
          <w:tcPr>
            <w:tcW w:w="3831" w:type="dxa"/>
            <w:noWrap/>
            <w:hideMark/>
          </w:tcPr>
          <w:p w14:paraId="7E4B3C90" w14:textId="77777777" w:rsidR="007B39BA" w:rsidRPr="00232BBA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negative regulation of transcription from RNA polymerase II promoter</w:t>
            </w:r>
          </w:p>
        </w:tc>
        <w:tc>
          <w:tcPr>
            <w:tcW w:w="1574" w:type="dxa"/>
            <w:noWrap/>
            <w:hideMark/>
          </w:tcPr>
          <w:p w14:paraId="275F5354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10.43069</w:t>
            </w:r>
          </w:p>
        </w:tc>
        <w:tc>
          <w:tcPr>
            <w:tcW w:w="966" w:type="dxa"/>
            <w:noWrap/>
            <w:hideMark/>
          </w:tcPr>
          <w:p w14:paraId="0F0C9077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1.14E-08</w:t>
            </w:r>
          </w:p>
        </w:tc>
        <w:tc>
          <w:tcPr>
            <w:tcW w:w="759" w:type="dxa"/>
            <w:noWrap/>
            <w:hideMark/>
          </w:tcPr>
          <w:p w14:paraId="700EDBA0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7B39BA" w:rsidRPr="00232BBA" w14:paraId="2F5729E7" w14:textId="77777777" w:rsidTr="00BC74A0">
        <w:trPr>
          <w:trHeight w:val="280"/>
          <w:jc w:val="center"/>
        </w:trPr>
        <w:tc>
          <w:tcPr>
            <w:tcW w:w="1261" w:type="dxa"/>
            <w:noWrap/>
            <w:hideMark/>
          </w:tcPr>
          <w:p w14:paraId="4C3F75CC" w14:textId="77777777" w:rsidR="007B39BA" w:rsidRPr="00232BBA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GO:0006357</w:t>
            </w:r>
          </w:p>
        </w:tc>
        <w:tc>
          <w:tcPr>
            <w:tcW w:w="3831" w:type="dxa"/>
            <w:noWrap/>
            <w:hideMark/>
          </w:tcPr>
          <w:p w14:paraId="3996F6EA" w14:textId="77777777" w:rsidR="007B39BA" w:rsidRPr="00232BBA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regulation of transcription from RNA polymerase II promoter</w:t>
            </w:r>
          </w:p>
        </w:tc>
        <w:tc>
          <w:tcPr>
            <w:tcW w:w="1574" w:type="dxa"/>
            <w:noWrap/>
            <w:hideMark/>
          </w:tcPr>
          <w:p w14:paraId="6F8B46BF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6.926427</w:t>
            </w:r>
          </w:p>
        </w:tc>
        <w:tc>
          <w:tcPr>
            <w:tcW w:w="966" w:type="dxa"/>
            <w:noWrap/>
            <w:hideMark/>
          </w:tcPr>
          <w:p w14:paraId="4D260220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1.6E-08</w:t>
            </w:r>
          </w:p>
        </w:tc>
        <w:tc>
          <w:tcPr>
            <w:tcW w:w="759" w:type="dxa"/>
            <w:noWrap/>
            <w:hideMark/>
          </w:tcPr>
          <w:p w14:paraId="462C5F77" w14:textId="77777777" w:rsidR="007B39BA" w:rsidRPr="00232BBA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2BB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B64425" w:rsidRPr="00B64425" w14:paraId="1789BB2C" w14:textId="77777777" w:rsidTr="00BC74A0">
        <w:trPr>
          <w:trHeight w:val="280"/>
          <w:jc w:val="center"/>
        </w:trPr>
        <w:tc>
          <w:tcPr>
            <w:tcW w:w="1261" w:type="dxa"/>
            <w:noWrap/>
            <w:hideMark/>
          </w:tcPr>
          <w:p w14:paraId="3DEF5C4F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GO:1990440</w:t>
            </w:r>
          </w:p>
        </w:tc>
        <w:tc>
          <w:tcPr>
            <w:tcW w:w="3831" w:type="dxa"/>
            <w:noWrap/>
            <w:hideMark/>
          </w:tcPr>
          <w:p w14:paraId="22B510ED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positive regulation of transcription from RNA polymerase II promoter in response to endoplasmic reticulum stress</w:t>
            </w:r>
          </w:p>
        </w:tc>
        <w:tc>
          <w:tcPr>
            <w:tcW w:w="1574" w:type="dxa"/>
            <w:noWrap/>
            <w:hideMark/>
          </w:tcPr>
          <w:p w14:paraId="17571FDA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305.6508</w:t>
            </w:r>
          </w:p>
        </w:tc>
        <w:tc>
          <w:tcPr>
            <w:tcW w:w="966" w:type="dxa"/>
            <w:noWrap/>
            <w:hideMark/>
          </w:tcPr>
          <w:p w14:paraId="046DBA2D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2.1E-07</w:t>
            </w:r>
          </w:p>
        </w:tc>
        <w:tc>
          <w:tcPr>
            <w:tcW w:w="759" w:type="dxa"/>
            <w:noWrap/>
            <w:hideMark/>
          </w:tcPr>
          <w:p w14:paraId="008C0ADF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64425" w:rsidRPr="00B64425" w14:paraId="7DB6DB76" w14:textId="77777777" w:rsidTr="00BC74A0">
        <w:trPr>
          <w:trHeight w:val="280"/>
          <w:jc w:val="center"/>
        </w:trPr>
        <w:tc>
          <w:tcPr>
            <w:tcW w:w="1261" w:type="dxa"/>
            <w:noWrap/>
            <w:hideMark/>
          </w:tcPr>
          <w:p w14:paraId="19DE3645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GO:0071277</w:t>
            </w:r>
          </w:p>
        </w:tc>
        <w:tc>
          <w:tcPr>
            <w:tcW w:w="3831" w:type="dxa"/>
            <w:noWrap/>
            <w:hideMark/>
          </w:tcPr>
          <w:p w14:paraId="7CD4A548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cellular response to calcium ion</w:t>
            </w:r>
          </w:p>
        </w:tc>
        <w:tc>
          <w:tcPr>
            <w:tcW w:w="1574" w:type="dxa"/>
            <w:noWrap/>
            <w:hideMark/>
          </w:tcPr>
          <w:p w14:paraId="04D5A3CC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49.83437</w:t>
            </w:r>
          </w:p>
        </w:tc>
        <w:tc>
          <w:tcPr>
            <w:tcW w:w="966" w:type="dxa"/>
            <w:noWrap/>
            <w:hideMark/>
          </w:tcPr>
          <w:p w14:paraId="12F982E2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2.23E-06</w:t>
            </w:r>
          </w:p>
        </w:tc>
        <w:tc>
          <w:tcPr>
            <w:tcW w:w="759" w:type="dxa"/>
            <w:noWrap/>
            <w:hideMark/>
          </w:tcPr>
          <w:p w14:paraId="091ECD4E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64425" w:rsidRPr="00B64425" w14:paraId="59FE65FB" w14:textId="77777777" w:rsidTr="00BC74A0">
        <w:trPr>
          <w:trHeight w:val="280"/>
          <w:jc w:val="center"/>
        </w:trPr>
        <w:tc>
          <w:tcPr>
            <w:tcW w:w="1261" w:type="dxa"/>
            <w:noWrap/>
            <w:hideMark/>
          </w:tcPr>
          <w:p w14:paraId="6B0E2B8F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GO:0006366</w:t>
            </w:r>
          </w:p>
        </w:tc>
        <w:tc>
          <w:tcPr>
            <w:tcW w:w="3831" w:type="dxa"/>
            <w:noWrap/>
            <w:hideMark/>
          </w:tcPr>
          <w:p w14:paraId="19AA0A28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transcription from RNA polymerase II promoter</w:t>
            </w:r>
          </w:p>
        </w:tc>
        <w:tc>
          <w:tcPr>
            <w:tcW w:w="1574" w:type="dxa"/>
            <w:noWrap/>
            <w:hideMark/>
          </w:tcPr>
          <w:p w14:paraId="2B546817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22.92381</w:t>
            </w:r>
          </w:p>
        </w:tc>
        <w:tc>
          <w:tcPr>
            <w:tcW w:w="966" w:type="dxa"/>
            <w:noWrap/>
            <w:hideMark/>
          </w:tcPr>
          <w:p w14:paraId="6029FFBD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3.84E-06</w:t>
            </w:r>
          </w:p>
        </w:tc>
        <w:tc>
          <w:tcPr>
            <w:tcW w:w="759" w:type="dxa"/>
            <w:noWrap/>
            <w:hideMark/>
          </w:tcPr>
          <w:p w14:paraId="4644D724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B64425" w:rsidRPr="00B64425" w14:paraId="01DCB012" w14:textId="77777777" w:rsidTr="00BC74A0">
        <w:trPr>
          <w:trHeight w:val="280"/>
          <w:jc w:val="center"/>
        </w:trPr>
        <w:tc>
          <w:tcPr>
            <w:tcW w:w="1261" w:type="dxa"/>
            <w:noWrap/>
            <w:hideMark/>
          </w:tcPr>
          <w:p w14:paraId="0F9B293A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GO:0051591</w:t>
            </w:r>
          </w:p>
        </w:tc>
        <w:tc>
          <w:tcPr>
            <w:tcW w:w="3831" w:type="dxa"/>
            <w:noWrap/>
            <w:hideMark/>
          </w:tcPr>
          <w:p w14:paraId="4E893DC8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response to cAMP</w:t>
            </w:r>
          </w:p>
        </w:tc>
        <w:tc>
          <w:tcPr>
            <w:tcW w:w="1574" w:type="dxa"/>
            <w:noWrap/>
            <w:hideMark/>
          </w:tcPr>
          <w:p w14:paraId="021405D7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76.4127</w:t>
            </w:r>
          </w:p>
        </w:tc>
        <w:tc>
          <w:tcPr>
            <w:tcW w:w="966" w:type="dxa"/>
            <w:noWrap/>
            <w:hideMark/>
          </w:tcPr>
          <w:p w14:paraId="5530B6F6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1.61E-05</w:t>
            </w:r>
          </w:p>
        </w:tc>
        <w:tc>
          <w:tcPr>
            <w:tcW w:w="759" w:type="dxa"/>
            <w:noWrap/>
            <w:hideMark/>
          </w:tcPr>
          <w:p w14:paraId="48E7DB81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64425" w:rsidRPr="00B64425" w14:paraId="1B4DD91F" w14:textId="77777777" w:rsidTr="00BC74A0">
        <w:trPr>
          <w:trHeight w:val="280"/>
          <w:jc w:val="center"/>
        </w:trPr>
        <w:tc>
          <w:tcPr>
            <w:tcW w:w="1261" w:type="dxa"/>
            <w:noWrap/>
            <w:hideMark/>
          </w:tcPr>
          <w:p w14:paraId="0A5B4B9A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GO:0045893</w:t>
            </w:r>
          </w:p>
        </w:tc>
        <w:tc>
          <w:tcPr>
            <w:tcW w:w="3831" w:type="dxa"/>
            <w:noWrap/>
            <w:hideMark/>
          </w:tcPr>
          <w:p w14:paraId="6B701B1A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positive regulation of transcription, DNA-templated</w:t>
            </w:r>
          </w:p>
        </w:tc>
        <w:tc>
          <w:tcPr>
            <w:tcW w:w="1574" w:type="dxa"/>
            <w:noWrap/>
            <w:hideMark/>
          </w:tcPr>
          <w:p w14:paraId="46CCA235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8.964618</w:t>
            </w:r>
          </w:p>
        </w:tc>
        <w:tc>
          <w:tcPr>
            <w:tcW w:w="966" w:type="dxa"/>
            <w:noWrap/>
            <w:hideMark/>
          </w:tcPr>
          <w:p w14:paraId="337799DB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6.42E-05</w:t>
            </w:r>
          </w:p>
        </w:tc>
        <w:tc>
          <w:tcPr>
            <w:tcW w:w="759" w:type="dxa"/>
            <w:noWrap/>
            <w:hideMark/>
          </w:tcPr>
          <w:p w14:paraId="0E562ECB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B64425" w:rsidRPr="00B64425" w14:paraId="467F32D8" w14:textId="77777777" w:rsidTr="00BC74A0">
        <w:trPr>
          <w:trHeight w:val="280"/>
          <w:jc w:val="center"/>
        </w:trPr>
        <w:tc>
          <w:tcPr>
            <w:tcW w:w="1261" w:type="dxa"/>
            <w:noWrap/>
            <w:hideMark/>
          </w:tcPr>
          <w:p w14:paraId="148F36A8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GO:0051726</w:t>
            </w:r>
          </w:p>
        </w:tc>
        <w:tc>
          <w:tcPr>
            <w:tcW w:w="3831" w:type="dxa"/>
            <w:noWrap/>
            <w:hideMark/>
          </w:tcPr>
          <w:p w14:paraId="55308DF1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regulation of cell cycle</w:t>
            </w:r>
          </w:p>
        </w:tc>
        <w:tc>
          <w:tcPr>
            <w:tcW w:w="1574" w:type="dxa"/>
            <w:noWrap/>
            <w:hideMark/>
          </w:tcPr>
          <w:p w14:paraId="42C23842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14.50874</w:t>
            </w:r>
          </w:p>
        </w:tc>
        <w:tc>
          <w:tcPr>
            <w:tcW w:w="966" w:type="dxa"/>
            <w:noWrap/>
            <w:hideMark/>
          </w:tcPr>
          <w:p w14:paraId="2FF5106C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0.00028</w:t>
            </w:r>
          </w:p>
        </w:tc>
        <w:tc>
          <w:tcPr>
            <w:tcW w:w="759" w:type="dxa"/>
            <w:noWrap/>
            <w:hideMark/>
          </w:tcPr>
          <w:p w14:paraId="6783CDE8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B39BA" w:rsidRPr="00B64425" w14:paraId="6C1E336B" w14:textId="77777777" w:rsidTr="00BC74A0">
        <w:trPr>
          <w:trHeight w:val="280"/>
          <w:jc w:val="center"/>
        </w:trPr>
        <w:tc>
          <w:tcPr>
            <w:tcW w:w="1261" w:type="dxa"/>
            <w:tcBorders>
              <w:bottom w:val="single" w:sz="4" w:space="0" w:color="auto"/>
            </w:tcBorders>
            <w:noWrap/>
            <w:hideMark/>
          </w:tcPr>
          <w:p w14:paraId="18CE6216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GO:0070059</w:t>
            </w:r>
          </w:p>
        </w:tc>
        <w:tc>
          <w:tcPr>
            <w:tcW w:w="3831" w:type="dxa"/>
            <w:tcBorders>
              <w:bottom w:val="single" w:sz="4" w:space="0" w:color="auto"/>
            </w:tcBorders>
            <w:noWrap/>
            <w:hideMark/>
          </w:tcPr>
          <w:p w14:paraId="4095A2C2" w14:textId="77777777" w:rsidR="007B39BA" w:rsidRPr="00B64425" w:rsidRDefault="007B39BA" w:rsidP="00BC74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intrinsic apoptotic signaling pathway in response to endoplasmic reticulum stress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noWrap/>
            <w:hideMark/>
          </w:tcPr>
          <w:p w14:paraId="4791D23B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78.59592</w:t>
            </w:r>
          </w:p>
        </w:tc>
        <w:tc>
          <w:tcPr>
            <w:tcW w:w="966" w:type="dxa"/>
            <w:tcBorders>
              <w:bottom w:val="single" w:sz="4" w:space="0" w:color="auto"/>
            </w:tcBorders>
            <w:noWrap/>
            <w:hideMark/>
          </w:tcPr>
          <w:p w14:paraId="403AEE89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0.000597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noWrap/>
            <w:hideMark/>
          </w:tcPr>
          <w:p w14:paraId="2FDDD417" w14:textId="77777777" w:rsidR="007B39BA" w:rsidRPr="00B64425" w:rsidRDefault="007B39BA" w:rsidP="00BC74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14:paraId="57423AE4" w14:textId="71DB2F98" w:rsidR="007B39BA" w:rsidRPr="00B64425" w:rsidRDefault="007B39BA"/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3"/>
        <w:gridCol w:w="3832"/>
        <w:gridCol w:w="1625"/>
        <w:gridCol w:w="1068"/>
        <w:gridCol w:w="788"/>
      </w:tblGrid>
      <w:tr w:rsidR="00B64425" w:rsidRPr="00B64425" w14:paraId="52E8A141" w14:textId="77777777" w:rsidTr="00BC74A0">
        <w:trPr>
          <w:trHeight w:val="280"/>
        </w:trPr>
        <w:tc>
          <w:tcPr>
            <w:tcW w:w="8296" w:type="dxa"/>
            <w:gridSpan w:val="5"/>
            <w:tcBorders>
              <w:bottom w:val="single" w:sz="4" w:space="0" w:color="auto"/>
            </w:tcBorders>
            <w:noWrap/>
          </w:tcPr>
          <w:p w14:paraId="0F4E88F4" w14:textId="2B281B8C" w:rsidR="007B39BA" w:rsidRPr="00B64425" w:rsidRDefault="00295A96" w:rsidP="00BC74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4425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Supplement</w:t>
            </w:r>
            <w:r w:rsidRPr="00B6442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 w:rsidR="007B39BA" w:rsidRPr="00B6442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Ta</w:t>
            </w:r>
            <w:r w:rsidR="007B39BA" w:rsidRPr="00B644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ble </w:t>
            </w:r>
            <w:r w:rsidR="007B39BA" w:rsidRPr="00B6442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 w:rsidR="00A46894" w:rsidRPr="00B644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46894" w:rsidRPr="00B6442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A46894" w:rsidRPr="00B64425">
              <w:rPr>
                <w:rFonts w:ascii="Times New Roman" w:hAnsi="Times New Roman" w:cs="Times New Roman" w:hint="eastAsia"/>
                <w:sz w:val="24"/>
                <w:szCs w:val="24"/>
              </w:rPr>
              <w:t>op</w:t>
            </w:r>
            <w:r w:rsidR="00A46894" w:rsidRPr="00B64425">
              <w:rPr>
                <w:rFonts w:ascii="Times New Roman" w:hAnsi="Times New Roman" w:cs="Times New Roman"/>
                <w:sz w:val="24"/>
                <w:szCs w:val="24"/>
              </w:rPr>
              <w:t xml:space="preserve"> ten KEGG analysis of ATF3-interacting genes</w:t>
            </w:r>
          </w:p>
        </w:tc>
      </w:tr>
      <w:tr w:rsidR="00B64425" w:rsidRPr="00B64425" w14:paraId="59DAEA9A" w14:textId="77777777" w:rsidTr="00BC74A0">
        <w:trPr>
          <w:trHeight w:val="280"/>
        </w:trPr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17F0AD3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1CF1878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Term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0EA88F0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Fold Enrichment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9434C3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PValue</w:t>
            </w:r>
            <w:proofErr w:type="spellEnd"/>
          </w:p>
        </w:tc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B8BA96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Count</w:t>
            </w:r>
          </w:p>
        </w:tc>
      </w:tr>
      <w:tr w:rsidR="00B64425" w:rsidRPr="00B64425" w14:paraId="603E5C09" w14:textId="77777777" w:rsidTr="00BC74A0">
        <w:trPr>
          <w:trHeight w:val="280"/>
        </w:trPr>
        <w:tc>
          <w:tcPr>
            <w:tcW w:w="983" w:type="dxa"/>
            <w:tcBorders>
              <w:top w:val="single" w:sz="4" w:space="0" w:color="auto"/>
            </w:tcBorders>
            <w:noWrap/>
          </w:tcPr>
          <w:p w14:paraId="3E6700A5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hsa04380</w:t>
            </w:r>
          </w:p>
        </w:tc>
        <w:tc>
          <w:tcPr>
            <w:tcW w:w="3832" w:type="dxa"/>
            <w:tcBorders>
              <w:top w:val="single" w:sz="4" w:space="0" w:color="auto"/>
            </w:tcBorders>
            <w:noWrap/>
            <w:hideMark/>
          </w:tcPr>
          <w:p w14:paraId="10908699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Osteoclast differentiation</w:t>
            </w:r>
          </w:p>
        </w:tc>
        <w:tc>
          <w:tcPr>
            <w:tcW w:w="1625" w:type="dxa"/>
            <w:tcBorders>
              <w:top w:val="single" w:sz="4" w:space="0" w:color="auto"/>
            </w:tcBorders>
            <w:noWrap/>
            <w:hideMark/>
          </w:tcPr>
          <w:p w14:paraId="13884818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26.23713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noWrap/>
            <w:hideMark/>
          </w:tcPr>
          <w:p w14:paraId="6E427025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9.35E-08</w:t>
            </w:r>
          </w:p>
        </w:tc>
        <w:tc>
          <w:tcPr>
            <w:tcW w:w="788" w:type="dxa"/>
            <w:tcBorders>
              <w:top w:val="single" w:sz="4" w:space="0" w:color="auto"/>
            </w:tcBorders>
            <w:noWrap/>
            <w:hideMark/>
          </w:tcPr>
          <w:p w14:paraId="05D53AD3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B64425" w:rsidRPr="00B64425" w14:paraId="27A98ECA" w14:textId="77777777" w:rsidTr="00BC74A0">
        <w:trPr>
          <w:trHeight w:val="280"/>
        </w:trPr>
        <w:tc>
          <w:tcPr>
            <w:tcW w:w="983" w:type="dxa"/>
            <w:noWrap/>
          </w:tcPr>
          <w:p w14:paraId="535DA5A0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hsa04657</w:t>
            </w:r>
          </w:p>
        </w:tc>
        <w:tc>
          <w:tcPr>
            <w:tcW w:w="3832" w:type="dxa"/>
            <w:noWrap/>
            <w:hideMark/>
          </w:tcPr>
          <w:p w14:paraId="4AA7DB98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IL-17 signaling pathway</w:t>
            </w:r>
          </w:p>
        </w:tc>
        <w:tc>
          <w:tcPr>
            <w:tcW w:w="1625" w:type="dxa"/>
            <w:noWrap/>
            <w:hideMark/>
          </w:tcPr>
          <w:p w14:paraId="24A02259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30.62328</w:t>
            </w:r>
          </w:p>
        </w:tc>
        <w:tc>
          <w:tcPr>
            <w:tcW w:w="1068" w:type="dxa"/>
            <w:noWrap/>
            <w:hideMark/>
          </w:tcPr>
          <w:p w14:paraId="2E5278CA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7.22E-07</w:t>
            </w:r>
          </w:p>
        </w:tc>
        <w:tc>
          <w:tcPr>
            <w:tcW w:w="788" w:type="dxa"/>
            <w:noWrap/>
            <w:hideMark/>
          </w:tcPr>
          <w:p w14:paraId="2CF0A9A9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B64425" w:rsidRPr="00B64425" w14:paraId="7DA488FF" w14:textId="77777777" w:rsidTr="00BC74A0">
        <w:trPr>
          <w:trHeight w:val="280"/>
        </w:trPr>
        <w:tc>
          <w:tcPr>
            <w:tcW w:w="983" w:type="dxa"/>
            <w:noWrap/>
          </w:tcPr>
          <w:p w14:paraId="2ED79F6B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hsa04668</w:t>
            </w:r>
          </w:p>
        </w:tc>
        <w:tc>
          <w:tcPr>
            <w:tcW w:w="3832" w:type="dxa"/>
            <w:noWrap/>
            <w:hideMark/>
          </w:tcPr>
          <w:p w14:paraId="210BA304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TNF signaling pathway</w:t>
            </w:r>
          </w:p>
        </w:tc>
        <w:tc>
          <w:tcPr>
            <w:tcW w:w="1625" w:type="dxa"/>
            <w:noWrap/>
            <w:hideMark/>
          </w:tcPr>
          <w:p w14:paraId="56798D72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21.41807</w:t>
            </w:r>
          </w:p>
        </w:tc>
        <w:tc>
          <w:tcPr>
            <w:tcW w:w="1068" w:type="dxa"/>
            <w:noWrap/>
            <w:hideMark/>
          </w:tcPr>
          <w:p w14:paraId="103422B6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5.4E-05</w:t>
            </w:r>
          </w:p>
        </w:tc>
        <w:tc>
          <w:tcPr>
            <w:tcW w:w="788" w:type="dxa"/>
            <w:noWrap/>
            <w:hideMark/>
          </w:tcPr>
          <w:p w14:paraId="3B2460DB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64425" w:rsidRPr="00B64425" w14:paraId="00CF2F02" w14:textId="77777777" w:rsidTr="00BC74A0">
        <w:trPr>
          <w:trHeight w:val="280"/>
        </w:trPr>
        <w:tc>
          <w:tcPr>
            <w:tcW w:w="983" w:type="dxa"/>
            <w:noWrap/>
            <w:hideMark/>
          </w:tcPr>
          <w:p w14:paraId="2C289DDE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hsa04668</w:t>
            </w:r>
          </w:p>
        </w:tc>
        <w:tc>
          <w:tcPr>
            <w:tcW w:w="3832" w:type="dxa"/>
            <w:noWrap/>
            <w:hideMark/>
          </w:tcPr>
          <w:p w14:paraId="2D3D119C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MAPK signaling pathway</w:t>
            </w:r>
          </w:p>
        </w:tc>
        <w:tc>
          <w:tcPr>
            <w:tcW w:w="1625" w:type="dxa"/>
            <w:noWrap/>
            <w:hideMark/>
          </w:tcPr>
          <w:p w14:paraId="1AD95DD9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9.791116</w:t>
            </w:r>
          </w:p>
        </w:tc>
        <w:tc>
          <w:tcPr>
            <w:tcW w:w="1068" w:type="dxa"/>
            <w:noWrap/>
            <w:hideMark/>
          </w:tcPr>
          <w:p w14:paraId="1FF20EF2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0.000185</w:t>
            </w:r>
          </w:p>
        </w:tc>
        <w:tc>
          <w:tcPr>
            <w:tcW w:w="788" w:type="dxa"/>
            <w:noWrap/>
            <w:hideMark/>
          </w:tcPr>
          <w:p w14:paraId="24342DD6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B64425" w:rsidRPr="00B64425" w14:paraId="4B8F2DBC" w14:textId="77777777" w:rsidTr="00BC74A0">
        <w:trPr>
          <w:trHeight w:val="280"/>
        </w:trPr>
        <w:tc>
          <w:tcPr>
            <w:tcW w:w="983" w:type="dxa"/>
            <w:noWrap/>
            <w:hideMark/>
          </w:tcPr>
          <w:p w14:paraId="274AFF0C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hsa05031</w:t>
            </w:r>
          </w:p>
        </w:tc>
        <w:tc>
          <w:tcPr>
            <w:tcW w:w="3832" w:type="dxa"/>
            <w:noWrap/>
            <w:hideMark/>
          </w:tcPr>
          <w:p w14:paraId="0327465B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Amphetamine addiction</w:t>
            </w:r>
          </w:p>
        </w:tc>
        <w:tc>
          <w:tcPr>
            <w:tcW w:w="1625" w:type="dxa"/>
            <w:noWrap/>
            <w:hideMark/>
          </w:tcPr>
          <w:p w14:paraId="14C2CB9E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27.81245</w:t>
            </w:r>
          </w:p>
        </w:tc>
        <w:tc>
          <w:tcPr>
            <w:tcW w:w="1068" w:type="dxa"/>
            <w:noWrap/>
            <w:hideMark/>
          </w:tcPr>
          <w:p w14:paraId="100A313A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0.0003</w:t>
            </w:r>
          </w:p>
        </w:tc>
        <w:tc>
          <w:tcPr>
            <w:tcW w:w="788" w:type="dxa"/>
            <w:noWrap/>
            <w:hideMark/>
          </w:tcPr>
          <w:p w14:paraId="720F2F1C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64425" w:rsidRPr="00B64425" w14:paraId="742F1F57" w14:textId="77777777" w:rsidTr="00BC74A0">
        <w:trPr>
          <w:trHeight w:val="280"/>
        </w:trPr>
        <w:tc>
          <w:tcPr>
            <w:tcW w:w="983" w:type="dxa"/>
            <w:noWrap/>
            <w:hideMark/>
          </w:tcPr>
          <w:p w14:paraId="4EDA5E63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hsa05166</w:t>
            </w:r>
          </w:p>
        </w:tc>
        <w:tc>
          <w:tcPr>
            <w:tcW w:w="3832" w:type="dxa"/>
            <w:noWrap/>
            <w:hideMark/>
          </w:tcPr>
          <w:p w14:paraId="2A63D4AE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Human T-cell leukemia virus 1 infection</w:t>
            </w:r>
          </w:p>
        </w:tc>
        <w:tc>
          <w:tcPr>
            <w:tcW w:w="1625" w:type="dxa"/>
            <w:noWrap/>
            <w:hideMark/>
          </w:tcPr>
          <w:p w14:paraId="52E2F372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10.80551</w:t>
            </w:r>
          </w:p>
        </w:tc>
        <w:tc>
          <w:tcPr>
            <w:tcW w:w="1068" w:type="dxa"/>
            <w:noWrap/>
            <w:hideMark/>
          </w:tcPr>
          <w:p w14:paraId="67A24D41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0.000751</w:t>
            </w:r>
          </w:p>
        </w:tc>
        <w:tc>
          <w:tcPr>
            <w:tcW w:w="788" w:type="dxa"/>
            <w:noWrap/>
            <w:hideMark/>
          </w:tcPr>
          <w:p w14:paraId="587AA595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64425" w:rsidRPr="00B64425" w14:paraId="4F03FA63" w14:textId="77777777" w:rsidTr="00BC74A0">
        <w:trPr>
          <w:trHeight w:val="280"/>
        </w:trPr>
        <w:tc>
          <w:tcPr>
            <w:tcW w:w="983" w:type="dxa"/>
            <w:noWrap/>
            <w:hideMark/>
          </w:tcPr>
          <w:p w14:paraId="4ED2411E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hsa04210</w:t>
            </w:r>
          </w:p>
        </w:tc>
        <w:tc>
          <w:tcPr>
            <w:tcW w:w="3832" w:type="dxa"/>
            <w:noWrap/>
            <w:hideMark/>
          </w:tcPr>
          <w:p w14:paraId="7319071E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Apoptosis</w:t>
            </w:r>
          </w:p>
        </w:tc>
        <w:tc>
          <w:tcPr>
            <w:tcW w:w="1625" w:type="dxa"/>
            <w:noWrap/>
            <w:hideMark/>
          </w:tcPr>
          <w:p w14:paraId="22330755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14.11073</w:t>
            </w:r>
          </w:p>
        </w:tc>
        <w:tc>
          <w:tcPr>
            <w:tcW w:w="1068" w:type="dxa"/>
            <w:noWrap/>
            <w:hideMark/>
          </w:tcPr>
          <w:p w14:paraId="1AACFE0E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0.002166</w:t>
            </w:r>
          </w:p>
        </w:tc>
        <w:tc>
          <w:tcPr>
            <w:tcW w:w="788" w:type="dxa"/>
            <w:noWrap/>
            <w:hideMark/>
          </w:tcPr>
          <w:p w14:paraId="799B1F12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64425" w:rsidRPr="00B64425" w14:paraId="46033448" w14:textId="77777777" w:rsidTr="00BC74A0">
        <w:trPr>
          <w:trHeight w:val="280"/>
        </w:trPr>
        <w:tc>
          <w:tcPr>
            <w:tcW w:w="983" w:type="dxa"/>
            <w:noWrap/>
            <w:hideMark/>
          </w:tcPr>
          <w:p w14:paraId="66A983C0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hsa05418</w:t>
            </w:r>
          </w:p>
        </w:tc>
        <w:tc>
          <w:tcPr>
            <w:tcW w:w="3832" w:type="dxa"/>
            <w:noWrap/>
            <w:hideMark/>
          </w:tcPr>
          <w:p w14:paraId="10304A26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Fluid shear stress and atherosclerosis</w:t>
            </w:r>
          </w:p>
        </w:tc>
        <w:tc>
          <w:tcPr>
            <w:tcW w:w="1625" w:type="dxa"/>
            <w:noWrap/>
            <w:hideMark/>
          </w:tcPr>
          <w:p w14:paraId="27994EC6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13.80618</w:t>
            </w:r>
          </w:p>
        </w:tc>
        <w:tc>
          <w:tcPr>
            <w:tcW w:w="1068" w:type="dxa"/>
            <w:noWrap/>
            <w:hideMark/>
          </w:tcPr>
          <w:p w14:paraId="3F6FD9E5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0.002306</w:t>
            </w:r>
          </w:p>
        </w:tc>
        <w:tc>
          <w:tcPr>
            <w:tcW w:w="788" w:type="dxa"/>
            <w:noWrap/>
            <w:hideMark/>
          </w:tcPr>
          <w:p w14:paraId="41070979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64425" w:rsidRPr="00B64425" w14:paraId="163CC260" w14:textId="77777777" w:rsidTr="00BC74A0">
        <w:trPr>
          <w:trHeight w:val="280"/>
        </w:trPr>
        <w:tc>
          <w:tcPr>
            <w:tcW w:w="983" w:type="dxa"/>
            <w:noWrap/>
            <w:hideMark/>
          </w:tcPr>
          <w:p w14:paraId="03F99962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hsa04932</w:t>
            </w:r>
          </w:p>
        </w:tc>
        <w:tc>
          <w:tcPr>
            <w:tcW w:w="3832" w:type="dxa"/>
            <w:noWrap/>
            <w:hideMark/>
          </w:tcPr>
          <w:p w14:paraId="197DF54F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Non-alcoholic fatty liver disease</w:t>
            </w:r>
          </w:p>
        </w:tc>
        <w:tc>
          <w:tcPr>
            <w:tcW w:w="1625" w:type="dxa"/>
            <w:noWrap/>
            <w:hideMark/>
          </w:tcPr>
          <w:p w14:paraId="10388DBA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12.38102</w:t>
            </w:r>
          </w:p>
        </w:tc>
        <w:tc>
          <w:tcPr>
            <w:tcW w:w="1068" w:type="dxa"/>
            <w:noWrap/>
            <w:hideMark/>
          </w:tcPr>
          <w:p w14:paraId="64A1CA9F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0.003143</w:t>
            </w:r>
          </w:p>
        </w:tc>
        <w:tc>
          <w:tcPr>
            <w:tcW w:w="788" w:type="dxa"/>
            <w:noWrap/>
            <w:hideMark/>
          </w:tcPr>
          <w:p w14:paraId="2DE71C7D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64425" w:rsidRPr="00B64425" w14:paraId="513D29D0" w14:textId="77777777" w:rsidTr="00BC74A0">
        <w:trPr>
          <w:trHeight w:val="280"/>
        </w:trPr>
        <w:tc>
          <w:tcPr>
            <w:tcW w:w="983" w:type="dxa"/>
            <w:tcBorders>
              <w:bottom w:val="single" w:sz="4" w:space="0" w:color="auto"/>
            </w:tcBorders>
            <w:noWrap/>
            <w:hideMark/>
          </w:tcPr>
          <w:p w14:paraId="33F9A3FC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hsa05030</w:t>
            </w:r>
          </w:p>
        </w:tc>
        <w:tc>
          <w:tcPr>
            <w:tcW w:w="3832" w:type="dxa"/>
            <w:tcBorders>
              <w:bottom w:val="single" w:sz="4" w:space="0" w:color="auto"/>
            </w:tcBorders>
            <w:noWrap/>
            <w:hideMark/>
          </w:tcPr>
          <w:p w14:paraId="0B14BC7D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Cocaine addiction</w:t>
            </w:r>
          </w:p>
        </w:tc>
        <w:tc>
          <w:tcPr>
            <w:tcW w:w="1625" w:type="dxa"/>
            <w:tcBorders>
              <w:bottom w:val="single" w:sz="4" w:space="0" w:color="auto"/>
            </w:tcBorders>
            <w:noWrap/>
            <w:hideMark/>
          </w:tcPr>
          <w:p w14:paraId="358FB4E5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29.37335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noWrap/>
            <w:hideMark/>
          </w:tcPr>
          <w:p w14:paraId="651B727B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0.004021</w:t>
            </w:r>
          </w:p>
        </w:tc>
        <w:tc>
          <w:tcPr>
            <w:tcW w:w="788" w:type="dxa"/>
            <w:tcBorders>
              <w:bottom w:val="single" w:sz="4" w:space="0" w:color="auto"/>
            </w:tcBorders>
            <w:noWrap/>
            <w:hideMark/>
          </w:tcPr>
          <w:p w14:paraId="6903C8D9" w14:textId="77777777" w:rsidR="007B39BA" w:rsidRPr="00B64425" w:rsidRDefault="007B39BA" w:rsidP="00BC7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42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14:paraId="00BDE032" w14:textId="77777777" w:rsidR="007B39BA" w:rsidRPr="007B39BA" w:rsidRDefault="007B39BA"/>
    <w:sectPr w:rsidR="007B39BA" w:rsidRPr="007B39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87025" w14:textId="77777777" w:rsidR="00FF251F" w:rsidRDefault="00FF251F" w:rsidP="007B39BA">
      <w:r>
        <w:separator/>
      </w:r>
    </w:p>
  </w:endnote>
  <w:endnote w:type="continuationSeparator" w:id="0">
    <w:p w14:paraId="05BE877E" w14:textId="77777777" w:rsidR="00FF251F" w:rsidRDefault="00FF251F" w:rsidP="007B3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6BD52" w14:textId="77777777" w:rsidR="00FF251F" w:rsidRDefault="00FF251F" w:rsidP="007B39BA">
      <w:r>
        <w:separator/>
      </w:r>
    </w:p>
  </w:footnote>
  <w:footnote w:type="continuationSeparator" w:id="0">
    <w:p w14:paraId="1A4CDB69" w14:textId="77777777" w:rsidR="00FF251F" w:rsidRDefault="00FF251F" w:rsidP="007B39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2B2"/>
    <w:rsid w:val="00276E1E"/>
    <w:rsid w:val="00295A96"/>
    <w:rsid w:val="007B39BA"/>
    <w:rsid w:val="00A46894"/>
    <w:rsid w:val="00B64425"/>
    <w:rsid w:val="00BE0E22"/>
    <w:rsid w:val="00C30069"/>
    <w:rsid w:val="00E732B2"/>
    <w:rsid w:val="00FF2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B37FEA"/>
  <w15:chartTrackingRefBased/>
  <w15:docId w15:val="{6CAF75E5-83C0-4C9C-B832-D5092B126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39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39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39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39BA"/>
    <w:rPr>
      <w:sz w:val="18"/>
      <w:szCs w:val="18"/>
    </w:rPr>
  </w:style>
  <w:style w:type="table" w:styleId="a7">
    <w:name w:val="Table Grid"/>
    <w:basedOn w:val="a1"/>
    <w:uiPriority w:val="39"/>
    <w:rsid w:val="007B39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323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466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408931519@qq.com</dc:creator>
  <cp:keywords/>
  <dc:description/>
  <cp:lastModifiedBy>408931519@qq.com</cp:lastModifiedBy>
  <cp:revision>6</cp:revision>
  <dcterms:created xsi:type="dcterms:W3CDTF">2023-03-23T08:58:00Z</dcterms:created>
  <dcterms:modified xsi:type="dcterms:W3CDTF">2023-04-26T08:28:00Z</dcterms:modified>
</cp:coreProperties>
</file>