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BE6D40" w14:textId="77777777" w:rsidR="00BF1AE2" w:rsidRPr="00BF1AE2" w:rsidRDefault="00BF1AE2" w:rsidP="00BF1AE2">
      <w:pPr>
        <w:keepNext/>
        <w:keepLines/>
        <w:suppressAutoHyphens/>
        <w:spacing w:after="0" w:line="240" w:lineRule="auto"/>
        <w:ind w:left="576" w:hanging="576"/>
        <w:jc w:val="both"/>
        <w:outlineLvl w:val="1"/>
        <w:rPr>
          <w:rFonts w:eastAsia="Times New Roman" w:cstheme="minorHAnsi"/>
          <w:b/>
          <w:bCs/>
          <w:color w:val="365F91"/>
        </w:rPr>
      </w:pPr>
      <w:r w:rsidRPr="00BF1AE2">
        <w:rPr>
          <w:rFonts w:eastAsia="Times New Roman" w:cstheme="minorHAnsi"/>
          <w:b/>
          <w:bCs/>
          <w:color w:val="365F91"/>
        </w:rPr>
        <w:t>Description of the study area</w:t>
      </w:r>
    </w:p>
    <w:p w14:paraId="6F71FEEC" w14:textId="77777777" w:rsidR="00BF1AE2" w:rsidRPr="00BF1AE2" w:rsidRDefault="00BF1AE2" w:rsidP="00BF1AE2">
      <w:pPr>
        <w:shd w:val="clear" w:color="auto" w:fill="FFFFFF" w:themeFill="background1"/>
        <w:suppressAutoHyphens/>
        <w:spacing w:after="0" w:line="240" w:lineRule="auto"/>
        <w:jc w:val="both"/>
        <w:rPr>
          <w:rFonts w:cstheme="minorHAnsi"/>
        </w:rPr>
      </w:pPr>
      <w:r w:rsidRPr="00BF1AE2">
        <w:rPr>
          <w:rFonts w:cstheme="minorHAnsi"/>
        </w:rPr>
        <w:t xml:space="preserve">Dire </w:t>
      </w:r>
      <w:proofErr w:type="spellStart"/>
      <w:r w:rsidRPr="00BF1AE2">
        <w:rPr>
          <w:rFonts w:cstheme="minorHAnsi"/>
        </w:rPr>
        <w:t>Dawa</w:t>
      </w:r>
      <w:proofErr w:type="spellEnd"/>
      <w:r w:rsidRPr="00BF1AE2">
        <w:rPr>
          <w:rFonts w:cstheme="minorHAnsi"/>
        </w:rPr>
        <w:t xml:space="preserve"> is a logistics hub for transportation of goods and cargo </w:t>
      </w:r>
      <w:r w:rsidRPr="00BF1AE2">
        <w:rPr>
          <w:rFonts w:cstheme="minorHAnsi"/>
          <w:lang w:val="nl-NL"/>
        </w:rPr>
        <w:t xml:space="preserve">located 515km southeast of Addis Ababa (capital of Ethiopia) and 311km west of Djibouti </w:t>
      </w:r>
      <w:r w:rsidRPr="00BF1AE2">
        <w:rPr>
          <w:rFonts w:cstheme="minorHAnsi"/>
        </w:rPr>
        <w:t>(Fig. S1). Of its total population (445,050), 74% live in urban area which is only 2.3% of the 1,288 km</w:t>
      </w:r>
      <w:r w:rsidRPr="00BF1AE2">
        <w:rPr>
          <w:rFonts w:cstheme="minorHAnsi"/>
          <w:vertAlign w:val="superscript"/>
        </w:rPr>
        <w:t>2</w:t>
      </w:r>
      <w:r w:rsidRPr="00BF1AE2">
        <w:rPr>
          <w:rFonts w:cstheme="minorHAnsi"/>
        </w:rPr>
        <w:t xml:space="preserve"> Dire </w:t>
      </w:r>
      <w:proofErr w:type="spellStart"/>
      <w:r w:rsidRPr="00BF1AE2">
        <w:rPr>
          <w:rFonts w:cstheme="minorHAnsi"/>
        </w:rPr>
        <w:t>Dawa</w:t>
      </w:r>
      <w:proofErr w:type="spellEnd"/>
      <w:r w:rsidRPr="00BF1AE2">
        <w:rPr>
          <w:rFonts w:cstheme="minorHAnsi"/>
        </w:rPr>
        <w:t xml:space="preserve"> territory </w:t>
      </w:r>
      <w:r w:rsidRPr="00BF1AE2">
        <w:rPr>
          <w:rFonts w:cs="Times New Roman"/>
          <w:lang w:val="nl-NL"/>
        </w:rPr>
        <w:fldChar w:fldCharType="begin"/>
      </w:r>
      <w:r w:rsidRPr="00BF1AE2">
        <w:rPr>
          <w:rFonts w:cs="Calibri"/>
        </w:rPr>
        <w:instrText>ADDIN CSL_CITATION {"citationItems":[{"id":"ITEM-1","itemData":{"ISBN":"9789211319811","abstract":"This report was prepared by Ethiopia UN-Habitat Programme Manager Tewodros Tigabu and Consultant Girma Semu elaborating on information collected through interviews with key urban actors in Ethiopia. This project and report were managed by Mohamed El Sioufi, Alain Grimard and Kerstin Sommer. Important inputs were provided by Alioune Badiane, Antonio Yachan, Farrouk Tebbal, Clarissa Augustinus, Mohamed Halfani, Lucia Kiwala, Eduardo Moreno, Raf Tuts, Gulelat Gebede and Gora Mboup. Review,","author":[{"dropping-particle":"","family":"UN-HABITAT","given":"United Nations Human Settlements Programme","non-dropping-particle":"","parse-names":false,"suffix":""}],"id":"ITEM-1","issued":{"date-parts":[["2008"]]},"number-of-pages":"32","title":"Ethiopia : Dire Dawa Urban Profile","type":"book"},"uris":["http://www.mendeley.com/documents/?uuid=a08789f8-8e27-4781-a4e5-fd4c073867fd"]}],"mendeley":{"formattedCitation":"(UN-HABITAT, 2008)","plainTextFormattedCitation":"(UN-HABITAT, 2008)","previouslyFormattedCitation":"(UN-HABITAT, 2008)"},"properties":{"noteIndex":0},"schema":"https://github.com/citation-style-language/schema/raw/master/csl-citation.json"}</w:instrText>
      </w:r>
      <w:r w:rsidRPr="00BF1AE2">
        <w:rPr>
          <w:rFonts w:cs="Calibri"/>
        </w:rPr>
        <w:fldChar w:fldCharType="separate"/>
      </w:r>
      <w:r w:rsidRPr="00BF1AE2">
        <w:rPr>
          <w:rFonts w:cstheme="minorHAnsi"/>
        </w:rPr>
        <w:t>(UN-HABITAT, 2008)</w:t>
      </w:r>
      <w:r w:rsidRPr="00BF1AE2">
        <w:rPr>
          <w:rFonts w:cs="Calibri"/>
        </w:rPr>
        <w:fldChar w:fldCharType="end"/>
      </w:r>
      <w:r w:rsidRPr="00BF1AE2">
        <w:rPr>
          <w:rFonts w:cstheme="minorHAnsi"/>
        </w:rPr>
        <w:t xml:space="preserve">. </w:t>
      </w:r>
      <w:r w:rsidRPr="00BF1AE2">
        <w:rPr>
          <w:rFonts w:cstheme="minorHAnsi"/>
          <w:lang w:val="nl-NL"/>
        </w:rPr>
        <w:t>The area has a warm and dry climate with low level of precipitation (annual rainfall of 623.6mm), and an annual temperature range of 32.0</w:t>
      </w:r>
      <w:r w:rsidRPr="00BF1AE2">
        <w:rPr>
          <w:rFonts w:cstheme="minorHAnsi"/>
          <w:vertAlign w:val="superscript"/>
          <w:lang w:val="nl-NL"/>
        </w:rPr>
        <w:t>o</w:t>
      </w:r>
      <w:r w:rsidRPr="00BF1AE2">
        <w:rPr>
          <w:rFonts w:cstheme="minorHAnsi"/>
          <w:lang w:val="nl-NL"/>
        </w:rPr>
        <w:t>C maximum and 19.1</w:t>
      </w:r>
      <w:r w:rsidRPr="00BF1AE2">
        <w:rPr>
          <w:rFonts w:cstheme="minorHAnsi"/>
          <w:vertAlign w:val="superscript"/>
          <w:lang w:val="nl-NL"/>
        </w:rPr>
        <w:t>o</w:t>
      </w:r>
      <w:r w:rsidRPr="00BF1AE2">
        <w:rPr>
          <w:rFonts w:cstheme="minorHAnsi"/>
          <w:lang w:val="nl-NL"/>
        </w:rPr>
        <w:t xml:space="preserve">C minimum. </w:t>
      </w:r>
      <w:r w:rsidRPr="00BF1AE2">
        <w:rPr>
          <w:rFonts w:cstheme="minorHAnsi"/>
        </w:rPr>
        <w:t xml:space="preserve">Malaria incidence has historically been low (an annual parasite clinical incidence of &lt;5 per 1,000 people between 2014 and 2019), with strong seasonality (August to November being the peak season), and sympatric </w:t>
      </w:r>
      <w:r w:rsidRPr="00BF1AE2">
        <w:rPr>
          <w:rFonts w:cstheme="minorHAnsi"/>
          <w:i/>
          <w:iCs/>
        </w:rPr>
        <w:t>P. falciparum</w:t>
      </w:r>
      <w:r w:rsidRPr="00BF1AE2">
        <w:rPr>
          <w:rFonts w:cstheme="minorHAnsi"/>
        </w:rPr>
        <w:t xml:space="preserve"> and </w:t>
      </w:r>
      <w:r w:rsidRPr="00BF1AE2">
        <w:rPr>
          <w:rFonts w:cstheme="minorHAnsi"/>
          <w:i/>
          <w:iCs/>
        </w:rPr>
        <w:t>P. vivax</w:t>
      </w:r>
      <w:r w:rsidRPr="00BF1AE2">
        <w:rPr>
          <w:rFonts w:cstheme="minorHAnsi"/>
        </w:rPr>
        <w:t xml:space="preserve"> infections (DHIS2). </w:t>
      </w:r>
    </w:p>
    <w:p w14:paraId="034D994D" w14:textId="77777777" w:rsidR="00BF1AE2" w:rsidRPr="00BF1AE2" w:rsidRDefault="00BF1AE2" w:rsidP="00BF1AE2">
      <w:pPr>
        <w:suppressAutoHyphens/>
        <w:spacing w:after="0" w:line="240" w:lineRule="auto"/>
        <w:jc w:val="both"/>
        <w:rPr>
          <w:rFonts w:cstheme="minorHAnsi"/>
          <w:bCs/>
        </w:rPr>
      </w:pPr>
    </w:p>
    <w:p w14:paraId="52FED24C" w14:textId="77777777" w:rsidR="00BF1AE2" w:rsidRPr="00BF1AE2" w:rsidRDefault="00BF1AE2" w:rsidP="00BF1AE2">
      <w:pPr>
        <w:suppressAutoHyphens/>
        <w:spacing w:after="0" w:line="240" w:lineRule="auto"/>
        <w:jc w:val="both"/>
        <w:rPr>
          <w:rFonts w:cstheme="minorHAnsi"/>
          <w:color w:val="000000"/>
          <w:lang w:val="nl-NL"/>
        </w:rPr>
      </w:pPr>
      <w:r w:rsidRPr="00BF1AE2">
        <w:rPr>
          <w:rFonts w:cs="Times New Roman"/>
          <w:noProof/>
        </w:rPr>
        <w:drawing>
          <wp:inline distT="0" distB="0" distL="0" distR="0" wp14:anchorId="2D5D0490" wp14:editId="6484C886">
            <wp:extent cx="5760720" cy="4094480"/>
            <wp:effectExtent l="0" t="0" r="0" b="0"/>
            <wp:docPr id="1" name="Picture 851842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851842591"/>
                    <pic:cNvPicPr>
                      <a:picLocks noChangeAspect="1" noChangeArrowheads="1"/>
                    </pic:cNvPicPr>
                  </pic:nvPicPr>
                  <pic:blipFill>
                    <a:blip r:embed="rId6"/>
                    <a:srcRect r="20855"/>
                    <a:stretch>
                      <a:fillRect/>
                    </a:stretch>
                  </pic:blipFill>
                  <pic:spPr bwMode="auto">
                    <a:xfrm>
                      <a:off x="0" y="0"/>
                      <a:ext cx="5760720" cy="4094480"/>
                    </a:xfrm>
                    <a:prstGeom prst="rect">
                      <a:avLst/>
                    </a:prstGeom>
                  </pic:spPr>
                </pic:pic>
              </a:graphicData>
            </a:graphic>
          </wp:inline>
        </w:drawing>
      </w:r>
      <w:r w:rsidRPr="00BF1AE2">
        <w:rPr>
          <w:rFonts w:cstheme="minorHAnsi"/>
          <w:b/>
          <w:bCs/>
          <w:color w:val="000000"/>
        </w:rPr>
        <w:t xml:space="preserve"> Figure S</w:t>
      </w:r>
      <w:r w:rsidRPr="00BF1AE2">
        <w:rPr>
          <w:rFonts w:cstheme="minorHAnsi"/>
          <w:b/>
          <w:bCs/>
          <w:i/>
          <w:iCs/>
          <w:color w:val="000000"/>
          <w:lang w:val="nl-NL"/>
        </w:rPr>
        <w:fldChar w:fldCharType="begin"/>
      </w:r>
      <w:r w:rsidRPr="00BF1AE2">
        <w:rPr>
          <w:rFonts w:cs="Calibri"/>
          <w:b/>
          <w:bCs/>
          <w:i/>
          <w:iCs/>
          <w:color w:val="000000"/>
          <w:lang w:val="nl-NL"/>
        </w:rPr>
        <w:instrText xml:space="preserve"> SEQ Figure \* ARABIC </w:instrText>
      </w:r>
      <w:r w:rsidRPr="00BF1AE2">
        <w:rPr>
          <w:rFonts w:cs="Calibri"/>
          <w:b/>
          <w:bCs/>
          <w:i/>
          <w:iCs/>
          <w:color w:val="000000"/>
          <w:lang w:val="nl-NL"/>
        </w:rPr>
        <w:fldChar w:fldCharType="separate"/>
      </w:r>
      <w:r w:rsidRPr="00BF1AE2">
        <w:rPr>
          <w:rFonts w:cs="Calibri"/>
          <w:b/>
          <w:bCs/>
          <w:i/>
          <w:iCs/>
          <w:color w:val="000000"/>
          <w:lang w:val="nl-NL"/>
        </w:rPr>
        <w:t>1</w:t>
      </w:r>
      <w:r w:rsidRPr="00BF1AE2">
        <w:rPr>
          <w:rFonts w:cs="Calibri"/>
          <w:b/>
          <w:bCs/>
          <w:i/>
          <w:iCs/>
          <w:color w:val="000000"/>
          <w:lang w:val="nl-NL"/>
        </w:rPr>
        <w:fldChar w:fldCharType="end"/>
      </w:r>
      <w:r w:rsidRPr="00BF1AE2">
        <w:rPr>
          <w:rFonts w:cstheme="minorHAnsi"/>
          <w:b/>
          <w:bCs/>
          <w:color w:val="000000"/>
        </w:rPr>
        <w:t xml:space="preserve">: Location of cases, controls, water storage containers, water treatment plant, health facilities and other geographic features in Dire </w:t>
      </w:r>
      <w:proofErr w:type="spellStart"/>
      <w:r w:rsidRPr="00BF1AE2">
        <w:rPr>
          <w:rFonts w:cstheme="minorHAnsi"/>
          <w:b/>
          <w:bCs/>
          <w:color w:val="000000"/>
        </w:rPr>
        <w:t>Dawa</w:t>
      </w:r>
      <w:proofErr w:type="spellEnd"/>
      <w:r w:rsidRPr="00BF1AE2">
        <w:rPr>
          <w:rFonts w:cstheme="minorHAnsi"/>
          <w:color w:val="000000"/>
        </w:rPr>
        <w:t xml:space="preserve">. </w:t>
      </w:r>
    </w:p>
    <w:p w14:paraId="14D697B7" w14:textId="77777777" w:rsidR="00BF1AE2" w:rsidRPr="00BF1AE2" w:rsidRDefault="00BF1AE2" w:rsidP="00BF1AE2">
      <w:pPr>
        <w:suppressAutoHyphens/>
        <w:spacing w:after="0" w:line="240" w:lineRule="auto"/>
        <w:jc w:val="both"/>
        <w:rPr>
          <w:rFonts w:cstheme="minorHAnsi"/>
          <w:color w:val="000000"/>
          <w:lang w:val="nl-NL"/>
        </w:rPr>
      </w:pPr>
    </w:p>
    <w:p w14:paraId="0786F364" w14:textId="77777777" w:rsidR="00BF1AE2" w:rsidRPr="00BF1AE2" w:rsidRDefault="00BF1AE2" w:rsidP="00BF1AE2">
      <w:pPr>
        <w:suppressAutoHyphens/>
        <w:spacing w:after="0" w:line="240" w:lineRule="auto"/>
        <w:jc w:val="both"/>
        <w:rPr>
          <w:rFonts w:cstheme="minorHAnsi"/>
          <w:bCs/>
          <w:shd w:val="clear" w:color="auto" w:fill="FFFFFF"/>
        </w:rPr>
      </w:pPr>
      <w:r w:rsidRPr="00BF1AE2">
        <w:rPr>
          <w:rFonts w:cstheme="minorHAnsi"/>
        </w:rPr>
        <w:t xml:space="preserve">There are two public and five private hospitals, </w:t>
      </w:r>
      <w:r w:rsidRPr="00BF1AE2">
        <w:rPr>
          <w:rFonts w:cs="Calibri"/>
          <w:color w:val="000000"/>
          <w:shd w:val="clear" w:color="auto" w:fill="FFFFFF"/>
          <w:lang w:val="nl-NL"/>
        </w:rPr>
        <w:t>15 health centers (funded publicly, 8 in the city and 7 in the rural areas), and 17 clinics (private) in the city</w:t>
      </w:r>
      <w:r w:rsidRPr="00BF1AE2">
        <w:rPr>
          <w:rFonts w:cstheme="minorHAnsi"/>
        </w:rPr>
        <w:t xml:space="preserve">. Four years of malaria data (January 2019 to May 2022) were collected from 34 private and public health facilities (Table S1). Goro health center and DDU students’ clinic were selected for the current study based on the highest number of cases they reported prior to the start of the study (January – February 2022). In fact, together, the two health facilities reported 56% of the total cases in the city in 2022 (January – May). As </w:t>
      </w:r>
      <w:r w:rsidRPr="00BF1AE2">
        <w:rPr>
          <w:rFonts w:cstheme="minorHAnsi"/>
          <w:bCs/>
          <w:shd w:val="clear" w:color="auto" w:fill="FFFFFF"/>
        </w:rPr>
        <w:t>in all public universities in Ethiopia, students live within campus with full and shared accommodation provided by the government. At DDU, an average of six students of the same sex and year of study share a dormitory on a three story building that has an average of 67 dormitories. Routine healthcare service is provided in a university dedicated students’ clinic.</w:t>
      </w:r>
    </w:p>
    <w:p w14:paraId="5F3407BC" w14:textId="77777777" w:rsidR="00BF1AE2" w:rsidRPr="00BF1AE2" w:rsidRDefault="00BF1AE2" w:rsidP="00BF1AE2">
      <w:pPr>
        <w:suppressAutoHyphens/>
        <w:spacing w:after="0" w:line="240" w:lineRule="auto"/>
        <w:jc w:val="both"/>
        <w:rPr>
          <w:rFonts w:cstheme="minorHAnsi"/>
          <w:bCs/>
          <w:shd w:val="clear" w:color="auto" w:fill="FFFFFF"/>
        </w:rPr>
      </w:pPr>
    </w:p>
    <w:p w14:paraId="6A19B147" w14:textId="77777777" w:rsidR="00BF1AE2" w:rsidRPr="00BF1AE2" w:rsidRDefault="00BF1AE2" w:rsidP="00BF1AE2">
      <w:pPr>
        <w:suppressAutoHyphens/>
        <w:spacing w:after="0" w:line="240" w:lineRule="auto"/>
        <w:jc w:val="both"/>
        <w:rPr>
          <w:rFonts w:cstheme="minorHAnsi"/>
          <w:bCs/>
          <w:shd w:val="clear" w:color="auto" w:fill="FFFFFF"/>
        </w:rPr>
      </w:pPr>
    </w:p>
    <w:p w14:paraId="76B2E5E7" w14:textId="77777777" w:rsidR="00BF1AE2" w:rsidRPr="00BF1AE2" w:rsidRDefault="00BF1AE2" w:rsidP="00BF1AE2">
      <w:pPr>
        <w:suppressAutoHyphens/>
        <w:spacing w:after="0" w:line="240" w:lineRule="auto"/>
        <w:jc w:val="both"/>
        <w:rPr>
          <w:rFonts w:cstheme="minorHAnsi"/>
          <w:bCs/>
          <w:shd w:val="clear" w:color="auto" w:fill="FFFFFF"/>
        </w:rPr>
      </w:pPr>
    </w:p>
    <w:p w14:paraId="482ACB73" w14:textId="77777777" w:rsidR="00BF1AE2" w:rsidRPr="00BF1AE2" w:rsidRDefault="00BF1AE2" w:rsidP="00BF1AE2">
      <w:pPr>
        <w:suppressAutoHyphens/>
        <w:spacing w:after="0" w:line="240" w:lineRule="auto"/>
        <w:jc w:val="both"/>
        <w:rPr>
          <w:rFonts w:cstheme="minorHAnsi"/>
          <w:bCs/>
          <w:shd w:val="clear" w:color="auto" w:fill="FFFFFF"/>
        </w:rPr>
      </w:pPr>
    </w:p>
    <w:p w14:paraId="2CCBD06C" w14:textId="77777777" w:rsidR="00BF1AE2" w:rsidRPr="00BF1AE2" w:rsidRDefault="00BF1AE2" w:rsidP="00BF1AE2">
      <w:pPr>
        <w:suppressAutoHyphens/>
        <w:spacing w:after="0" w:line="240" w:lineRule="auto"/>
        <w:jc w:val="both"/>
        <w:rPr>
          <w:rFonts w:cstheme="minorHAnsi"/>
          <w:bCs/>
          <w:shd w:val="clear" w:color="auto" w:fill="FFFFFF"/>
        </w:rPr>
      </w:pPr>
    </w:p>
    <w:p w14:paraId="6AE875DD" w14:textId="77777777" w:rsidR="00E86A0B" w:rsidRPr="00BF1AE2" w:rsidRDefault="00BF1AE2" w:rsidP="00E86A0B">
      <w:pPr>
        <w:suppressAutoHyphens/>
        <w:spacing w:after="0" w:line="240" w:lineRule="auto"/>
        <w:jc w:val="both"/>
        <w:rPr>
          <w:rFonts w:cstheme="minorHAnsi"/>
          <w:b/>
          <w:color w:val="000000"/>
          <w:lang w:val="nl-NL"/>
        </w:rPr>
      </w:pPr>
      <w:r w:rsidRPr="00BF1AE2">
        <w:rPr>
          <w:rFonts w:cstheme="minorHAnsi"/>
          <w:b/>
          <w:color w:val="000000"/>
          <w:lang w:val="nl-NL"/>
        </w:rPr>
        <w:lastRenderedPageBreak/>
        <w:t xml:space="preserve">Table </w:t>
      </w:r>
      <w:r w:rsidRPr="00BF1AE2">
        <w:rPr>
          <w:rFonts w:cstheme="minorHAnsi"/>
          <w:b/>
          <w:bCs/>
          <w:color w:val="000000"/>
          <w:lang w:val="nl-NL"/>
        </w:rPr>
        <w:t>S1</w:t>
      </w:r>
      <w:r w:rsidRPr="00BF1AE2">
        <w:rPr>
          <w:rFonts w:cstheme="minorHAnsi"/>
          <w:b/>
          <w:color w:val="000000"/>
          <w:lang w:val="nl-NL"/>
        </w:rPr>
        <w:t>. Monthly total cases tested for malaria and positivity rate in Dire Dawa between January 20</w:t>
      </w:r>
      <w:r w:rsidR="00E86A0B" w:rsidRPr="00BF1AE2">
        <w:rPr>
          <w:rFonts w:cstheme="minorHAnsi"/>
          <w:b/>
          <w:color w:val="000000"/>
          <w:lang w:val="nl-NL"/>
        </w:rPr>
        <w:t>19 and May 2022, obtained from 34 public and private health facilities.</w:t>
      </w:r>
    </w:p>
    <w:p w14:paraId="5D7303E2" w14:textId="77777777" w:rsidR="003B4821" w:rsidRPr="00BF1AE2" w:rsidRDefault="003B4821" w:rsidP="00BF1AE2">
      <w:pPr>
        <w:suppressAutoHyphens/>
        <w:spacing w:after="0" w:line="240" w:lineRule="auto"/>
        <w:jc w:val="both"/>
        <w:rPr>
          <w:rFonts w:cstheme="minorHAnsi"/>
          <w:b/>
          <w:color w:val="000000"/>
          <w:lang w:val="nl-NL"/>
        </w:rPr>
      </w:pPr>
    </w:p>
    <w:tbl>
      <w:tblPr>
        <w:tblW w:w="9108" w:type="dxa"/>
        <w:tblLayout w:type="fixed"/>
        <w:tblLook w:val="04A0" w:firstRow="1" w:lastRow="0" w:firstColumn="1" w:lastColumn="0" w:noHBand="0" w:noVBand="1"/>
      </w:tblPr>
      <w:tblGrid>
        <w:gridCol w:w="1696"/>
        <w:gridCol w:w="1842"/>
        <w:gridCol w:w="1843"/>
        <w:gridCol w:w="1837"/>
        <w:gridCol w:w="1890"/>
      </w:tblGrid>
      <w:tr w:rsidR="003B4821" w:rsidRPr="00BF1AE2" w14:paraId="6F02EBC8" w14:textId="77777777" w:rsidTr="00846B9B">
        <w:trPr>
          <w:trHeight w:val="290"/>
        </w:trPr>
        <w:tc>
          <w:tcPr>
            <w:tcW w:w="1696" w:type="dxa"/>
            <w:vMerge w:val="restart"/>
            <w:tcBorders>
              <w:top w:val="single" w:sz="4" w:space="0" w:color="000000"/>
              <w:left w:val="single" w:sz="4" w:space="0" w:color="000000"/>
              <w:bottom w:val="single" w:sz="4" w:space="0" w:color="000000"/>
              <w:right w:val="single" w:sz="4" w:space="0" w:color="000000"/>
            </w:tcBorders>
            <w:shd w:val="clear" w:color="000000" w:fill="BFBFBF"/>
            <w:vAlign w:val="center"/>
          </w:tcPr>
          <w:p w14:paraId="2068CFD8" w14:textId="77777777" w:rsidR="003B4821" w:rsidRPr="00BF1AE2" w:rsidRDefault="003B4821" w:rsidP="00846B9B">
            <w:pPr>
              <w:widowControl w:val="0"/>
              <w:suppressAutoHyphens/>
              <w:spacing w:after="0" w:line="240" w:lineRule="auto"/>
              <w:jc w:val="center"/>
              <w:rPr>
                <w:rFonts w:eastAsia="Times New Roman" w:cs="Calibri"/>
                <w:color w:val="000000"/>
              </w:rPr>
            </w:pPr>
            <w:r w:rsidRPr="00BF1AE2">
              <w:rPr>
                <w:rFonts w:eastAsia="Times New Roman" w:cs="Calibri"/>
                <w:color w:val="000000"/>
              </w:rPr>
              <w:t>Months</w:t>
            </w:r>
          </w:p>
        </w:tc>
        <w:tc>
          <w:tcPr>
            <w:tcW w:w="7412" w:type="dxa"/>
            <w:gridSpan w:val="4"/>
            <w:tcBorders>
              <w:top w:val="single" w:sz="4" w:space="0" w:color="000000"/>
              <w:bottom w:val="single" w:sz="4" w:space="0" w:color="000000"/>
              <w:right w:val="single" w:sz="4" w:space="0" w:color="000000"/>
            </w:tcBorders>
            <w:shd w:val="clear" w:color="000000" w:fill="BFBFBF"/>
            <w:vAlign w:val="bottom"/>
          </w:tcPr>
          <w:p w14:paraId="6FFA43AB" w14:textId="77777777" w:rsidR="003B4821" w:rsidRPr="00BF1AE2" w:rsidRDefault="003B4821" w:rsidP="00846B9B">
            <w:pPr>
              <w:widowControl w:val="0"/>
              <w:suppressAutoHyphens/>
              <w:spacing w:after="0" w:line="240" w:lineRule="auto"/>
              <w:jc w:val="center"/>
              <w:rPr>
                <w:rFonts w:eastAsia="Times New Roman" w:cs="Calibri"/>
                <w:color w:val="000000"/>
              </w:rPr>
            </w:pPr>
            <w:r w:rsidRPr="00BF1AE2">
              <w:rPr>
                <w:rFonts w:eastAsia="Times New Roman" w:cs="Calibri"/>
                <w:color w:val="000000"/>
              </w:rPr>
              <w:t>Year, % (total positive/total tested)</w:t>
            </w:r>
          </w:p>
        </w:tc>
      </w:tr>
      <w:tr w:rsidR="003B4821" w:rsidRPr="00BF1AE2" w14:paraId="52BB38D8" w14:textId="77777777" w:rsidTr="00846B9B">
        <w:trPr>
          <w:trHeight w:val="290"/>
        </w:trPr>
        <w:tc>
          <w:tcPr>
            <w:tcW w:w="1696" w:type="dxa"/>
            <w:vMerge/>
            <w:tcBorders>
              <w:top w:val="single" w:sz="4" w:space="0" w:color="000000"/>
              <w:left w:val="single" w:sz="4" w:space="0" w:color="000000"/>
              <w:bottom w:val="single" w:sz="4" w:space="0" w:color="000000"/>
              <w:right w:val="single" w:sz="4" w:space="0" w:color="000000"/>
            </w:tcBorders>
            <w:vAlign w:val="center"/>
          </w:tcPr>
          <w:p w14:paraId="5E1C50D0" w14:textId="77777777" w:rsidR="003B4821" w:rsidRPr="00BF1AE2" w:rsidRDefault="003B4821" w:rsidP="00846B9B">
            <w:pPr>
              <w:widowControl w:val="0"/>
              <w:suppressAutoHyphens/>
              <w:spacing w:after="0" w:line="240" w:lineRule="auto"/>
              <w:rPr>
                <w:rFonts w:eastAsia="Times New Roman" w:cs="Calibri"/>
                <w:color w:val="000000"/>
              </w:rPr>
            </w:pPr>
          </w:p>
        </w:tc>
        <w:tc>
          <w:tcPr>
            <w:tcW w:w="1842" w:type="dxa"/>
            <w:tcBorders>
              <w:bottom w:val="single" w:sz="4" w:space="0" w:color="000000"/>
              <w:right w:val="single" w:sz="4" w:space="0" w:color="000000"/>
            </w:tcBorders>
            <w:shd w:val="clear" w:color="000000" w:fill="BFBFBF"/>
            <w:vAlign w:val="bottom"/>
          </w:tcPr>
          <w:p w14:paraId="7F5530D2"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2019</w:t>
            </w:r>
          </w:p>
        </w:tc>
        <w:tc>
          <w:tcPr>
            <w:tcW w:w="1843" w:type="dxa"/>
            <w:tcBorders>
              <w:bottom w:val="single" w:sz="4" w:space="0" w:color="000000"/>
              <w:right w:val="single" w:sz="4" w:space="0" w:color="000000"/>
            </w:tcBorders>
            <w:shd w:val="clear" w:color="000000" w:fill="BFBFBF"/>
            <w:vAlign w:val="bottom"/>
          </w:tcPr>
          <w:p w14:paraId="023EF2C3"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2020</w:t>
            </w:r>
          </w:p>
        </w:tc>
        <w:tc>
          <w:tcPr>
            <w:tcW w:w="1837" w:type="dxa"/>
            <w:tcBorders>
              <w:bottom w:val="single" w:sz="4" w:space="0" w:color="000000"/>
              <w:right w:val="single" w:sz="4" w:space="0" w:color="000000"/>
            </w:tcBorders>
            <w:shd w:val="clear" w:color="000000" w:fill="BFBFBF"/>
            <w:vAlign w:val="bottom"/>
          </w:tcPr>
          <w:p w14:paraId="43F3C9BA"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2021</w:t>
            </w:r>
          </w:p>
        </w:tc>
        <w:tc>
          <w:tcPr>
            <w:tcW w:w="1890" w:type="dxa"/>
            <w:tcBorders>
              <w:bottom w:val="single" w:sz="4" w:space="0" w:color="000000"/>
              <w:right w:val="single" w:sz="4" w:space="0" w:color="000000"/>
            </w:tcBorders>
            <w:shd w:val="clear" w:color="000000" w:fill="BFBFBF"/>
            <w:vAlign w:val="bottom"/>
          </w:tcPr>
          <w:p w14:paraId="7A8EC8D3"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2022</w:t>
            </w:r>
          </w:p>
        </w:tc>
      </w:tr>
      <w:tr w:rsidR="003B4821" w:rsidRPr="00BF1AE2" w14:paraId="5BE6273A" w14:textId="77777777" w:rsidTr="00846B9B">
        <w:trPr>
          <w:trHeight w:val="290"/>
        </w:trPr>
        <w:tc>
          <w:tcPr>
            <w:tcW w:w="1696" w:type="dxa"/>
            <w:tcBorders>
              <w:left w:val="single" w:sz="4" w:space="0" w:color="000000"/>
              <w:bottom w:val="single" w:sz="4" w:space="0" w:color="000000"/>
              <w:right w:val="single" w:sz="4" w:space="0" w:color="000000"/>
            </w:tcBorders>
            <w:shd w:val="clear" w:color="auto" w:fill="auto"/>
            <w:vAlign w:val="bottom"/>
          </w:tcPr>
          <w:p w14:paraId="73808969" w14:textId="77777777" w:rsidR="003B4821" w:rsidRPr="00BF1AE2" w:rsidRDefault="003B4821" w:rsidP="00846B9B">
            <w:pPr>
              <w:widowControl w:val="0"/>
              <w:suppressAutoHyphens/>
              <w:spacing w:after="0" w:line="240" w:lineRule="auto"/>
              <w:rPr>
                <w:rFonts w:eastAsia="Times New Roman" w:cs="Calibri"/>
                <w:color w:val="000000"/>
              </w:rPr>
            </w:pPr>
            <w:r w:rsidRPr="00BF1AE2">
              <w:rPr>
                <w:rFonts w:eastAsia="Times New Roman" w:cs="Calibri"/>
                <w:color w:val="000000"/>
              </w:rPr>
              <w:t xml:space="preserve">January </w:t>
            </w:r>
          </w:p>
        </w:tc>
        <w:tc>
          <w:tcPr>
            <w:tcW w:w="1842" w:type="dxa"/>
            <w:tcBorders>
              <w:bottom w:val="single" w:sz="4" w:space="0" w:color="000000"/>
              <w:right w:val="single" w:sz="4" w:space="0" w:color="000000"/>
            </w:tcBorders>
            <w:shd w:val="clear" w:color="auto" w:fill="auto"/>
            <w:vAlign w:val="bottom"/>
          </w:tcPr>
          <w:p w14:paraId="25248445"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2.3(43/1884)</w:t>
            </w:r>
          </w:p>
        </w:tc>
        <w:tc>
          <w:tcPr>
            <w:tcW w:w="1843" w:type="dxa"/>
            <w:tcBorders>
              <w:bottom w:val="single" w:sz="4" w:space="0" w:color="000000"/>
              <w:right w:val="single" w:sz="4" w:space="0" w:color="000000"/>
            </w:tcBorders>
            <w:shd w:val="clear" w:color="auto" w:fill="auto"/>
            <w:vAlign w:val="bottom"/>
          </w:tcPr>
          <w:p w14:paraId="04F3201D"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5.1(153/3022)</w:t>
            </w:r>
          </w:p>
        </w:tc>
        <w:tc>
          <w:tcPr>
            <w:tcW w:w="1837" w:type="dxa"/>
            <w:tcBorders>
              <w:bottom w:val="single" w:sz="4" w:space="0" w:color="000000"/>
              <w:right w:val="single" w:sz="4" w:space="0" w:color="000000"/>
            </w:tcBorders>
            <w:shd w:val="clear" w:color="auto" w:fill="auto"/>
            <w:vAlign w:val="bottom"/>
          </w:tcPr>
          <w:p w14:paraId="7E23B23A" w14:textId="08FCDAD2"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6.5(73/1131)</w:t>
            </w:r>
          </w:p>
        </w:tc>
        <w:tc>
          <w:tcPr>
            <w:tcW w:w="1890" w:type="dxa"/>
            <w:tcBorders>
              <w:bottom w:val="single" w:sz="4" w:space="0" w:color="000000"/>
              <w:right w:val="single" w:sz="4" w:space="0" w:color="000000"/>
            </w:tcBorders>
            <w:shd w:val="clear" w:color="auto" w:fill="auto"/>
            <w:vAlign w:val="bottom"/>
          </w:tcPr>
          <w:p w14:paraId="3A795607"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9.9(371/3735)</w:t>
            </w:r>
          </w:p>
        </w:tc>
      </w:tr>
      <w:tr w:rsidR="003B4821" w:rsidRPr="00BF1AE2" w14:paraId="66DACA12" w14:textId="77777777" w:rsidTr="00846B9B">
        <w:trPr>
          <w:trHeight w:val="290"/>
        </w:trPr>
        <w:tc>
          <w:tcPr>
            <w:tcW w:w="1696" w:type="dxa"/>
            <w:tcBorders>
              <w:left w:val="single" w:sz="4" w:space="0" w:color="000000"/>
              <w:bottom w:val="single" w:sz="4" w:space="0" w:color="000000"/>
              <w:right w:val="single" w:sz="4" w:space="0" w:color="000000"/>
            </w:tcBorders>
            <w:shd w:val="clear" w:color="auto" w:fill="auto"/>
            <w:vAlign w:val="bottom"/>
          </w:tcPr>
          <w:p w14:paraId="277BD05C" w14:textId="77777777" w:rsidR="003B4821" w:rsidRPr="00BF1AE2" w:rsidRDefault="003B4821" w:rsidP="00846B9B">
            <w:pPr>
              <w:widowControl w:val="0"/>
              <w:suppressAutoHyphens/>
              <w:spacing w:after="0" w:line="240" w:lineRule="auto"/>
              <w:rPr>
                <w:rFonts w:eastAsia="Times New Roman" w:cs="Calibri"/>
                <w:color w:val="000000"/>
              </w:rPr>
            </w:pPr>
            <w:r w:rsidRPr="00BF1AE2">
              <w:rPr>
                <w:rFonts w:eastAsia="Times New Roman" w:cs="Calibri"/>
                <w:color w:val="000000"/>
              </w:rPr>
              <w:t>February</w:t>
            </w:r>
          </w:p>
        </w:tc>
        <w:tc>
          <w:tcPr>
            <w:tcW w:w="1842" w:type="dxa"/>
            <w:tcBorders>
              <w:bottom w:val="single" w:sz="4" w:space="0" w:color="000000"/>
              <w:right w:val="single" w:sz="4" w:space="0" w:color="000000"/>
            </w:tcBorders>
            <w:shd w:val="clear" w:color="auto" w:fill="auto"/>
            <w:vAlign w:val="bottom"/>
          </w:tcPr>
          <w:p w14:paraId="53F52FAA"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3.0(45/1507)</w:t>
            </w:r>
          </w:p>
        </w:tc>
        <w:tc>
          <w:tcPr>
            <w:tcW w:w="1843" w:type="dxa"/>
            <w:tcBorders>
              <w:bottom w:val="single" w:sz="4" w:space="0" w:color="000000"/>
              <w:right w:val="single" w:sz="4" w:space="0" w:color="000000"/>
            </w:tcBorders>
            <w:shd w:val="clear" w:color="auto" w:fill="auto"/>
            <w:vAlign w:val="bottom"/>
          </w:tcPr>
          <w:p w14:paraId="00326939"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5.3(152/2843)</w:t>
            </w:r>
          </w:p>
        </w:tc>
        <w:tc>
          <w:tcPr>
            <w:tcW w:w="1837" w:type="dxa"/>
            <w:tcBorders>
              <w:bottom w:val="single" w:sz="4" w:space="0" w:color="000000"/>
              <w:right w:val="single" w:sz="4" w:space="0" w:color="000000"/>
            </w:tcBorders>
            <w:shd w:val="clear" w:color="auto" w:fill="auto"/>
            <w:vAlign w:val="bottom"/>
          </w:tcPr>
          <w:p w14:paraId="28FB68BB" w14:textId="41B64834"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6.3(66/1044)</w:t>
            </w:r>
          </w:p>
        </w:tc>
        <w:tc>
          <w:tcPr>
            <w:tcW w:w="1890" w:type="dxa"/>
            <w:tcBorders>
              <w:bottom w:val="single" w:sz="4" w:space="0" w:color="000000"/>
              <w:right w:val="single" w:sz="4" w:space="0" w:color="000000"/>
            </w:tcBorders>
            <w:shd w:val="clear" w:color="auto" w:fill="auto"/>
            <w:vAlign w:val="bottom"/>
          </w:tcPr>
          <w:p w14:paraId="4FED8A2D"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12.5(432/3454)</w:t>
            </w:r>
          </w:p>
        </w:tc>
      </w:tr>
      <w:tr w:rsidR="003B4821" w:rsidRPr="00BF1AE2" w14:paraId="59E1A7F4" w14:textId="77777777" w:rsidTr="00846B9B">
        <w:trPr>
          <w:trHeight w:val="290"/>
        </w:trPr>
        <w:tc>
          <w:tcPr>
            <w:tcW w:w="1696" w:type="dxa"/>
            <w:tcBorders>
              <w:left w:val="single" w:sz="4" w:space="0" w:color="000000"/>
              <w:bottom w:val="single" w:sz="4" w:space="0" w:color="000000"/>
              <w:right w:val="single" w:sz="4" w:space="0" w:color="000000"/>
            </w:tcBorders>
            <w:shd w:val="clear" w:color="auto" w:fill="auto"/>
            <w:vAlign w:val="bottom"/>
          </w:tcPr>
          <w:p w14:paraId="7286F9B1" w14:textId="77777777" w:rsidR="003B4821" w:rsidRPr="00BF1AE2" w:rsidRDefault="003B4821" w:rsidP="00846B9B">
            <w:pPr>
              <w:widowControl w:val="0"/>
              <w:suppressAutoHyphens/>
              <w:spacing w:after="0" w:line="240" w:lineRule="auto"/>
              <w:rPr>
                <w:rFonts w:eastAsia="Times New Roman" w:cs="Calibri"/>
                <w:color w:val="000000"/>
              </w:rPr>
            </w:pPr>
            <w:r w:rsidRPr="00BF1AE2">
              <w:rPr>
                <w:rFonts w:eastAsia="Times New Roman" w:cs="Calibri"/>
                <w:color w:val="000000"/>
              </w:rPr>
              <w:t xml:space="preserve">March </w:t>
            </w:r>
          </w:p>
        </w:tc>
        <w:tc>
          <w:tcPr>
            <w:tcW w:w="1842" w:type="dxa"/>
            <w:tcBorders>
              <w:bottom w:val="single" w:sz="4" w:space="0" w:color="000000"/>
              <w:right w:val="single" w:sz="4" w:space="0" w:color="000000"/>
            </w:tcBorders>
            <w:shd w:val="clear" w:color="auto" w:fill="auto"/>
            <w:vAlign w:val="bottom"/>
          </w:tcPr>
          <w:p w14:paraId="3F25DD62"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3.5(52/1476)</w:t>
            </w:r>
          </w:p>
        </w:tc>
        <w:tc>
          <w:tcPr>
            <w:tcW w:w="1843" w:type="dxa"/>
            <w:tcBorders>
              <w:bottom w:val="single" w:sz="4" w:space="0" w:color="000000"/>
              <w:right w:val="single" w:sz="4" w:space="0" w:color="000000"/>
            </w:tcBorders>
            <w:shd w:val="clear" w:color="auto" w:fill="auto"/>
            <w:vAlign w:val="bottom"/>
          </w:tcPr>
          <w:p w14:paraId="2AAAC99A"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7.0(187/2676)</w:t>
            </w:r>
          </w:p>
        </w:tc>
        <w:tc>
          <w:tcPr>
            <w:tcW w:w="1837" w:type="dxa"/>
            <w:tcBorders>
              <w:bottom w:val="single" w:sz="4" w:space="0" w:color="000000"/>
              <w:right w:val="single" w:sz="4" w:space="0" w:color="000000"/>
            </w:tcBorders>
            <w:shd w:val="clear" w:color="auto" w:fill="auto"/>
            <w:vAlign w:val="bottom"/>
          </w:tcPr>
          <w:p w14:paraId="7504D9FB" w14:textId="707E8B63"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7.2(75/1048)</w:t>
            </w:r>
          </w:p>
        </w:tc>
        <w:tc>
          <w:tcPr>
            <w:tcW w:w="1890" w:type="dxa"/>
            <w:tcBorders>
              <w:bottom w:val="single" w:sz="4" w:space="0" w:color="000000"/>
              <w:right w:val="single" w:sz="4" w:space="0" w:color="000000"/>
            </w:tcBorders>
            <w:shd w:val="clear" w:color="auto" w:fill="auto"/>
            <w:vAlign w:val="bottom"/>
          </w:tcPr>
          <w:p w14:paraId="562B657F"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9.6(368/3850)</w:t>
            </w:r>
          </w:p>
        </w:tc>
      </w:tr>
      <w:tr w:rsidR="003B4821" w:rsidRPr="00BF1AE2" w14:paraId="6CD9ADE8" w14:textId="77777777" w:rsidTr="00846B9B">
        <w:trPr>
          <w:trHeight w:val="290"/>
        </w:trPr>
        <w:tc>
          <w:tcPr>
            <w:tcW w:w="1696" w:type="dxa"/>
            <w:tcBorders>
              <w:left w:val="single" w:sz="4" w:space="0" w:color="000000"/>
              <w:bottom w:val="single" w:sz="4" w:space="0" w:color="000000"/>
              <w:right w:val="single" w:sz="4" w:space="0" w:color="000000"/>
            </w:tcBorders>
            <w:shd w:val="clear" w:color="auto" w:fill="auto"/>
            <w:vAlign w:val="bottom"/>
          </w:tcPr>
          <w:p w14:paraId="40F52E48" w14:textId="77777777" w:rsidR="003B4821" w:rsidRPr="00BF1AE2" w:rsidRDefault="003B4821" w:rsidP="00846B9B">
            <w:pPr>
              <w:widowControl w:val="0"/>
              <w:suppressAutoHyphens/>
              <w:spacing w:after="0" w:line="240" w:lineRule="auto"/>
              <w:rPr>
                <w:rFonts w:eastAsia="Times New Roman" w:cs="Calibri"/>
                <w:color w:val="000000"/>
              </w:rPr>
            </w:pPr>
            <w:r w:rsidRPr="00BF1AE2">
              <w:rPr>
                <w:rFonts w:eastAsia="Times New Roman" w:cs="Calibri"/>
                <w:color w:val="000000"/>
              </w:rPr>
              <w:t xml:space="preserve">April </w:t>
            </w:r>
          </w:p>
        </w:tc>
        <w:tc>
          <w:tcPr>
            <w:tcW w:w="1842" w:type="dxa"/>
            <w:tcBorders>
              <w:bottom w:val="single" w:sz="4" w:space="0" w:color="000000"/>
              <w:right w:val="single" w:sz="4" w:space="0" w:color="000000"/>
            </w:tcBorders>
            <w:shd w:val="clear" w:color="auto" w:fill="auto"/>
            <w:vAlign w:val="bottom"/>
          </w:tcPr>
          <w:p w14:paraId="18FD568D"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2.3(31/1374)</w:t>
            </w:r>
          </w:p>
        </w:tc>
        <w:tc>
          <w:tcPr>
            <w:tcW w:w="1843" w:type="dxa"/>
            <w:tcBorders>
              <w:bottom w:val="single" w:sz="4" w:space="0" w:color="000000"/>
              <w:right w:val="single" w:sz="4" w:space="0" w:color="000000"/>
            </w:tcBorders>
            <w:shd w:val="clear" w:color="auto" w:fill="auto"/>
            <w:vAlign w:val="bottom"/>
          </w:tcPr>
          <w:p w14:paraId="49EE2342"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11.6(190/1642)</w:t>
            </w:r>
          </w:p>
        </w:tc>
        <w:tc>
          <w:tcPr>
            <w:tcW w:w="1837" w:type="dxa"/>
            <w:tcBorders>
              <w:bottom w:val="single" w:sz="4" w:space="0" w:color="000000"/>
              <w:right w:val="single" w:sz="4" w:space="0" w:color="000000"/>
            </w:tcBorders>
            <w:shd w:val="clear" w:color="auto" w:fill="auto"/>
            <w:vAlign w:val="bottom"/>
          </w:tcPr>
          <w:p w14:paraId="4FCB721E"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6.4(52/809)</w:t>
            </w:r>
          </w:p>
        </w:tc>
        <w:tc>
          <w:tcPr>
            <w:tcW w:w="1890" w:type="dxa"/>
            <w:tcBorders>
              <w:bottom w:val="single" w:sz="4" w:space="0" w:color="000000"/>
              <w:right w:val="single" w:sz="4" w:space="0" w:color="000000"/>
            </w:tcBorders>
            <w:shd w:val="clear" w:color="auto" w:fill="auto"/>
            <w:vAlign w:val="bottom"/>
          </w:tcPr>
          <w:p w14:paraId="4AE5CC41"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16.6(646/3902)</w:t>
            </w:r>
          </w:p>
        </w:tc>
      </w:tr>
      <w:tr w:rsidR="003B4821" w:rsidRPr="00BF1AE2" w14:paraId="497A5316" w14:textId="77777777" w:rsidTr="00846B9B">
        <w:trPr>
          <w:trHeight w:val="290"/>
        </w:trPr>
        <w:tc>
          <w:tcPr>
            <w:tcW w:w="1696" w:type="dxa"/>
            <w:tcBorders>
              <w:left w:val="single" w:sz="4" w:space="0" w:color="000000"/>
              <w:bottom w:val="single" w:sz="4" w:space="0" w:color="000000"/>
              <w:right w:val="single" w:sz="4" w:space="0" w:color="000000"/>
            </w:tcBorders>
            <w:shd w:val="clear" w:color="auto" w:fill="auto"/>
            <w:vAlign w:val="bottom"/>
          </w:tcPr>
          <w:p w14:paraId="75F18461" w14:textId="77777777" w:rsidR="003B4821" w:rsidRPr="00BF1AE2" w:rsidRDefault="003B4821" w:rsidP="00846B9B">
            <w:pPr>
              <w:widowControl w:val="0"/>
              <w:suppressAutoHyphens/>
              <w:spacing w:after="0" w:line="240" w:lineRule="auto"/>
              <w:rPr>
                <w:rFonts w:eastAsia="Times New Roman" w:cs="Calibri"/>
                <w:color w:val="000000"/>
              </w:rPr>
            </w:pPr>
            <w:r w:rsidRPr="00BF1AE2">
              <w:rPr>
                <w:rFonts w:eastAsia="Times New Roman" w:cs="Calibri"/>
                <w:color w:val="000000"/>
              </w:rPr>
              <w:t xml:space="preserve">May </w:t>
            </w:r>
          </w:p>
        </w:tc>
        <w:tc>
          <w:tcPr>
            <w:tcW w:w="1842" w:type="dxa"/>
            <w:tcBorders>
              <w:bottom w:val="single" w:sz="4" w:space="0" w:color="000000"/>
              <w:right w:val="single" w:sz="4" w:space="0" w:color="000000"/>
            </w:tcBorders>
            <w:shd w:val="clear" w:color="auto" w:fill="auto"/>
            <w:vAlign w:val="bottom"/>
          </w:tcPr>
          <w:p w14:paraId="4D707B0B"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2.4(34/1442)</w:t>
            </w:r>
          </w:p>
        </w:tc>
        <w:tc>
          <w:tcPr>
            <w:tcW w:w="1843" w:type="dxa"/>
            <w:tcBorders>
              <w:bottom w:val="single" w:sz="4" w:space="0" w:color="000000"/>
              <w:right w:val="single" w:sz="4" w:space="0" w:color="000000"/>
            </w:tcBorders>
            <w:shd w:val="clear" w:color="auto" w:fill="auto"/>
            <w:vAlign w:val="bottom"/>
          </w:tcPr>
          <w:p w14:paraId="6F2D2DEF"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11.8(262/2212)</w:t>
            </w:r>
          </w:p>
        </w:tc>
        <w:tc>
          <w:tcPr>
            <w:tcW w:w="1837" w:type="dxa"/>
            <w:tcBorders>
              <w:bottom w:val="single" w:sz="4" w:space="0" w:color="000000"/>
              <w:right w:val="single" w:sz="4" w:space="0" w:color="000000"/>
            </w:tcBorders>
            <w:shd w:val="clear" w:color="auto" w:fill="auto"/>
            <w:vAlign w:val="bottom"/>
          </w:tcPr>
          <w:p w14:paraId="33481AF8"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6 .0(54/895)</w:t>
            </w:r>
          </w:p>
        </w:tc>
        <w:tc>
          <w:tcPr>
            <w:tcW w:w="1890" w:type="dxa"/>
            <w:tcBorders>
              <w:bottom w:val="single" w:sz="4" w:space="0" w:color="000000"/>
              <w:right w:val="single" w:sz="4" w:space="0" w:color="000000"/>
            </w:tcBorders>
            <w:shd w:val="clear" w:color="auto" w:fill="auto"/>
            <w:vAlign w:val="bottom"/>
          </w:tcPr>
          <w:p w14:paraId="703F5A5B"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12.2(608/5003)</w:t>
            </w:r>
          </w:p>
        </w:tc>
      </w:tr>
      <w:tr w:rsidR="003B4821" w:rsidRPr="00BF1AE2" w14:paraId="13E62D88" w14:textId="77777777" w:rsidTr="00846B9B">
        <w:trPr>
          <w:trHeight w:val="290"/>
        </w:trPr>
        <w:tc>
          <w:tcPr>
            <w:tcW w:w="1696" w:type="dxa"/>
            <w:tcBorders>
              <w:left w:val="single" w:sz="4" w:space="0" w:color="000000"/>
              <w:bottom w:val="single" w:sz="4" w:space="0" w:color="000000"/>
              <w:right w:val="single" w:sz="4" w:space="0" w:color="000000"/>
            </w:tcBorders>
            <w:shd w:val="clear" w:color="auto" w:fill="auto"/>
            <w:vAlign w:val="bottom"/>
          </w:tcPr>
          <w:p w14:paraId="74D260E9" w14:textId="77777777" w:rsidR="003B4821" w:rsidRPr="00BF1AE2" w:rsidRDefault="003B4821" w:rsidP="00846B9B">
            <w:pPr>
              <w:widowControl w:val="0"/>
              <w:suppressAutoHyphens/>
              <w:spacing w:after="0" w:line="240" w:lineRule="auto"/>
              <w:rPr>
                <w:rFonts w:eastAsia="Times New Roman" w:cs="Calibri"/>
                <w:color w:val="000000"/>
              </w:rPr>
            </w:pPr>
            <w:r w:rsidRPr="00BF1AE2">
              <w:rPr>
                <w:rFonts w:eastAsia="Times New Roman" w:cs="Calibri"/>
                <w:color w:val="000000"/>
              </w:rPr>
              <w:t xml:space="preserve">June </w:t>
            </w:r>
          </w:p>
        </w:tc>
        <w:tc>
          <w:tcPr>
            <w:tcW w:w="1842" w:type="dxa"/>
            <w:tcBorders>
              <w:bottom w:val="single" w:sz="4" w:space="0" w:color="000000"/>
              <w:right w:val="single" w:sz="4" w:space="0" w:color="000000"/>
            </w:tcBorders>
            <w:shd w:val="clear" w:color="auto" w:fill="auto"/>
            <w:vAlign w:val="bottom"/>
          </w:tcPr>
          <w:p w14:paraId="45DCB664"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3.6(74/2035)</w:t>
            </w:r>
          </w:p>
        </w:tc>
        <w:tc>
          <w:tcPr>
            <w:tcW w:w="1843" w:type="dxa"/>
            <w:tcBorders>
              <w:bottom w:val="single" w:sz="4" w:space="0" w:color="000000"/>
              <w:right w:val="single" w:sz="4" w:space="0" w:color="000000"/>
            </w:tcBorders>
            <w:shd w:val="clear" w:color="auto" w:fill="auto"/>
            <w:vAlign w:val="bottom"/>
          </w:tcPr>
          <w:p w14:paraId="3F4DFBF6"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6.1(122/1995)</w:t>
            </w:r>
          </w:p>
        </w:tc>
        <w:tc>
          <w:tcPr>
            <w:tcW w:w="1837" w:type="dxa"/>
            <w:tcBorders>
              <w:bottom w:val="single" w:sz="4" w:space="0" w:color="000000"/>
              <w:right w:val="single" w:sz="4" w:space="0" w:color="000000"/>
            </w:tcBorders>
            <w:shd w:val="clear" w:color="auto" w:fill="auto"/>
            <w:vAlign w:val="bottom"/>
          </w:tcPr>
          <w:p w14:paraId="2DC7D9D8"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9.0(131/1449)</w:t>
            </w:r>
          </w:p>
        </w:tc>
        <w:tc>
          <w:tcPr>
            <w:tcW w:w="1890" w:type="dxa"/>
            <w:tcBorders>
              <w:bottom w:val="single" w:sz="4" w:space="0" w:color="000000"/>
              <w:right w:val="single" w:sz="4" w:space="0" w:color="000000"/>
            </w:tcBorders>
            <w:shd w:val="clear" w:color="auto" w:fill="auto"/>
            <w:vAlign w:val="bottom"/>
          </w:tcPr>
          <w:p w14:paraId="66FD0643"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 xml:space="preserve">                             -   </w:t>
            </w:r>
          </w:p>
        </w:tc>
      </w:tr>
      <w:tr w:rsidR="003B4821" w:rsidRPr="00BF1AE2" w14:paraId="3E539CF8" w14:textId="77777777" w:rsidTr="00846B9B">
        <w:trPr>
          <w:trHeight w:val="290"/>
        </w:trPr>
        <w:tc>
          <w:tcPr>
            <w:tcW w:w="1696" w:type="dxa"/>
            <w:tcBorders>
              <w:left w:val="single" w:sz="4" w:space="0" w:color="000000"/>
              <w:bottom w:val="single" w:sz="4" w:space="0" w:color="000000"/>
              <w:right w:val="single" w:sz="4" w:space="0" w:color="000000"/>
            </w:tcBorders>
            <w:shd w:val="clear" w:color="auto" w:fill="auto"/>
            <w:vAlign w:val="bottom"/>
          </w:tcPr>
          <w:p w14:paraId="006D712F" w14:textId="77777777" w:rsidR="003B4821" w:rsidRPr="00BF1AE2" w:rsidRDefault="003B4821" w:rsidP="00846B9B">
            <w:pPr>
              <w:widowControl w:val="0"/>
              <w:suppressAutoHyphens/>
              <w:spacing w:after="0" w:line="240" w:lineRule="auto"/>
              <w:rPr>
                <w:rFonts w:eastAsia="Times New Roman" w:cs="Calibri"/>
                <w:color w:val="000000"/>
              </w:rPr>
            </w:pPr>
            <w:r w:rsidRPr="00BF1AE2">
              <w:rPr>
                <w:rFonts w:eastAsia="Times New Roman" w:cs="Calibri"/>
                <w:color w:val="000000"/>
              </w:rPr>
              <w:t xml:space="preserve">July </w:t>
            </w:r>
          </w:p>
        </w:tc>
        <w:tc>
          <w:tcPr>
            <w:tcW w:w="1842" w:type="dxa"/>
            <w:tcBorders>
              <w:bottom w:val="single" w:sz="4" w:space="0" w:color="000000"/>
              <w:right w:val="single" w:sz="4" w:space="0" w:color="000000"/>
            </w:tcBorders>
            <w:shd w:val="clear" w:color="auto" w:fill="auto"/>
            <w:vAlign w:val="bottom"/>
          </w:tcPr>
          <w:p w14:paraId="019BC316"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3.9(108/2747)</w:t>
            </w:r>
          </w:p>
        </w:tc>
        <w:tc>
          <w:tcPr>
            <w:tcW w:w="1843" w:type="dxa"/>
            <w:tcBorders>
              <w:bottom w:val="single" w:sz="4" w:space="0" w:color="000000"/>
              <w:right w:val="single" w:sz="4" w:space="0" w:color="000000"/>
            </w:tcBorders>
            <w:shd w:val="clear" w:color="auto" w:fill="auto"/>
            <w:vAlign w:val="bottom"/>
          </w:tcPr>
          <w:p w14:paraId="4F97E082"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6.5(164/2520)</w:t>
            </w:r>
          </w:p>
        </w:tc>
        <w:tc>
          <w:tcPr>
            <w:tcW w:w="1837" w:type="dxa"/>
            <w:tcBorders>
              <w:bottom w:val="single" w:sz="4" w:space="0" w:color="000000"/>
              <w:right w:val="single" w:sz="4" w:space="0" w:color="000000"/>
            </w:tcBorders>
            <w:shd w:val="clear" w:color="auto" w:fill="auto"/>
            <w:vAlign w:val="bottom"/>
          </w:tcPr>
          <w:p w14:paraId="108CC570"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8.9(131/1474)</w:t>
            </w:r>
          </w:p>
        </w:tc>
        <w:tc>
          <w:tcPr>
            <w:tcW w:w="1890" w:type="dxa"/>
            <w:tcBorders>
              <w:bottom w:val="single" w:sz="4" w:space="0" w:color="000000"/>
              <w:right w:val="single" w:sz="4" w:space="0" w:color="000000"/>
            </w:tcBorders>
            <w:shd w:val="clear" w:color="auto" w:fill="auto"/>
            <w:vAlign w:val="bottom"/>
          </w:tcPr>
          <w:p w14:paraId="037F1BA1"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 xml:space="preserve">                             -   </w:t>
            </w:r>
          </w:p>
        </w:tc>
      </w:tr>
      <w:tr w:rsidR="003B4821" w:rsidRPr="00BF1AE2" w14:paraId="3E3D9603" w14:textId="77777777" w:rsidTr="00846B9B">
        <w:trPr>
          <w:trHeight w:val="290"/>
        </w:trPr>
        <w:tc>
          <w:tcPr>
            <w:tcW w:w="1696" w:type="dxa"/>
            <w:tcBorders>
              <w:left w:val="single" w:sz="4" w:space="0" w:color="000000"/>
              <w:bottom w:val="single" w:sz="4" w:space="0" w:color="000000"/>
              <w:right w:val="single" w:sz="4" w:space="0" w:color="000000"/>
            </w:tcBorders>
            <w:shd w:val="clear" w:color="auto" w:fill="auto"/>
            <w:vAlign w:val="bottom"/>
          </w:tcPr>
          <w:p w14:paraId="28B9B9C0" w14:textId="77777777" w:rsidR="003B4821" w:rsidRPr="00BF1AE2" w:rsidRDefault="003B4821" w:rsidP="00846B9B">
            <w:pPr>
              <w:widowControl w:val="0"/>
              <w:suppressAutoHyphens/>
              <w:spacing w:after="0" w:line="240" w:lineRule="auto"/>
              <w:rPr>
                <w:rFonts w:eastAsia="Times New Roman" w:cs="Calibri"/>
                <w:color w:val="000000"/>
              </w:rPr>
            </w:pPr>
            <w:r w:rsidRPr="00BF1AE2">
              <w:rPr>
                <w:rFonts w:eastAsia="Times New Roman" w:cs="Calibri"/>
                <w:color w:val="000000"/>
              </w:rPr>
              <w:t xml:space="preserve">August </w:t>
            </w:r>
          </w:p>
        </w:tc>
        <w:tc>
          <w:tcPr>
            <w:tcW w:w="1842" w:type="dxa"/>
            <w:tcBorders>
              <w:bottom w:val="single" w:sz="4" w:space="0" w:color="000000"/>
              <w:right w:val="single" w:sz="4" w:space="0" w:color="000000"/>
            </w:tcBorders>
            <w:shd w:val="clear" w:color="auto" w:fill="auto"/>
            <w:vAlign w:val="bottom"/>
          </w:tcPr>
          <w:p w14:paraId="7817C48D"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3.1(123/3988)</w:t>
            </w:r>
          </w:p>
        </w:tc>
        <w:tc>
          <w:tcPr>
            <w:tcW w:w="1843" w:type="dxa"/>
            <w:tcBorders>
              <w:bottom w:val="single" w:sz="4" w:space="0" w:color="000000"/>
              <w:right w:val="single" w:sz="4" w:space="0" w:color="000000"/>
            </w:tcBorders>
            <w:shd w:val="clear" w:color="auto" w:fill="auto"/>
            <w:vAlign w:val="bottom"/>
          </w:tcPr>
          <w:p w14:paraId="42DC5234"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5.9(140/2382)</w:t>
            </w:r>
          </w:p>
        </w:tc>
        <w:tc>
          <w:tcPr>
            <w:tcW w:w="1837" w:type="dxa"/>
            <w:tcBorders>
              <w:bottom w:val="single" w:sz="4" w:space="0" w:color="000000"/>
              <w:right w:val="single" w:sz="4" w:space="0" w:color="000000"/>
            </w:tcBorders>
            <w:shd w:val="clear" w:color="auto" w:fill="auto"/>
            <w:vAlign w:val="bottom"/>
          </w:tcPr>
          <w:p w14:paraId="194A6DD5"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9.8(176/1794)</w:t>
            </w:r>
          </w:p>
        </w:tc>
        <w:tc>
          <w:tcPr>
            <w:tcW w:w="1890" w:type="dxa"/>
            <w:tcBorders>
              <w:bottom w:val="single" w:sz="4" w:space="0" w:color="000000"/>
              <w:right w:val="single" w:sz="4" w:space="0" w:color="000000"/>
            </w:tcBorders>
            <w:shd w:val="clear" w:color="auto" w:fill="auto"/>
            <w:vAlign w:val="bottom"/>
          </w:tcPr>
          <w:p w14:paraId="57644F28"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 xml:space="preserve">                             -   </w:t>
            </w:r>
          </w:p>
        </w:tc>
      </w:tr>
      <w:tr w:rsidR="003B4821" w:rsidRPr="00BF1AE2" w14:paraId="22F06A75" w14:textId="77777777" w:rsidTr="00846B9B">
        <w:trPr>
          <w:trHeight w:val="290"/>
        </w:trPr>
        <w:tc>
          <w:tcPr>
            <w:tcW w:w="1696" w:type="dxa"/>
            <w:tcBorders>
              <w:left w:val="single" w:sz="4" w:space="0" w:color="000000"/>
              <w:bottom w:val="single" w:sz="4" w:space="0" w:color="000000"/>
              <w:right w:val="single" w:sz="4" w:space="0" w:color="000000"/>
            </w:tcBorders>
            <w:shd w:val="clear" w:color="auto" w:fill="auto"/>
            <w:vAlign w:val="bottom"/>
          </w:tcPr>
          <w:p w14:paraId="5BB0BAD1" w14:textId="77777777" w:rsidR="003B4821" w:rsidRPr="00BF1AE2" w:rsidRDefault="003B4821" w:rsidP="00846B9B">
            <w:pPr>
              <w:widowControl w:val="0"/>
              <w:suppressAutoHyphens/>
              <w:spacing w:after="0" w:line="240" w:lineRule="auto"/>
              <w:rPr>
                <w:rFonts w:eastAsia="Times New Roman" w:cs="Calibri"/>
                <w:color w:val="000000"/>
              </w:rPr>
            </w:pPr>
            <w:r w:rsidRPr="00BF1AE2">
              <w:rPr>
                <w:rFonts w:eastAsia="Times New Roman" w:cs="Calibri"/>
                <w:color w:val="000000"/>
              </w:rPr>
              <w:t xml:space="preserve">September </w:t>
            </w:r>
          </w:p>
        </w:tc>
        <w:tc>
          <w:tcPr>
            <w:tcW w:w="1842" w:type="dxa"/>
            <w:tcBorders>
              <w:bottom w:val="single" w:sz="4" w:space="0" w:color="000000"/>
              <w:right w:val="single" w:sz="4" w:space="0" w:color="000000"/>
            </w:tcBorders>
            <w:shd w:val="clear" w:color="auto" w:fill="auto"/>
            <w:vAlign w:val="bottom"/>
          </w:tcPr>
          <w:p w14:paraId="25FBD9F1"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2.3(82/3574)</w:t>
            </w:r>
          </w:p>
        </w:tc>
        <w:tc>
          <w:tcPr>
            <w:tcW w:w="1843" w:type="dxa"/>
            <w:tcBorders>
              <w:bottom w:val="single" w:sz="4" w:space="0" w:color="000000"/>
              <w:right w:val="single" w:sz="4" w:space="0" w:color="000000"/>
            </w:tcBorders>
            <w:shd w:val="clear" w:color="auto" w:fill="auto"/>
            <w:vAlign w:val="bottom"/>
          </w:tcPr>
          <w:p w14:paraId="49E4A940"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6.4(190/2948)</w:t>
            </w:r>
          </w:p>
        </w:tc>
        <w:tc>
          <w:tcPr>
            <w:tcW w:w="1837" w:type="dxa"/>
            <w:tcBorders>
              <w:bottom w:val="single" w:sz="4" w:space="0" w:color="000000"/>
              <w:right w:val="single" w:sz="4" w:space="0" w:color="000000"/>
            </w:tcBorders>
            <w:shd w:val="clear" w:color="auto" w:fill="auto"/>
            <w:vAlign w:val="bottom"/>
          </w:tcPr>
          <w:p w14:paraId="643DC6A7"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7.8(137/1756)</w:t>
            </w:r>
          </w:p>
        </w:tc>
        <w:tc>
          <w:tcPr>
            <w:tcW w:w="1890" w:type="dxa"/>
            <w:tcBorders>
              <w:bottom w:val="single" w:sz="4" w:space="0" w:color="000000"/>
              <w:right w:val="single" w:sz="4" w:space="0" w:color="000000"/>
            </w:tcBorders>
            <w:shd w:val="clear" w:color="auto" w:fill="auto"/>
            <w:vAlign w:val="bottom"/>
          </w:tcPr>
          <w:p w14:paraId="30FADCAB"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 xml:space="preserve">                             -   </w:t>
            </w:r>
          </w:p>
        </w:tc>
      </w:tr>
      <w:tr w:rsidR="003B4821" w:rsidRPr="00BF1AE2" w14:paraId="3362A0A2" w14:textId="77777777" w:rsidTr="00846B9B">
        <w:trPr>
          <w:trHeight w:val="290"/>
        </w:trPr>
        <w:tc>
          <w:tcPr>
            <w:tcW w:w="1696" w:type="dxa"/>
            <w:tcBorders>
              <w:left w:val="single" w:sz="4" w:space="0" w:color="000000"/>
              <w:bottom w:val="single" w:sz="4" w:space="0" w:color="000000"/>
              <w:right w:val="single" w:sz="4" w:space="0" w:color="000000"/>
            </w:tcBorders>
            <w:shd w:val="clear" w:color="auto" w:fill="auto"/>
            <w:vAlign w:val="bottom"/>
          </w:tcPr>
          <w:p w14:paraId="7C30D847" w14:textId="77777777" w:rsidR="003B4821" w:rsidRPr="00BF1AE2" w:rsidRDefault="003B4821" w:rsidP="00846B9B">
            <w:pPr>
              <w:widowControl w:val="0"/>
              <w:suppressAutoHyphens/>
              <w:spacing w:after="0" w:line="240" w:lineRule="auto"/>
              <w:rPr>
                <w:rFonts w:eastAsia="Times New Roman" w:cs="Calibri"/>
                <w:color w:val="000000"/>
              </w:rPr>
            </w:pPr>
            <w:r w:rsidRPr="00BF1AE2">
              <w:rPr>
                <w:rFonts w:eastAsia="Times New Roman" w:cs="Calibri"/>
                <w:color w:val="000000"/>
              </w:rPr>
              <w:t>October</w:t>
            </w:r>
          </w:p>
        </w:tc>
        <w:tc>
          <w:tcPr>
            <w:tcW w:w="1842" w:type="dxa"/>
            <w:tcBorders>
              <w:bottom w:val="single" w:sz="4" w:space="0" w:color="000000"/>
              <w:right w:val="single" w:sz="4" w:space="0" w:color="000000"/>
            </w:tcBorders>
            <w:shd w:val="clear" w:color="auto" w:fill="auto"/>
            <w:vAlign w:val="bottom"/>
          </w:tcPr>
          <w:p w14:paraId="78E60A75"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6.3(165/2638)</w:t>
            </w:r>
          </w:p>
        </w:tc>
        <w:tc>
          <w:tcPr>
            <w:tcW w:w="1843" w:type="dxa"/>
            <w:tcBorders>
              <w:bottom w:val="single" w:sz="4" w:space="0" w:color="000000"/>
              <w:right w:val="single" w:sz="4" w:space="0" w:color="000000"/>
            </w:tcBorders>
            <w:shd w:val="clear" w:color="auto" w:fill="auto"/>
            <w:vAlign w:val="bottom"/>
          </w:tcPr>
          <w:p w14:paraId="2C2C35A6"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5.4(160/2948)</w:t>
            </w:r>
          </w:p>
        </w:tc>
        <w:tc>
          <w:tcPr>
            <w:tcW w:w="1837" w:type="dxa"/>
            <w:tcBorders>
              <w:bottom w:val="single" w:sz="4" w:space="0" w:color="000000"/>
              <w:right w:val="single" w:sz="4" w:space="0" w:color="000000"/>
            </w:tcBorders>
            <w:shd w:val="clear" w:color="auto" w:fill="auto"/>
            <w:vAlign w:val="bottom"/>
          </w:tcPr>
          <w:p w14:paraId="3712E09F"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10.6(183/1732)</w:t>
            </w:r>
          </w:p>
        </w:tc>
        <w:tc>
          <w:tcPr>
            <w:tcW w:w="1890" w:type="dxa"/>
            <w:tcBorders>
              <w:bottom w:val="single" w:sz="4" w:space="0" w:color="000000"/>
              <w:right w:val="single" w:sz="4" w:space="0" w:color="000000"/>
            </w:tcBorders>
            <w:shd w:val="clear" w:color="auto" w:fill="auto"/>
            <w:vAlign w:val="bottom"/>
          </w:tcPr>
          <w:p w14:paraId="6A3FF9E4"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 xml:space="preserve">                             -   </w:t>
            </w:r>
          </w:p>
        </w:tc>
      </w:tr>
      <w:tr w:rsidR="003B4821" w:rsidRPr="00BF1AE2" w14:paraId="2F492A44" w14:textId="77777777" w:rsidTr="00846B9B">
        <w:trPr>
          <w:trHeight w:val="290"/>
        </w:trPr>
        <w:tc>
          <w:tcPr>
            <w:tcW w:w="1696" w:type="dxa"/>
            <w:tcBorders>
              <w:left w:val="single" w:sz="4" w:space="0" w:color="000000"/>
              <w:bottom w:val="single" w:sz="4" w:space="0" w:color="000000"/>
              <w:right w:val="single" w:sz="4" w:space="0" w:color="000000"/>
            </w:tcBorders>
            <w:shd w:val="clear" w:color="auto" w:fill="auto"/>
            <w:vAlign w:val="bottom"/>
          </w:tcPr>
          <w:p w14:paraId="69B9238B" w14:textId="77777777" w:rsidR="003B4821" w:rsidRPr="00BF1AE2" w:rsidRDefault="003B4821" w:rsidP="00846B9B">
            <w:pPr>
              <w:widowControl w:val="0"/>
              <w:suppressAutoHyphens/>
              <w:spacing w:after="0" w:line="240" w:lineRule="auto"/>
              <w:rPr>
                <w:rFonts w:eastAsia="Times New Roman" w:cs="Calibri"/>
                <w:color w:val="000000"/>
              </w:rPr>
            </w:pPr>
            <w:r w:rsidRPr="00BF1AE2">
              <w:rPr>
                <w:rFonts w:eastAsia="Times New Roman" w:cs="Calibri"/>
                <w:color w:val="000000"/>
              </w:rPr>
              <w:t>November</w:t>
            </w:r>
          </w:p>
        </w:tc>
        <w:tc>
          <w:tcPr>
            <w:tcW w:w="1842" w:type="dxa"/>
            <w:tcBorders>
              <w:bottom w:val="single" w:sz="4" w:space="0" w:color="000000"/>
              <w:right w:val="single" w:sz="4" w:space="0" w:color="000000"/>
            </w:tcBorders>
            <w:shd w:val="clear" w:color="auto" w:fill="auto"/>
            <w:vAlign w:val="bottom"/>
          </w:tcPr>
          <w:p w14:paraId="7E956A47"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6.1(171/2790)</w:t>
            </w:r>
          </w:p>
        </w:tc>
        <w:tc>
          <w:tcPr>
            <w:tcW w:w="1843" w:type="dxa"/>
            <w:tcBorders>
              <w:bottom w:val="single" w:sz="4" w:space="0" w:color="000000"/>
              <w:right w:val="single" w:sz="4" w:space="0" w:color="000000"/>
            </w:tcBorders>
            <w:shd w:val="clear" w:color="auto" w:fill="auto"/>
            <w:vAlign w:val="bottom"/>
          </w:tcPr>
          <w:p w14:paraId="451B1D61"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3.4(92/2671)</w:t>
            </w:r>
          </w:p>
        </w:tc>
        <w:tc>
          <w:tcPr>
            <w:tcW w:w="1837" w:type="dxa"/>
            <w:tcBorders>
              <w:bottom w:val="single" w:sz="4" w:space="0" w:color="000000"/>
              <w:right w:val="single" w:sz="4" w:space="0" w:color="000000"/>
            </w:tcBorders>
            <w:shd w:val="clear" w:color="auto" w:fill="auto"/>
            <w:vAlign w:val="bottom"/>
          </w:tcPr>
          <w:p w14:paraId="3C42E82E"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10.9(186/1712)</w:t>
            </w:r>
          </w:p>
        </w:tc>
        <w:tc>
          <w:tcPr>
            <w:tcW w:w="1890" w:type="dxa"/>
            <w:tcBorders>
              <w:bottom w:val="single" w:sz="4" w:space="0" w:color="000000"/>
              <w:right w:val="single" w:sz="4" w:space="0" w:color="000000"/>
            </w:tcBorders>
            <w:shd w:val="clear" w:color="auto" w:fill="auto"/>
            <w:vAlign w:val="bottom"/>
          </w:tcPr>
          <w:p w14:paraId="6DD213A9"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 xml:space="preserve">                             -   </w:t>
            </w:r>
          </w:p>
        </w:tc>
      </w:tr>
      <w:tr w:rsidR="003B4821" w:rsidRPr="00BF1AE2" w14:paraId="1FCDB26D" w14:textId="77777777" w:rsidTr="00846B9B">
        <w:trPr>
          <w:trHeight w:val="290"/>
        </w:trPr>
        <w:tc>
          <w:tcPr>
            <w:tcW w:w="1696" w:type="dxa"/>
            <w:tcBorders>
              <w:left w:val="single" w:sz="4" w:space="0" w:color="000000"/>
              <w:bottom w:val="single" w:sz="4" w:space="0" w:color="000000"/>
              <w:right w:val="single" w:sz="4" w:space="0" w:color="000000"/>
            </w:tcBorders>
            <w:shd w:val="clear" w:color="auto" w:fill="auto"/>
            <w:vAlign w:val="bottom"/>
          </w:tcPr>
          <w:p w14:paraId="24E72D86" w14:textId="77777777" w:rsidR="003B4821" w:rsidRPr="00BF1AE2" w:rsidRDefault="003B4821" w:rsidP="00846B9B">
            <w:pPr>
              <w:widowControl w:val="0"/>
              <w:suppressAutoHyphens/>
              <w:spacing w:after="0" w:line="240" w:lineRule="auto"/>
              <w:rPr>
                <w:rFonts w:eastAsia="Times New Roman" w:cs="Calibri"/>
                <w:color w:val="000000"/>
              </w:rPr>
            </w:pPr>
            <w:r w:rsidRPr="00BF1AE2">
              <w:rPr>
                <w:rFonts w:eastAsia="Times New Roman" w:cs="Calibri"/>
                <w:color w:val="000000"/>
              </w:rPr>
              <w:t xml:space="preserve">December </w:t>
            </w:r>
          </w:p>
        </w:tc>
        <w:tc>
          <w:tcPr>
            <w:tcW w:w="1842" w:type="dxa"/>
            <w:tcBorders>
              <w:bottom w:val="single" w:sz="4" w:space="0" w:color="000000"/>
              <w:right w:val="single" w:sz="4" w:space="0" w:color="000000"/>
            </w:tcBorders>
            <w:shd w:val="clear" w:color="auto" w:fill="auto"/>
            <w:vAlign w:val="bottom"/>
          </w:tcPr>
          <w:p w14:paraId="53CA37B5"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5.5(211/3834)</w:t>
            </w:r>
          </w:p>
        </w:tc>
        <w:tc>
          <w:tcPr>
            <w:tcW w:w="1843" w:type="dxa"/>
            <w:tcBorders>
              <w:bottom w:val="single" w:sz="4" w:space="0" w:color="000000"/>
              <w:right w:val="single" w:sz="4" w:space="0" w:color="000000"/>
            </w:tcBorders>
            <w:shd w:val="clear" w:color="auto" w:fill="auto"/>
            <w:vAlign w:val="bottom"/>
          </w:tcPr>
          <w:p w14:paraId="0FC80647"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3.7(110/2992)</w:t>
            </w:r>
          </w:p>
        </w:tc>
        <w:tc>
          <w:tcPr>
            <w:tcW w:w="1837" w:type="dxa"/>
            <w:tcBorders>
              <w:bottom w:val="single" w:sz="4" w:space="0" w:color="000000"/>
              <w:right w:val="single" w:sz="4" w:space="0" w:color="000000"/>
            </w:tcBorders>
            <w:shd w:val="clear" w:color="auto" w:fill="auto"/>
            <w:vAlign w:val="bottom"/>
          </w:tcPr>
          <w:p w14:paraId="07A59E60"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12.3(253/2052)</w:t>
            </w:r>
          </w:p>
        </w:tc>
        <w:tc>
          <w:tcPr>
            <w:tcW w:w="1890" w:type="dxa"/>
            <w:tcBorders>
              <w:bottom w:val="single" w:sz="4" w:space="0" w:color="000000"/>
              <w:right w:val="single" w:sz="4" w:space="0" w:color="000000"/>
            </w:tcBorders>
            <w:shd w:val="clear" w:color="auto" w:fill="auto"/>
            <w:vAlign w:val="bottom"/>
          </w:tcPr>
          <w:p w14:paraId="77B96E69"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 xml:space="preserve">                             -   </w:t>
            </w:r>
          </w:p>
        </w:tc>
      </w:tr>
      <w:tr w:rsidR="003B4821" w:rsidRPr="00BF1AE2" w14:paraId="77238317" w14:textId="77777777" w:rsidTr="00846B9B">
        <w:trPr>
          <w:trHeight w:val="290"/>
        </w:trPr>
        <w:tc>
          <w:tcPr>
            <w:tcW w:w="1696" w:type="dxa"/>
            <w:tcBorders>
              <w:left w:val="single" w:sz="4" w:space="0" w:color="000000"/>
              <w:bottom w:val="single" w:sz="4" w:space="0" w:color="000000"/>
              <w:right w:val="single" w:sz="4" w:space="0" w:color="000000"/>
            </w:tcBorders>
            <w:shd w:val="clear" w:color="auto" w:fill="auto"/>
            <w:vAlign w:val="bottom"/>
          </w:tcPr>
          <w:p w14:paraId="3142B1E0" w14:textId="77777777" w:rsidR="003B4821" w:rsidRPr="00BF1AE2" w:rsidRDefault="003B4821" w:rsidP="00846B9B">
            <w:pPr>
              <w:widowControl w:val="0"/>
              <w:suppressAutoHyphens/>
              <w:spacing w:after="0" w:line="240" w:lineRule="auto"/>
              <w:jc w:val="center"/>
              <w:rPr>
                <w:rFonts w:eastAsia="Times New Roman" w:cs="Calibri"/>
                <w:color w:val="000000"/>
              </w:rPr>
            </w:pPr>
            <w:r w:rsidRPr="00BF1AE2">
              <w:rPr>
                <w:rFonts w:eastAsia="Times New Roman" w:cs="Calibri"/>
                <w:color w:val="000000"/>
              </w:rPr>
              <w:t xml:space="preserve">Total </w:t>
            </w:r>
          </w:p>
        </w:tc>
        <w:tc>
          <w:tcPr>
            <w:tcW w:w="1842" w:type="dxa"/>
            <w:tcBorders>
              <w:bottom w:val="single" w:sz="4" w:space="0" w:color="000000"/>
              <w:right w:val="single" w:sz="4" w:space="0" w:color="000000"/>
            </w:tcBorders>
            <w:shd w:val="clear" w:color="auto" w:fill="auto"/>
            <w:vAlign w:val="bottom"/>
          </w:tcPr>
          <w:p w14:paraId="66AEB3A4" w14:textId="1B8D12AE" w:rsidR="003B4821" w:rsidRPr="00BF1AE2" w:rsidRDefault="00F622A3" w:rsidP="00846B9B">
            <w:pPr>
              <w:widowControl w:val="0"/>
              <w:suppressAutoHyphens/>
              <w:spacing w:after="0" w:line="240" w:lineRule="auto"/>
              <w:jc w:val="right"/>
              <w:rPr>
                <w:rFonts w:eastAsia="Times New Roman" w:cs="Calibri"/>
                <w:color w:val="000000"/>
              </w:rPr>
            </w:pPr>
            <w:r>
              <w:rPr>
                <w:rFonts w:eastAsia="Times New Roman" w:cs="Calibri"/>
                <w:color w:val="000000"/>
              </w:rPr>
              <w:t>3.9</w:t>
            </w:r>
            <w:r w:rsidR="003B4821">
              <w:rPr>
                <w:rFonts w:eastAsia="Times New Roman" w:cs="Calibri"/>
                <w:color w:val="000000"/>
              </w:rPr>
              <w:t>(1139/29289</w:t>
            </w:r>
            <w:r w:rsidR="003B4821" w:rsidRPr="00BF1AE2">
              <w:rPr>
                <w:rFonts w:eastAsia="Times New Roman" w:cs="Calibri"/>
                <w:color w:val="000000"/>
              </w:rPr>
              <w:t>)</w:t>
            </w:r>
          </w:p>
        </w:tc>
        <w:tc>
          <w:tcPr>
            <w:tcW w:w="1843" w:type="dxa"/>
            <w:tcBorders>
              <w:bottom w:val="single" w:sz="4" w:space="0" w:color="000000"/>
              <w:right w:val="single" w:sz="4" w:space="0" w:color="000000"/>
            </w:tcBorders>
            <w:shd w:val="clear" w:color="auto" w:fill="auto"/>
            <w:vAlign w:val="bottom"/>
          </w:tcPr>
          <w:p w14:paraId="572E8F8A" w14:textId="2859E2AA" w:rsidR="003B4821" w:rsidRPr="00BF1AE2" w:rsidRDefault="00F622A3" w:rsidP="00846B9B">
            <w:pPr>
              <w:widowControl w:val="0"/>
              <w:suppressAutoHyphens/>
              <w:spacing w:after="0" w:line="240" w:lineRule="auto"/>
              <w:jc w:val="right"/>
              <w:rPr>
                <w:rFonts w:eastAsia="Times New Roman" w:cs="Calibri"/>
                <w:color w:val="000000"/>
              </w:rPr>
            </w:pPr>
            <w:r>
              <w:rPr>
                <w:rFonts w:eastAsia="Times New Roman" w:cs="Calibri"/>
                <w:color w:val="000000"/>
              </w:rPr>
              <w:t>6.2</w:t>
            </w:r>
            <w:r w:rsidR="003B4821">
              <w:rPr>
                <w:rFonts w:eastAsia="Times New Roman" w:cs="Calibri"/>
                <w:color w:val="000000"/>
              </w:rPr>
              <w:t>(1922</w:t>
            </w:r>
            <w:r w:rsidR="003B4821" w:rsidRPr="00BF1AE2">
              <w:rPr>
                <w:rFonts w:eastAsia="Times New Roman" w:cs="Calibri"/>
                <w:color w:val="000000"/>
              </w:rPr>
              <w:t>/30851)</w:t>
            </w:r>
          </w:p>
        </w:tc>
        <w:tc>
          <w:tcPr>
            <w:tcW w:w="1837" w:type="dxa"/>
            <w:tcBorders>
              <w:bottom w:val="single" w:sz="4" w:space="0" w:color="000000"/>
              <w:right w:val="single" w:sz="4" w:space="0" w:color="000000"/>
            </w:tcBorders>
            <w:shd w:val="clear" w:color="auto" w:fill="auto"/>
            <w:vAlign w:val="bottom"/>
          </w:tcPr>
          <w:p w14:paraId="30458FBA"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9.0(1517/16896)</w:t>
            </w:r>
          </w:p>
        </w:tc>
        <w:tc>
          <w:tcPr>
            <w:tcW w:w="1890" w:type="dxa"/>
            <w:tcBorders>
              <w:bottom w:val="single" w:sz="4" w:space="0" w:color="000000"/>
              <w:right w:val="single" w:sz="4" w:space="0" w:color="000000"/>
            </w:tcBorders>
            <w:shd w:val="clear" w:color="auto" w:fill="auto"/>
            <w:vAlign w:val="bottom"/>
          </w:tcPr>
          <w:p w14:paraId="77A7B04D" w14:textId="77777777" w:rsidR="003B4821" w:rsidRPr="00BF1AE2" w:rsidRDefault="003B4821" w:rsidP="00846B9B">
            <w:pPr>
              <w:widowControl w:val="0"/>
              <w:suppressAutoHyphens/>
              <w:spacing w:after="0" w:line="240" w:lineRule="auto"/>
              <w:jc w:val="right"/>
              <w:rPr>
                <w:rFonts w:eastAsia="Times New Roman" w:cs="Calibri"/>
                <w:color w:val="000000"/>
              </w:rPr>
            </w:pPr>
            <w:r w:rsidRPr="00BF1AE2">
              <w:rPr>
                <w:rFonts w:eastAsia="Times New Roman" w:cs="Calibri"/>
                <w:color w:val="000000"/>
              </w:rPr>
              <w:t>12.2(2425/19944)</w:t>
            </w:r>
          </w:p>
        </w:tc>
      </w:tr>
    </w:tbl>
    <w:p w14:paraId="4222737C" w14:textId="77777777" w:rsidR="00BF1AE2" w:rsidRPr="00BF1AE2" w:rsidRDefault="00BF1AE2" w:rsidP="00BF1AE2">
      <w:pPr>
        <w:suppressAutoHyphens/>
        <w:spacing w:after="0" w:line="240" w:lineRule="auto"/>
        <w:jc w:val="both"/>
        <w:rPr>
          <w:rFonts w:cstheme="minorHAnsi"/>
          <w:color w:val="000000"/>
          <w:lang w:val="nl-NL"/>
        </w:rPr>
      </w:pPr>
    </w:p>
    <w:p w14:paraId="3EB53F8D" w14:textId="77777777" w:rsidR="00BF1AE2" w:rsidRPr="00BF1AE2" w:rsidRDefault="00BF1AE2" w:rsidP="00BF1AE2">
      <w:pPr>
        <w:keepNext/>
        <w:keepLines/>
        <w:suppressAutoHyphens/>
        <w:spacing w:after="0" w:line="240" w:lineRule="auto"/>
        <w:jc w:val="both"/>
        <w:outlineLvl w:val="1"/>
        <w:rPr>
          <w:rFonts w:eastAsia="Times New Roman" w:cstheme="minorHAnsi"/>
          <w:b/>
          <w:bCs/>
          <w:color w:val="365F91"/>
        </w:rPr>
      </w:pPr>
      <w:r w:rsidRPr="00BF1AE2">
        <w:rPr>
          <w:rFonts w:eastAsia="Times New Roman" w:cstheme="minorHAnsi"/>
          <w:b/>
          <w:bCs/>
          <w:color w:val="365F91"/>
        </w:rPr>
        <w:t>Study design and procedure</w:t>
      </w:r>
    </w:p>
    <w:p w14:paraId="4A53E674" w14:textId="77777777" w:rsidR="00BF1AE2" w:rsidRPr="00BF1AE2" w:rsidRDefault="00BF1AE2" w:rsidP="00BF1AE2">
      <w:pPr>
        <w:widowControl w:val="0"/>
        <w:suppressAutoHyphens/>
        <w:spacing w:after="0" w:line="240" w:lineRule="auto"/>
        <w:ind w:right="-18"/>
        <w:jc w:val="both"/>
        <w:rPr>
          <w:rFonts w:cstheme="minorHAnsi"/>
          <w:bCs/>
          <w:shd w:val="clear" w:color="auto" w:fill="FFFFFF"/>
        </w:rPr>
      </w:pPr>
      <w:r w:rsidRPr="00BF1AE2">
        <w:rPr>
          <w:rFonts w:cstheme="minorHAnsi"/>
          <w:bCs/>
          <w:shd w:val="clear" w:color="auto" w:fill="FFFFFF"/>
        </w:rPr>
        <w:t xml:space="preserve">In order to ascertain the effect of exposure to </w:t>
      </w:r>
      <w:r w:rsidRPr="00BF1AE2">
        <w:rPr>
          <w:rFonts w:cstheme="minorHAnsi"/>
          <w:bCs/>
          <w:i/>
          <w:iCs/>
          <w:shd w:val="clear" w:color="auto" w:fill="FFFFFF"/>
        </w:rPr>
        <w:t>An. stephensi</w:t>
      </w:r>
      <w:r w:rsidRPr="00BF1AE2">
        <w:rPr>
          <w:rFonts w:cstheme="minorHAnsi"/>
          <w:bCs/>
          <w:shd w:val="clear" w:color="auto" w:fill="FFFFFF"/>
        </w:rPr>
        <w:t xml:space="preserve"> on malaria, we employed a case control study where identification of cases was done prospectively in order to capture co-occurrent characteristics in terms of exposure and risk factors. We recruited consecutive patients with criteria described below in a 1:2 (one case: two controls) unmatched study design.</w:t>
      </w:r>
    </w:p>
    <w:p w14:paraId="0FBCCF01" w14:textId="77777777" w:rsidR="00BF1AE2" w:rsidRPr="00BF1AE2" w:rsidRDefault="00BF1AE2" w:rsidP="00BF1AE2">
      <w:pPr>
        <w:suppressAutoHyphens/>
        <w:spacing w:after="200" w:line="276" w:lineRule="auto"/>
        <w:rPr>
          <w:rFonts w:cs="Times New Roman"/>
          <w:lang w:val="nl-NL"/>
        </w:rPr>
      </w:pPr>
    </w:p>
    <w:p w14:paraId="595E0B30" w14:textId="514028A5" w:rsidR="00BF1AE2" w:rsidRPr="003A21EE" w:rsidRDefault="00BF1AE2" w:rsidP="00BF1AE2">
      <w:pPr>
        <w:widowControl w:val="0"/>
        <w:suppressAutoHyphens/>
        <w:spacing w:after="0" w:line="240" w:lineRule="auto"/>
        <w:ind w:right="-18"/>
        <w:jc w:val="both"/>
        <w:rPr>
          <w:rFonts w:cstheme="minorHAnsi"/>
        </w:rPr>
      </w:pPr>
      <w:r w:rsidRPr="003A21EE">
        <w:rPr>
          <w:rFonts w:cstheme="minorHAnsi"/>
          <w:b/>
          <w:bCs/>
        </w:rPr>
        <w:t>Recruitment of participants</w:t>
      </w:r>
      <w:r w:rsidRPr="003A21EE">
        <w:rPr>
          <w:rFonts w:cstheme="minorHAnsi"/>
        </w:rPr>
        <w:t xml:space="preserve">: Patients with (history of) fever that presented at the two health facilities and tested positive for malaria by microscopy were recruited as index cases (index) </w:t>
      </w:r>
      <w:r w:rsidRPr="003A21EE">
        <w:rPr>
          <w:rFonts w:cstheme="minorHAnsi"/>
          <w:bCs/>
          <w:shd w:val="clear" w:color="auto" w:fill="FFFFFF"/>
        </w:rPr>
        <w:t>from April to July 2022</w:t>
      </w:r>
      <w:r w:rsidRPr="003A21EE">
        <w:rPr>
          <w:rFonts w:cstheme="minorHAnsi"/>
        </w:rPr>
        <w:t>. Febrile patients who attended the same clinic and tested negative for malaria were</w:t>
      </w:r>
      <w:r w:rsidR="000F755E" w:rsidRPr="003A21EE">
        <w:rPr>
          <w:rFonts w:cstheme="minorHAnsi"/>
        </w:rPr>
        <w:t xml:space="preserve"> recruited as controls within 72</w:t>
      </w:r>
      <w:r w:rsidRPr="003A21EE">
        <w:rPr>
          <w:rFonts w:cstheme="minorHAnsi"/>
        </w:rPr>
        <w:t xml:space="preserve"> hours of when the index was identified.</w:t>
      </w:r>
      <w:r w:rsidRPr="003A21EE">
        <w:rPr>
          <w:rFonts w:cstheme="minorHAnsi"/>
          <w:bCs/>
          <w:shd w:val="clear" w:color="auto" w:fill="FFFFFF"/>
        </w:rPr>
        <w:t xml:space="preserve"> </w:t>
      </w:r>
      <w:r w:rsidRPr="003A21EE">
        <w:rPr>
          <w:rFonts w:cstheme="minorHAnsi"/>
        </w:rPr>
        <w:t xml:space="preserve">The index and controls were followed to their homes and their household members were tested for malaria and their households/dormitories were screened for </w:t>
      </w:r>
      <w:r w:rsidRPr="003A21EE">
        <w:rPr>
          <w:rFonts w:cstheme="minorHAnsi"/>
          <w:i/>
          <w:iCs/>
        </w:rPr>
        <w:t>Anopheles</w:t>
      </w:r>
      <w:r w:rsidRPr="003A21EE">
        <w:rPr>
          <w:rFonts w:cstheme="minorHAnsi"/>
        </w:rPr>
        <w:t xml:space="preserve"> mosquitoes (larvae and adult). Detailed characteristics of study participants is presented in Table S2. It is noticeable that although the study was unmatched due to the difficulty in recruiting matched controls (to the cases) in geographical proximity of the cases, their general characteristics are very similar (Table S2 individual characteristics).</w:t>
      </w:r>
    </w:p>
    <w:p w14:paraId="07E028A0" w14:textId="77777777" w:rsidR="00BF1AE2" w:rsidRPr="00BF1AE2" w:rsidRDefault="00BF1AE2" w:rsidP="00BF1AE2">
      <w:pPr>
        <w:widowControl w:val="0"/>
        <w:suppressAutoHyphens/>
        <w:spacing w:after="0" w:line="240" w:lineRule="auto"/>
        <w:ind w:right="-18"/>
        <w:jc w:val="both"/>
        <w:rPr>
          <w:rFonts w:cstheme="minorHAnsi"/>
          <w:bCs/>
          <w:shd w:val="clear" w:color="auto" w:fill="FFFFFF"/>
        </w:rPr>
      </w:pPr>
    </w:p>
    <w:p w14:paraId="3D834317" w14:textId="77777777" w:rsidR="00BF1AE2" w:rsidRPr="00BF1AE2" w:rsidRDefault="00BF1AE2" w:rsidP="00BF1AE2">
      <w:pPr>
        <w:widowControl w:val="0"/>
        <w:suppressAutoHyphens/>
        <w:spacing w:after="0" w:line="240" w:lineRule="auto"/>
        <w:ind w:right="-18"/>
        <w:jc w:val="both"/>
        <w:rPr>
          <w:rFonts w:cstheme="minorHAnsi"/>
          <w:lang w:val="nl-NL"/>
        </w:rPr>
      </w:pPr>
      <w:r w:rsidRPr="00BF1AE2">
        <w:rPr>
          <w:rFonts w:cstheme="minorHAnsi"/>
          <w:b/>
          <w:bCs/>
          <w:shd w:val="clear" w:color="auto" w:fill="FFFFFF"/>
          <w:lang w:val="nl-NL"/>
        </w:rPr>
        <w:t>Sample size</w:t>
      </w:r>
      <w:r w:rsidRPr="00BF1AE2">
        <w:rPr>
          <w:rFonts w:cstheme="minorHAnsi"/>
          <w:b/>
          <w:shd w:val="clear" w:color="auto" w:fill="FFFFFF"/>
          <w:lang w:val="nl-NL"/>
        </w:rPr>
        <w:t>:</w:t>
      </w:r>
      <w:r w:rsidRPr="00BF1AE2">
        <w:rPr>
          <w:rFonts w:cstheme="minorHAnsi"/>
          <w:lang w:val="nl-NL"/>
        </w:rPr>
        <w:t xml:space="preserve"> We planned an unmatched case:control ratio of 1:2</w:t>
      </w:r>
      <w:r w:rsidRPr="00BF1AE2">
        <w:rPr>
          <w:rFonts w:cs="Times New Roman"/>
          <w:lang w:val="nl-NL"/>
        </w:rPr>
        <w:fldChar w:fldCharType="begin"/>
      </w:r>
      <w:r w:rsidRPr="00BF1AE2">
        <w:rPr>
          <w:rFonts w:cs="Calibri"/>
          <w:lang w:val="nl-NL"/>
        </w:rPr>
        <w:instrText>ADDIN EN.CITE &lt;EndNote&gt;&lt;Cite&gt;&lt;Author&gt;Smith&lt;/Author&gt;&lt;Year&gt;1984&lt;/Year&gt;&lt;RecNum&gt;8139&lt;/RecNum&gt;&lt;DisplayText&gt;&lt;style face="superscript"&gt;1&lt;/style&gt;&lt;/DisplayText&gt;&lt;record&gt;&lt;rec-number&gt;8139&lt;/rec-number&gt;&lt;foreign-keys&gt;&lt;key app="EN" db-id="xs0v9w9z9e9a2te9re8va926zefw2fet5avf" timestamp="1680810870"&gt;8139&lt;/key&gt;&lt;/foreign-keys&gt;&lt;ref-type name="Journal Article"&gt;17&lt;/ref-type&gt;&lt;contributors&gt;&lt;authors&gt;&lt;author&gt;Smith, P. G.&lt;/author&gt;&lt;author&gt;Day, N. E.&lt;/author&gt;&lt;/authors&gt;&lt;/contributors&gt;&lt;titles&gt;&lt;title&gt;The design of case-control studies: the influence of confounding and interaction effects&lt;/title&gt;&lt;secondary-title&gt;Int J Epidemiol&lt;/secondary-title&gt;&lt;alt-title&gt;International journal of epidemiology&lt;/alt-title&gt;&lt;/titles&gt;&lt;periodical&gt;&lt;full-title&gt;International Journal of Epidemiology&lt;/full-title&gt;&lt;abbr-1&gt;Int. J. Epidemiol.&lt;/abbr-1&gt;&lt;abbr-2&gt;Int J Epidemiol&lt;/abbr-2&gt;&lt;/periodical&gt;&lt;alt-periodical&gt;&lt;full-title&gt;International Journal of Epidemiology&lt;/full-title&gt;&lt;abbr-1&gt;Int. J. Epidemiol.&lt;/abbr-1&gt;&lt;abbr-2&gt;Int J Epidemiol&lt;/abbr-2&gt;&lt;/alt-periodical&gt;&lt;pages&gt;356-65&lt;/pages&gt;&lt;volume&gt;13&lt;/volume&gt;&lt;number&gt;3&lt;/number&gt;&lt;edition&gt;1984/09/01&lt;/edition&gt;&lt;keywords&gt;&lt;keyword&gt;Clinical Trials as Topic&lt;/keyword&gt;&lt;keyword&gt;Environmental Exposure&lt;/keyword&gt;&lt;keyword&gt;*Epidemiologic Methods&lt;/keyword&gt;&lt;keyword&gt;Humans&lt;/keyword&gt;&lt;keyword&gt;Mathematics&lt;/keyword&gt;&lt;keyword&gt;*Research Design&lt;/keyword&gt;&lt;keyword&gt;Risk&lt;/keyword&gt;&lt;/keywords&gt;&lt;dates&gt;&lt;year&gt;1984&lt;/year&gt;&lt;pub-dates&gt;&lt;date&gt;Sep&lt;/date&gt;&lt;/pub-dates&gt;&lt;/dates&gt;&lt;isbn&gt;0300-5771 (Print)&amp;#xD;0300-5771&lt;/isbn&gt;&lt;accession-num&gt;6386716&lt;/accession-num&gt;&lt;urls&gt;&lt;/urls&gt;&lt;electronic-resource-num&gt;10.1093/ije/13.3.356&lt;/electronic-resource-num&gt;&lt;remote-database-provider&gt;NLM&lt;/remote-database-provider&gt;&lt;language&gt;eng&lt;/language&gt;&lt;/record&gt;&lt;/Cite&gt;&lt;/EndNote&gt;</w:instrText>
      </w:r>
      <w:r w:rsidRPr="00BF1AE2">
        <w:rPr>
          <w:rFonts w:cs="Calibri"/>
          <w:lang w:val="nl-NL"/>
        </w:rPr>
        <w:fldChar w:fldCharType="separate"/>
      </w:r>
      <w:r w:rsidRPr="00BF1AE2">
        <w:rPr>
          <w:rFonts w:cstheme="minorHAnsi"/>
          <w:vertAlign w:val="superscript"/>
          <w:lang w:val="nl-NL"/>
        </w:rPr>
        <w:t>1</w:t>
      </w:r>
      <w:r w:rsidRPr="00BF1AE2">
        <w:rPr>
          <w:rFonts w:cs="Calibri"/>
          <w:lang w:val="nl-NL"/>
        </w:rPr>
        <w:fldChar w:fldCharType="end"/>
      </w:r>
      <w:r w:rsidRPr="00BF1AE2">
        <w:rPr>
          <w:rFonts w:cstheme="minorHAnsi"/>
          <w:lang w:val="nl-NL"/>
        </w:rPr>
        <w:t xml:space="preserve"> with prospective case identification. The choice of the ratio was based on a logistic regression model aimed to detect an odds ratio of at least 2, assuming an exposure of 20% in controls at household level, where the exposure was the presence of </w:t>
      </w:r>
      <w:r w:rsidRPr="00BF1AE2">
        <w:rPr>
          <w:rFonts w:cstheme="minorHAnsi"/>
          <w:i/>
          <w:iCs/>
          <w:lang w:val="nl-NL"/>
        </w:rPr>
        <w:t>An. stephensi</w:t>
      </w:r>
      <w:r w:rsidRPr="00BF1AE2">
        <w:rPr>
          <w:rFonts w:cstheme="minorHAnsi"/>
          <w:lang w:val="nl-NL"/>
        </w:rPr>
        <w:t xml:space="preserve">. The power analysis was conducted in epiR package (R-cran software). </w:t>
      </w:r>
      <w:r w:rsidRPr="00BF1AE2">
        <w:rPr>
          <w:rFonts w:cstheme="minorHAnsi"/>
          <w:bCs/>
          <w:shd w:val="clear" w:color="auto" w:fill="FFFFFF"/>
        </w:rPr>
        <w:t xml:space="preserve">An overall total sample size of N = 288 with 100 cases and 188 controls, was required to achieve a power of 70% for the study to be sufficiently powered to detect differences between the presence of malaria on </w:t>
      </w:r>
      <w:r w:rsidRPr="00BF1AE2">
        <w:rPr>
          <w:rFonts w:cstheme="minorHAnsi"/>
          <w:bCs/>
          <w:i/>
          <w:iCs/>
          <w:shd w:val="clear" w:color="auto" w:fill="FFFFFF"/>
        </w:rPr>
        <w:t>An. stephensi</w:t>
      </w:r>
      <w:r w:rsidRPr="00BF1AE2">
        <w:rPr>
          <w:rFonts w:cstheme="minorHAnsi"/>
          <w:bCs/>
          <w:shd w:val="clear" w:color="auto" w:fill="FFFFFF"/>
        </w:rPr>
        <w:t xml:space="preserve"> exposure at household level. This was the selected stopping rule. </w:t>
      </w:r>
      <w:r w:rsidRPr="00BF1AE2">
        <w:rPr>
          <w:rFonts w:cstheme="minorHAnsi"/>
          <w:lang w:val="nl-NL"/>
        </w:rPr>
        <w:t>The controls were selected from the same population as the cases and post-stratification applied</w:t>
      </w:r>
      <w:r w:rsidRPr="00BF1AE2">
        <w:rPr>
          <w:rFonts w:cs="Times New Roman"/>
          <w:lang w:val="nl-NL"/>
        </w:rPr>
        <w:fldChar w:fldCharType="begin"/>
      </w:r>
      <w:r w:rsidRPr="00BF1AE2">
        <w:rPr>
          <w:rFonts w:cs="Calibri"/>
          <w:lang w:val="nl-NL"/>
        </w:rPr>
        <w:instrText>ADDIN EN.CITE &lt;EndNote&gt;&lt;Cite&gt;&lt;Author&gt;Neuhäuser&lt;/Author&gt;&lt;Year&gt;1997&lt;/Year&gt;&lt;RecNum&gt;8138&lt;/RecNum&gt;&lt;DisplayText&gt;&lt;style face="superscript"&gt;2&lt;/style&gt;&lt;/DisplayText&gt;&lt;record&gt;&lt;rec-number&gt;8138&lt;/rec-number&gt;&lt;foreign-keys&gt;&lt;key app="EN" db-id="xs0v9w9z9e9a2te9re8va926zefw2fet5avf" timestamp="1680810812"&gt;8138&lt;/key&gt;&lt;/foreign-keys&gt;&lt;ref-type name="Journal Article"&gt;17&lt;/ref-type&gt;&lt;contributors&gt;&lt;authors&gt;&lt;author&gt;Neuhäuser, M.&lt;/author&gt;&lt;author&gt;Becher, H.&lt;/author&gt;&lt;/authors&gt;&lt;/contributors&gt;&lt;auth-address&gt;Solvay Pharma, Hannover, Germany.&lt;/auth-address&gt;&lt;titles&gt;&lt;title&gt;Improved odds ratio estimation by post hoc stratification of case-control data&lt;/title&gt;&lt;secondary-title&gt;Stat Med&lt;/secondary-title&gt;&lt;alt-title&gt;Statistics in medicine&lt;/alt-title&gt;&lt;/titles&gt;&lt;periodical&gt;&lt;full-title&gt;Statistics in Medicine&lt;/full-title&gt;&lt;abbr-1&gt;Stat. Med.&lt;/abbr-1&gt;&lt;abbr-2&gt;Stat Med&lt;/abbr-2&gt;&lt;/periodical&gt;&lt;alt-periodical&gt;&lt;full-title&gt;Statistics in Medicine&lt;/full-title&gt;&lt;abbr-1&gt;Stat. Med.&lt;/abbr-1&gt;&lt;abbr-2&gt;Stat Med&lt;/abbr-2&gt;&lt;/alt-periodical&gt;&lt;pages&gt;993-1004&lt;/pages&gt;&lt;volume&gt;16&lt;/volume&gt;&lt;number&gt;9&lt;/number&gt;&lt;edition&gt;1997/05/15&lt;/edition&gt;&lt;keywords&gt;&lt;keyword&gt;Case-Control Studies&lt;/keyword&gt;&lt;keyword&gt;Confounding Factors, Epidemiologic&lt;/keyword&gt;&lt;keyword&gt;Data Interpretation, Statistical&lt;/keyword&gt;&lt;keyword&gt;Esophageal Neoplasms/epidemiology&lt;/keyword&gt;&lt;keyword&gt;Humans&lt;/keyword&gt;&lt;keyword&gt;Laryngeal Neoplasms/epidemiology&lt;/keyword&gt;&lt;keyword&gt;Logistic Models&lt;/keyword&gt;&lt;keyword&gt;Lung Neoplasms/epidemiology&lt;/keyword&gt;&lt;keyword&gt;Models, Statistical&lt;/keyword&gt;&lt;keyword&gt;Odds Ratio&lt;/keyword&gt;&lt;keyword&gt;Research Design&lt;/keyword&gt;&lt;keyword&gt;Statistics as Topic/*methods&lt;/keyword&gt;&lt;/keywords&gt;&lt;dates&gt;&lt;year&gt;1997&lt;/year&gt;&lt;pub-dates&gt;&lt;date&gt;May 15&lt;/date&gt;&lt;/pub-dates&gt;&lt;/dates&gt;&lt;isbn&gt;0277-6715 (Print)&amp;#xD;0277-6715&lt;/isbn&gt;&lt;accession-num&gt;9160494&lt;/accession-num&gt;&lt;urls&gt;&lt;/urls&gt;&lt;electronic-resource-num&gt;10.1002/(sici)1097-0258(19970515)16:9&amp;lt;993::aid-sim505&amp;gt;3.0.co;2-2&lt;/electronic-resource-num&gt;&lt;remote-database-provider&gt;NLM&lt;/remote-database-provider&gt;&lt;language&gt;eng&lt;/language&gt;&lt;/record&gt;&lt;/Cite&gt;&lt;/EndNote&gt;</w:instrText>
      </w:r>
      <w:r w:rsidRPr="00BF1AE2">
        <w:rPr>
          <w:rFonts w:cs="Calibri"/>
          <w:lang w:val="nl-NL"/>
        </w:rPr>
        <w:fldChar w:fldCharType="separate"/>
      </w:r>
      <w:r w:rsidRPr="00BF1AE2">
        <w:rPr>
          <w:rFonts w:cstheme="minorHAnsi"/>
          <w:vertAlign w:val="superscript"/>
          <w:lang w:val="nl-NL"/>
        </w:rPr>
        <w:t>2</w:t>
      </w:r>
      <w:r w:rsidRPr="00BF1AE2">
        <w:rPr>
          <w:rFonts w:cs="Calibri"/>
          <w:lang w:val="nl-NL"/>
        </w:rPr>
        <w:fldChar w:fldCharType="end"/>
      </w:r>
      <w:r w:rsidRPr="00BF1AE2">
        <w:rPr>
          <w:rFonts w:cstheme="minorHAnsi"/>
          <w:lang w:val="nl-NL"/>
        </w:rPr>
        <w:t xml:space="preserve">. Data from cases and controls were reviewed regurarly, and final sample size was set to 290 with 101 cases and 189 controls. The </w:t>
      </w:r>
      <w:r w:rsidRPr="00BF1AE2">
        <w:rPr>
          <w:rFonts w:cstheme="minorHAnsi"/>
          <w:bCs/>
          <w:shd w:val="clear" w:color="auto" w:fill="FFFFFF"/>
        </w:rPr>
        <w:t>recruitment of case-household and control-household members was done to include reactive case detection and improve the power of the study (and the OR minimum detection).</w:t>
      </w:r>
    </w:p>
    <w:p w14:paraId="6FB18F56" w14:textId="77777777" w:rsidR="00BF1AE2" w:rsidRPr="00BF1AE2" w:rsidRDefault="00BF1AE2" w:rsidP="00BF1AE2">
      <w:pPr>
        <w:shd w:val="clear" w:color="auto" w:fill="FFFFFF" w:themeFill="background1"/>
        <w:suppressAutoHyphens/>
        <w:spacing w:after="0" w:line="240" w:lineRule="auto"/>
        <w:jc w:val="both"/>
        <w:rPr>
          <w:rFonts w:cstheme="minorHAnsi"/>
          <w:b/>
          <w:shd w:val="clear" w:color="auto" w:fill="FFFFFF"/>
        </w:rPr>
      </w:pPr>
    </w:p>
    <w:p w14:paraId="09D4C91C" w14:textId="77777777" w:rsidR="00BF1AE2" w:rsidRPr="00BF1AE2" w:rsidRDefault="00BF1AE2" w:rsidP="00BF1AE2">
      <w:pPr>
        <w:shd w:val="clear" w:color="auto" w:fill="FFFFFF" w:themeFill="background1"/>
        <w:suppressAutoHyphens/>
        <w:spacing w:after="0" w:line="240" w:lineRule="auto"/>
        <w:jc w:val="both"/>
        <w:rPr>
          <w:rFonts w:cstheme="minorHAnsi"/>
          <w:b/>
          <w:shd w:val="clear" w:color="auto" w:fill="FFFFFF"/>
        </w:rPr>
      </w:pPr>
      <w:r w:rsidRPr="00BF1AE2">
        <w:rPr>
          <w:rFonts w:cstheme="minorHAnsi"/>
          <w:b/>
          <w:shd w:val="clear" w:color="auto" w:fill="FFFFFF"/>
        </w:rPr>
        <w:t xml:space="preserve">Ethical statement. </w:t>
      </w:r>
      <w:r w:rsidRPr="00BF1AE2">
        <w:rPr>
          <w:rFonts w:cstheme="minorHAnsi"/>
          <w:color w:val="222222"/>
          <w:shd w:val="clear" w:color="auto" w:fill="FFFFFF"/>
          <w:lang w:val="nl-NL"/>
        </w:rPr>
        <w:t>Study protocol was approved by the Institutional Ethical Review Board of AHRI/ALERT Ethics Review Committee (AF-10-015.1, PO/07/19).</w:t>
      </w:r>
    </w:p>
    <w:p w14:paraId="4333FC2E" w14:textId="77777777" w:rsidR="00BF1AE2" w:rsidRPr="00BF1AE2" w:rsidRDefault="00BF1AE2" w:rsidP="00BF1AE2">
      <w:pPr>
        <w:widowControl w:val="0"/>
        <w:suppressAutoHyphens/>
        <w:spacing w:after="0" w:line="240" w:lineRule="auto"/>
        <w:ind w:right="-18"/>
        <w:jc w:val="both"/>
        <w:rPr>
          <w:rFonts w:cstheme="minorHAnsi"/>
          <w:lang w:val="nl-NL"/>
        </w:rPr>
      </w:pPr>
    </w:p>
    <w:p w14:paraId="3C5E55B7" w14:textId="77777777" w:rsidR="00BF1AE2" w:rsidRPr="00BF1AE2" w:rsidRDefault="00BF1AE2" w:rsidP="00BF1AE2">
      <w:pPr>
        <w:suppressAutoHyphens/>
        <w:spacing w:after="0" w:line="240" w:lineRule="auto"/>
        <w:rPr>
          <w:rFonts w:cstheme="minorHAnsi"/>
        </w:rPr>
      </w:pPr>
      <w:r w:rsidRPr="00BF1AE2">
        <w:rPr>
          <w:rFonts w:cstheme="minorHAnsi"/>
          <w:b/>
          <w:color w:val="000000"/>
          <w:lang w:val="nl-NL"/>
        </w:rPr>
        <w:lastRenderedPageBreak/>
        <w:t xml:space="preserve">Table </w:t>
      </w:r>
      <w:r w:rsidRPr="00BF1AE2">
        <w:rPr>
          <w:rFonts w:cstheme="minorHAnsi"/>
          <w:b/>
          <w:bCs/>
          <w:color w:val="000000"/>
          <w:lang w:val="nl-NL"/>
        </w:rPr>
        <w:t xml:space="preserve">S2. </w:t>
      </w:r>
      <w:r w:rsidRPr="00BF1AE2">
        <w:rPr>
          <w:rFonts w:cstheme="minorHAnsi"/>
          <w:b/>
          <w:color w:val="000000"/>
          <w:lang w:val="nl-NL"/>
        </w:rPr>
        <w:t>Summary statistics of individual and household level characteristics for members of the cases and controls in the two settings in Dire Dawa.</w:t>
      </w:r>
    </w:p>
    <w:tbl>
      <w:tblPr>
        <w:tblStyle w:val="PlainTable21"/>
        <w:tblW w:w="8998" w:type="dxa"/>
        <w:tblLayout w:type="fixed"/>
        <w:tblLook w:val="04A0" w:firstRow="1" w:lastRow="0" w:firstColumn="1" w:lastColumn="0" w:noHBand="0" w:noVBand="1"/>
      </w:tblPr>
      <w:tblGrid>
        <w:gridCol w:w="2988"/>
        <w:gridCol w:w="1456"/>
        <w:gridCol w:w="1520"/>
        <w:gridCol w:w="1513"/>
        <w:gridCol w:w="1521"/>
      </w:tblGrid>
      <w:tr w:rsidR="000F755E" w:rsidRPr="00BF1AE2" w14:paraId="34DAC710" w14:textId="77777777" w:rsidTr="00846B9B">
        <w:trPr>
          <w:cnfStyle w:val="100000000000" w:firstRow="1" w:lastRow="0" w:firstColumn="0" w:lastColumn="0" w:oddVBand="0" w:evenVBand="0" w:oddHBand="0" w:evenHBand="0" w:firstRowFirstColumn="0" w:firstRowLastColumn="0" w:lastRowFirstColumn="0" w:lastRowLastColumn="0"/>
          <w:trHeight w:val="214"/>
        </w:trPr>
        <w:tc>
          <w:tcPr>
            <w:cnfStyle w:val="001000000000" w:firstRow="0" w:lastRow="0" w:firstColumn="1" w:lastColumn="0" w:oddVBand="0" w:evenVBand="0" w:oddHBand="0" w:evenHBand="0" w:firstRowFirstColumn="0" w:firstRowLastColumn="0" w:lastRowFirstColumn="0" w:lastRowLastColumn="0"/>
            <w:tcW w:w="2988" w:type="dxa"/>
            <w:vMerge w:val="restart"/>
            <w:tcBorders>
              <w:bottom w:val="nil"/>
              <w:right w:val="single" w:sz="4" w:space="0" w:color="000000"/>
            </w:tcBorders>
          </w:tcPr>
          <w:p w14:paraId="57A3A059" w14:textId="77777777" w:rsidR="000F755E" w:rsidRPr="00BF1AE2" w:rsidRDefault="000F755E" w:rsidP="00846B9B">
            <w:pPr>
              <w:jc w:val="center"/>
              <w:rPr>
                <w:rFonts w:eastAsia="Times New Roman" w:cstheme="minorHAnsi"/>
                <w:color w:val="000000"/>
              </w:rPr>
            </w:pPr>
            <w:r w:rsidRPr="00BF1AE2">
              <w:rPr>
                <w:rFonts w:eastAsia="Times New Roman" w:cstheme="minorHAnsi"/>
                <w:color w:val="000000"/>
              </w:rPr>
              <w:t>Characteristics</w:t>
            </w:r>
          </w:p>
        </w:tc>
        <w:tc>
          <w:tcPr>
            <w:tcW w:w="2976" w:type="dxa"/>
            <w:gridSpan w:val="2"/>
            <w:tcBorders>
              <w:left w:val="single" w:sz="4" w:space="0" w:color="000000"/>
              <w:right w:val="single" w:sz="4" w:space="0" w:color="000000"/>
            </w:tcBorders>
          </w:tcPr>
          <w:p w14:paraId="3B4B4F0C" w14:textId="77777777" w:rsidR="000F755E" w:rsidRPr="00BF1AE2" w:rsidRDefault="000F755E" w:rsidP="00846B9B">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CITY </w:t>
            </w:r>
          </w:p>
        </w:tc>
        <w:tc>
          <w:tcPr>
            <w:tcW w:w="3034" w:type="dxa"/>
            <w:gridSpan w:val="2"/>
            <w:tcBorders>
              <w:left w:val="single" w:sz="4" w:space="0" w:color="000000"/>
            </w:tcBorders>
          </w:tcPr>
          <w:p w14:paraId="53245B98" w14:textId="77777777" w:rsidR="000F755E" w:rsidRPr="00BF1AE2" w:rsidRDefault="000F755E" w:rsidP="00846B9B">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UNIVERSITY </w:t>
            </w:r>
          </w:p>
        </w:tc>
      </w:tr>
      <w:tr w:rsidR="000F755E" w:rsidRPr="00BF1AE2" w14:paraId="09ED98E0" w14:textId="77777777" w:rsidTr="00846B9B">
        <w:trPr>
          <w:cnfStyle w:val="000000100000" w:firstRow="0" w:lastRow="0" w:firstColumn="0" w:lastColumn="0" w:oddVBand="0" w:evenVBand="0" w:oddHBand="1" w:evenHBand="0" w:firstRowFirstColumn="0" w:firstRowLastColumn="0" w:lastRowFirstColumn="0" w:lastRowLastColumn="0"/>
          <w:trHeight w:val="214"/>
        </w:trPr>
        <w:tc>
          <w:tcPr>
            <w:cnfStyle w:val="001000000000" w:firstRow="0" w:lastRow="0" w:firstColumn="1" w:lastColumn="0" w:oddVBand="0" w:evenVBand="0" w:oddHBand="0" w:evenHBand="0" w:firstRowFirstColumn="0" w:firstRowLastColumn="0" w:lastRowFirstColumn="0" w:lastRowLastColumn="0"/>
            <w:tcW w:w="2988" w:type="dxa"/>
            <w:vMerge/>
            <w:tcBorders>
              <w:right w:val="single" w:sz="4" w:space="0" w:color="000000"/>
            </w:tcBorders>
          </w:tcPr>
          <w:p w14:paraId="4813796B" w14:textId="77777777" w:rsidR="000F755E" w:rsidRPr="00BF1AE2" w:rsidRDefault="000F755E" w:rsidP="00846B9B">
            <w:pPr>
              <w:rPr>
                <w:rFonts w:eastAsia="Times New Roman" w:cstheme="minorHAnsi"/>
                <w:color w:val="000000"/>
              </w:rPr>
            </w:pPr>
          </w:p>
        </w:tc>
        <w:tc>
          <w:tcPr>
            <w:tcW w:w="1456" w:type="dxa"/>
            <w:tcBorders>
              <w:left w:val="single" w:sz="4" w:space="0" w:color="000000"/>
              <w:right w:val="single" w:sz="4" w:space="0" w:color="000000"/>
            </w:tcBorders>
          </w:tcPr>
          <w:p w14:paraId="2E25D816" w14:textId="77777777" w:rsidR="000F755E" w:rsidRPr="00BF1AE2" w:rsidRDefault="000F755E" w:rsidP="00846B9B">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CASES </w:t>
            </w:r>
          </w:p>
        </w:tc>
        <w:tc>
          <w:tcPr>
            <w:tcW w:w="1520" w:type="dxa"/>
            <w:tcBorders>
              <w:left w:val="single" w:sz="4" w:space="0" w:color="000000"/>
              <w:right w:val="single" w:sz="4" w:space="0" w:color="000000"/>
            </w:tcBorders>
          </w:tcPr>
          <w:p w14:paraId="7CDF9224" w14:textId="77777777" w:rsidR="000F755E" w:rsidRPr="00BF1AE2" w:rsidRDefault="000F755E" w:rsidP="00846B9B">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CONTROLS </w:t>
            </w:r>
          </w:p>
        </w:tc>
        <w:tc>
          <w:tcPr>
            <w:tcW w:w="1513" w:type="dxa"/>
            <w:tcBorders>
              <w:left w:val="single" w:sz="4" w:space="0" w:color="000000"/>
              <w:right w:val="single" w:sz="4" w:space="0" w:color="000000"/>
            </w:tcBorders>
          </w:tcPr>
          <w:p w14:paraId="27F65A3A" w14:textId="77777777" w:rsidR="000F755E" w:rsidRPr="00BF1AE2" w:rsidRDefault="000F755E" w:rsidP="00846B9B">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CASES </w:t>
            </w:r>
          </w:p>
        </w:tc>
        <w:tc>
          <w:tcPr>
            <w:tcW w:w="1521" w:type="dxa"/>
            <w:tcBorders>
              <w:left w:val="single" w:sz="4" w:space="0" w:color="000000"/>
            </w:tcBorders>
          </w:tcPr>
          <w:p w14:paraId="30F03352" w14:textId="77777777" w:rsidR="000F755E" w:rsidRPr="00BF1AE2" w:rsidRDefault="000F755E" w:rsidP="00846B9B">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CONTROLS </w:t>
            </w:r>
          </w:p>
        </w:tc>
      </w:tr>
      <w:tr w:rsidR="000F755E" w:rsidRPr="00BF1AE2" w14:paraId="562C18B0" w14:textId="77777777" w:rsidTr="00846B9B">
        <w:trPr>
          <w:trHeight w:val="199"/>
        </w:trPr>
        <w:tc>
          <w:tcPr>
            <w:cnfStyle w:val="001000000000" w:firstRow="0" w:lastRow="0" w:firstColumn="1" w:lastColumn="0" w:oddVBand="0" w:evenVBand="0" w:oddHBand="0" w:evenHBand="0" w:firstRowFirstColumn="0" w:firstRowLastColumn="0" w:lastRowFirstColumn="0" w:lastRowLastColumn="0"/>
            <w:tcW w:w="2988" w:type="dxa"/>
            <w:vMerge/>
            <w:tcBorders>
              <w:top w:val="nil"/>
              <w:bottom w:val="nil"/>
              <w:right w:val="single" w:sz="4" w:space="0" w:color="000000"/>
            </w:tcBorders>
          </w:tcPr>
          <w:p w14:paraId="7B0E72CF" w14:textId="77777777" w:rsidR="000F755E" w:rsidRPr="00BF1AE2" w:rsidRDefault="000F755E" w:rsidP="00846B9B">
            <w:pPr>
              <w:rPr>
                <w:rFonts w:eastAsia="Times New Roman" w:cstheme="minorHAnsi"/>
                <w:color w:val="000000"/>
              </w:rPr>
            </w:pPr>
          </w:p>
        </w:tc>
        <w:tc>
          <w:tcPr>
            <w:tcW w:w="6010" w:type="dxa"/>
            <w:gridSpan w:val="4"/>
            <w:tcBorders>
              <w:top w:val="nil"/>
              <w:left w:val="single" w:sz="4" w:space="0" w:color="000000"/>
              <w:bottom w:val="nil"/>
            </w:tcBorders>
          </w:tcPr>
          <w:p w14:paraId="74575A32" w14:textId="77777777" w:rsidR="000F755E" w:rsidRPr="00BF1AE2" w:rsidRDefault="000F755E" w:rsidP="00846B9B">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rPr>
            </w:pPr>
            <w:r w:rsidRPr="00BF1AE2">
              <w:rPr>
                <w:rFonts w:eastAsia="Times New Roman" w:cstheme="minorHAnsi"/>
                <w:b/>
                <w:bCs/>
                <w:color w:val="000000"/>
              </w:rPr>
              <w:t>Individual characteristics</w:t>
            </w:r>
          </w:p>
        </w:tc>
      </w:tr>
      <w:tr w:rsidR="000F755E" w:rsidRPr="00BF1AE2" w14:paraId="55EE3DD2" w14:textId="77777777" w:rsidTr="00846B9B">
        <w:trPr>
          <w:cnfStyle w:val="000000100000" w:firstRow="0" w:lastRow="0" w:firstColumn="0" w:lastColumn="0" w:oddVBand="0" w:evenVBand="0" w:oddHBand="1" w:evenHBand="0" w:firstRowFirstColumn="0" w:firstRowLastColumn="0" w:lastRowFirstColumn="0" w:lastRowLastColumn="0"/>
          <w:trHeight w:val="214"/>
        </w:trPr>
        <w:tc>
          <w:tcPr>
            <w:cnfStyle w:val="001000000000" w:firstRow="0" w:lastRow="0" w:firstColumn="1" w:lastColumn="0" w:oddVBand="0" w:evenVBand="0" w:oddHBand="0" w:evenHBand="0" w:firstRowFirstColumn="0" w:firstRowLastColumn="0" w:lastRowFirstColumn="0" w:lastRowLastColumn="0"/>
            <w:tcW w:w="2988" w:type="dxa"/>
            <w:tcBorders>
              <w:right w:val="single" w:sz="4" w:space="0" w:color="000000"/>
            </w:tcBorders>
          </w:tcPr>
          <w:p w14:paraId="74BC00C2" w14:textId="77777777" w:rsidR="000F755E" w:rsidRPr="00BF1AE2" w:rsidRDefault="000F755E" w:rsidP="00846B9B">
            <w:pPr>
              <w:rPr>
                <w:rFonts w:eastAsia="Times New Roman" w:cstheme="minorHAnsi"/>
                <w:color w:val="000000"/>
              </w:rPr>
            </w:pPr>
            <w:r w:rsidRPr="00BF1AE2">
              <w:rPr>
                <w:rFonts w:eastAsia="Times New Roman" w:cstheme="minorHAnsi"/>
                <w:color w:val="000000"/>
              </w:rPr>
              <w:t>Number of participants</w:t>
            </w:r>
          </w:p>
        </w:tc>
        <w:tc>
          <w:tcPr>
            <w:tcW w:w="1456" w:type="dxa"/>
            <w:tcBorders>
              <w:left w:val="single" w:sz="4" w:space="0" w:color="000000"/>
              <w:right w:val="single" w:sz="4" w:space="0" w:color="000000"/>
            </w:tcBorders>
          </w:tcPr>
          <w:p w14:paraId="6B761719" w14:textId="77777777" w:rsidR="000F755E" w:rsidRPr="00BF1AE2" w:rsidRDefault="000F755E" w:rsidP="00846B9B">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173</w:t>
            </w:r>
          </w:p>
        </w:tc>
        <w:tc>
          <w:tcPr>
            <w:tcW w:w="1520" w:type="dxa"/>
            <w:tcBorders>
              <w:left w:val="single" w:sz="4" w:space="0" w:color="000000"/>
              <w:right w:val="single" w:sz="4" w:space="0" w:color="000000"/>
            </w:tcBorders>
          </w:tcPr>
          <w:p w14:paraId="2C610767" w14:textId="77777777" w:rsidR="000F755E" w:rsidRPr="00BF1AE2" w:rsidRDefault="000F755E" w:rsidP="00846B9B">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350</w:t>
            </w:r>
          </w:p>
        </w:tc>
        <w:tc>
          <w:tcPr>
            <w:tcW w:w="1513" w:type="dxa"/>
            <w:tcBorders>
              <w:left w:val="single" w:sz="4" w:space="0" w:color="000000"/>
              <w:right w:val="single" w:sz="4" w:space="0" w:color="000000"/>
            </w:tcBorders>
          </w:tcPr>
          <w:p w14:paraId="2165D4DC" w14:textId="77777777" w:rsidR="000F755E" w:rsidRPr="00BF1AE2" w:rsidRDefault="000F755E" w:rsidP="00846B9B">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163</w:t>
            </w:r>
          </w:p>
        </w:tc>
        <w:tc>
          <w:tcPr>
            <w:tcW w:w="1521" w:type="dxa"/>
            <w:tcBorders>
              <w:left w:val="single" w:sz="4" w:space="0" w:color="000000"/>
            </w:tcBorders>
          </w:tcPr>
          <w:p w14:paraId="5AA3B89D" w14:textId="77777777" w:rsidR="000F755E" w:rsidRPr="00BF1AE2" w:rsidRDefault="000F755E" w:rsidP="00846B9B">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266</w:t>
            </w:r>
          </w:p>
        </w:tc>
      </w:tr>
      <w:tr w:rsidR="000F755E" w:rsidRPr="00BF1AE2" w14:paraId="4292F419" w14:textId="77777777" w:rsidTr="00846B9B">
        <w:trPr>
          <w:trHeight w:val="167"/>
        </w:trPr>
        <w:tc>
          <w:tcPr>
            <w:cnfStyle w:val="001000000000" w:firstRow="0" w:lastRow="0" w:firstColumn="1" w:lastColumn="0" w:oddVBand="0" w:evenVBand="0" w:oddHBand="0" w:evenHBand="0" w:firstRowFirstColumn="0" w:firstRowLastColumn="0" w:lastRowFirstColumn="0" w:lastRowLastColumn="0"/>
            <w:tcW w:w="2988" w:type="dxa"/>
            <w:tcBorders>
              <w:top w:val="nil"/>
              <w:bottom w:val="nil"/>
              <w:right w:val="single" w:sz="4" w:space="0" w:color="000000"/>
            </w:tcBorders>
          </w:tcPr>
          <w:p w14:paraId="2FC67283" w14:textId="77777777" w:rsidR="000F755E" w:rsidRPr="00BF1AE2" w:rsidRDefault="000F755E" w:rsidP="00846B9B">
            <w:pPr>
              <w:rPr>
                <w:rFonts w:eastAsia="Times New Roman" w:cstheme="minorHAnsi"/>
                <w:color w:val="000000"/>
              </w:rPr>
            </w:pPr>
            <w:r w:rsidRPr="00BF1AE2">
              <w:rPr>
                <w:rFonts w:eastAsia="Times New Roman" w:cstheme="minorHAnsi"/>
                <w:color w:val="000000"/>
              </w:rPr>
              <w:t>Malaria incidence, %(n/N)</w:t>
            </w:r>
          </w:p>
        </w:tc>
        <w:tc>
          <w:tcPr>
            <w:tcW w:w="1456" w:type="dxa"/>
            <w:tcBorders>
              <w:top w:val="nil"/>
              <w:left w:val="single" w:sz="4" w:space="0" w:color="000000"/>
              <w:bottom w:val="nil"/>
              <w:right w:val="single" w:sz="4" w:space="0" w:color="000000"/>
            </w:tcBorders>
          </w:tcPr>
          <w:p w14:paraId="6B23E188" w14:textId="77777777" w:rsidR="000F755E" w:rsidRPr="00BF1AE2" w:rsidRDefault="000F755E" w:rsidP="00846B9B">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42.1(72/173)</w:t>
            </w:r>
          </w:p>
        </w:tc>
        <w:tc>
          <w:tcPr>
            <w:tcW w:w="1520" w:type="dxa"/>
            <w:tcBorders>
              <w:top w:val="nil"/>
              <w:left w:val="single" w:sz="4" w:space="0" w:color="000000"/>
              <w:bottom w:val="nil"/>
              <w:right w:val="single" w:sz="4" w:space="0" w:color="000000"/>
            </w:tcBorders>
          </w:tcPr>
          <w:p w14:paraId="5A90055B" w14:textId="77777777" w:rsidR="000F755E" w:rsidRPr="00BF1AE2" w:rsidRDefault="000F755E" w:rsidP="00846B9B">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2.3(8/350)</w:t>
            </w:r>
          </w:p>
        </w:tc>
        <w:tc>
          <w:tcPr>
            <w:tcW w:w="1513" w:type="dxa"/>
            <w:tcBorders>
              <w:top w:val="nil"/>
              <w:left w:val="single" w:sz="4" w:space="0" w:color="000000"/>
              <w:bottom w:val="nil"/>
              <w:right w:val="single" w:sz="4" w:space="0" w:color="000000"/>
            </w:tcBorders>
          </w:tcPr>
          <w:p w14:paraId="622A6413" w14:textId="77777777" w:rsidR="000F755E" w:rsidRPr="00BF1AE2" w:rsidRDefault="000F755E" w:rsidP="00846B9B">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42.9(70/163)</w:t>
            </w:r>
          </w:p>
        </w:tc>
        <w:tc>
          <w:tcPr>
            <w:tcW w:w="1521" w:type="dxa"/>
            <w:tcBorders>
              <w:top w:val="nil"/>
              <w:left w:val="single" w:sz="4" w:space="0" w:color="000000"/>
              <w:bottom w:val="nil"/>
            </w:tcBorders>
          </w:tcPr>
          <w:p w14:paraId="0F4E1BF3" w14:textId="77777777" w:rsidR="000F755E" w:rsidRPr="00BF1AE2" w:rsidRDefault="000F755E" w:rsidP="00846B9B">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5.3(14/266)</w:t>
            </w:r>
          </w:p>
        </w:tc>
      </w:tr>
      <w:tr w:rsidR="000F755E" w:rsidRPr="00BF1AE2" w14:paraId="76BF863A" w14:textId="77777777" w:rsidTr="00846B9B">
        <w:trPr>
          <w:cnfStyle w:val="000000100000" w:firstRow="0" w:lastRow="0" w:firstColumn="0" w:lastColumn="0" w:oddVBand="0" w:evenVBand="0" w:oddHBand="1" w:evenHBand="0" w:firstRowFirstColumn="0" w:firstRowLastColumn="0" w:lastRowFirstColumn="0" w:lastRowLastColumn="0"/>
          <w:trHeight w:val="167"/>
        </w:trPr>
        <w:tc>
          <w:tcPr>
            <w:cnfStyle w:val="001000000000" w:firstRow="0" w:lastRow="0" w:firstColumn="1" w:lastColumn="0" w:oddVBand="0" w:evenVBand="0" w:oddHBand="0" w:evenHBand="0" w:firstRowFirstColumn="0" w:firstRowLastColumn="0" w:lastRowFirstColumn="0" w:lastRowLastColumn="0"/>
            <w:tcW w:w="2988" w:type="dxa"/>
            <w:tcBorders>
              <w:right w:val="single" w:sz="4" w:space="0" w:color="000000"/>
            </w:tcBorders>
          </w:tcPr>
          <w:p w14:paraId="1AAB2D1D" w14:textId="77777777" w:rsidR="000F755E" w:rsidRPr="00BF1AE2" w:rsidRDefault="000F755E" w:rsidP="00846B9B">
            <w:pPr>
              <w:rPr>
                <w:rFonts w:eastAsia="Times New Roman" w:cstheme="minorHAnsi"/>
                <w:color w:val="000000"/>
              </w:rPr>
            </w:pPr>
            <w:r w:rsidRPr="00BF1AE2">
              <w:rPr>
                <w:rFonts w:eastAsia="Times New Roman" w:cstheme="minorHAnsi"/>
                <w:color w:val="000000"/>
              </w:rPr>
              <w:t>Male sex, %(n/N)</w:t>
            </w:r>
          </w:p>
        </w:tc>
        <w:tc>
          <w:tcPr>
            <w:tcW w:w="1456" w:type="dxa"/>
            <w:tcBorders>
              <w:left w:val="single" w:sz="4" w:space="0" w:color="000000"/>
              <w:right w:val="single" w:sz="4" w:space="0" w:color="000000"/>
            </w:tcBorders>
          </w:tcPr>
          <w:p w14:paraId="33EE76B2" w14:textId="77777777" w:rsidR="000F755E" w:rsidRPr="00BF1AE2" w:rsidRDefault="000F755E" w:rsidP="00846B9B">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 47.9(83/173)</w:t>
            </w:r>
          </w:p>
        </w:tc>
        <w:tc>
          <w:tcPr>
            <w:tcW w:w="1520" w:type="dxa"/>
            <w:tcBorders>
              <w:left w:val="single" w:sz="4" w:space="0" w:color="000000"/>
              <w:right w:val="single" w:sz="4" w:space="0" w:color="000000"/>
            </w:tcBorders>
          </w:tcPr>
          <w:p w14:paraId="5E4C573D" w14:textId="77777777" w:rsidR="000F755E" w:rsidRPr="00BF1AE2" w:rsidRDefault="000F755E" w:rsidP="00846B9B">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 45(157/349)</w:t>
            </w:r>
          </w:p>
        </w:tc>
        <w:tc>
          <w:tcPr>
            <w:tcW w:w="1513" w:type="dxa"/>
            <w:tcBorders>
              <w:left w:val="single" w:sz="4" w:space="0" w:color="000000"/>
              <w:right w:val="single" w:sz="4" w:space="0" w:color="000000"/>
            </w:tcBorders>
          </w:tcPr>
          <w:p w14:paraId="31BBB16D" w14:textId="77777777" w:rsidR="000F755E" w:rsidRPr="00BF1AE2" w:rsidRDefault="000F755E" w:rsidP="00846B9B">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 100(163/163)</w:t>
            </w:r>
          </w:p>
        </w:tc>
        <w:tc>
          <w:tcPr>
            <w:tcW w:w="1521" w:type="dxa"/>
            <w:tcBorders>
              <w:left w:val="single" w:sz="4" w:space="0" w:color="000000"/>
            </w:tcBorders>
          </w:tcPr>
          <w:p w14:paraId="08927C84" w14:textId="77777777" w:rsidR="000F755E" w:rsidRPr="00BF1AE2" w:rsidRDefault="000F755E" w:rsidP="00846B9B">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 100(266/266)</w:t>
            </w:r>
          </w:p>
        </w:tc>
      </w:tr>
      <w:tr w:rsidR="000F755E" w:rsidRPr="00BF1AE2" w14:paraId="42AC4E41" w14:textId="77777777" w:rsidTr="00846B9B">
        <w:trPr>
          <w:trHeight w:val="214"/>
        </w:trPr>
        <w:tc>
          <w:tcPr>
            <w:cnfStyle w:val="001000000000" w:firstRow="0" w:lastRow="0" w:firstColumn="1" w:lastColumn="0" w:oddVBand="0" w:evenVBand="0" w:oddHBand="0" w:evenHBand="0" w:firstRowFirstColumn="0" w:firstRowLastColumn="0" w:lastRowFirstColumn="0" w:lastRowLastColumn="0"/>
            <w:tcW w:w="2988" w:type="dxa"/>
            <w:tcBorders>
              <w:top w:val="nil"/>
              <w:bottom w:val="nil"/>
              <w:right w:val="single" w:sz="4" w:space="0" w:color="000000"/>
            </w:tcBorders>
          </w:tcPr>
          <w:p w14:paraId="2C8D5AB4" w14:textId="77777777" w:rsidR="000F755E" w:rsidRPr="00BF1AE2" w:rsidRDefault="000F755E" w:rsidP="00846B9B">
            <w:pPr>
              <w:rPr>
                <w:rFonts w:eastAsia="Times New Roman" w:cstheme="minorHAnsi"/>
                <w:color w:val="000000"/>
              </w:rPr>
            </w:pPr>
            <w:r w:rsidRPr="00BF1AE2">
              <w:rPr>
                <w:rFonts w:eastAsia="Times New Roman" w:cstheme="minorHAnsi"/>
                <w:color w:val="000000"/>
              </w:rPr>
              <w:t>Age (years), median (IQR) </w:t>
            </w:r>
          </w:p>
        </w:tc>
        <w:tc>
          <w:tcPr>
            <w:tcW w:w="1456" w:type="dxa"/>
            <w:tcBorders>
              <w:top w:val="nil"/>
              <w:left w:val="single" w:sz="4" w:space="0" w:color="000000"/>
              <w:bottom w:val="nil"/>
              <w:right w:val="single" w:sz="4" w:space="0" w:color="000000"/>
            </w:tcBorders>
          </w:tcPr>
          <w:p w14:paraId="45DD7A24" w14:textId="77777777" w:rsidR="000F755E" w:rsidRPr="00BF1AE2" w:rsidRDefault="000F755E" w:rsidP="00846B9B">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23(14,35)</w:t>
            </w:r>
          </w:p>
        </w:tc>
        <w:tc>
          <w:tcPr>
            <w:tcW w:w="1520" w:type="dxa"/>
            <w:tcBorders>
              <w:top w:val="nil"/>
              <w:left w:val="single" w:sz="4" w:space="0" w:color="000000"/>
              <w:bottom w:val="nil"/>
              <w:right w:val="single" w:sz="4" w:space="0" w:color="000000"/>
            </w:tcBorders>
          </w:tcPr>
          <w:p w14:paraId="5CA38D3F" w14:textId="77777777" w:rsidR="000F755E" w:rsidRPr="00BF1AE2" w:rsidRDefault="000F755E" w:rsidP="00846B9B">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22(11,35)</w:t>
            </w:r>
          </w:p>
        </w:tc>
        <w:tc>
          <w:tcPr>
            <w:tcW w:w="1513" w:type="dxa"/>
            <w:tcBorders>
              <w:top w:val="nil"/>
              <w:left w:val="single" w:sz="4" w:space="0" w:color="000000"/>
              <w:bottom w:val="nil"/>
              <w:right w:val="single" w:sz="4" w:space="0" w:color="000000"/>
            </w:tcBorders>
          </w:tcPr>
          <w:p w14:paraId="096E7F62" w14:textId="77777777" w:rsidR="000F755E" w:rsidRPr="00BF1AE2" w:rsidRDefault="000F755E" w:rsidP="00846B9B">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22(21,23)</w:t>
            </w:r>
          </w:p>
        </w:tc>
        <w:tc>
          <w:tcPr>
            <w:tcW w:w="1521" w:type="dxa"/>
            <w:tcBorders>
              <w:top w:val="nil"/>
              <w:left w:val="single" w:sz="4" w:space="0" w:color="000000"/>
              <w:bottom w:val="nil"/>
            </w:tcBorders>
          </w:tcPr>
          <w:p w14:paraId="6F198FBE" w14:textId="77777777" w:rsidR="000F755E" w:rsidRPr="00BF1AE2" w:rsidRDefault="000F755E" w:rsidP="00846B9B">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21(20,22)</w:t>
            </w:r>
          </w:p>
        </w:tc>
      </w:tr>
      <w:tr w:rsidR="000F755E" w:rsidRPr="00BF1AE2" w14:paraId="30B4BF09" w14:textId="77777777" w:rsidTr="00846B9B">
        <w:trPr>
          <w:cnfStyle w:val="000000100000" w:firstRow="0" w:lastRow="0" w:firstColumn="0" w:lastColumn="0" w:oddVBand="0" w:evenVBand="0" w:oddHBand="1" w:evenHBand="0" w:firstRowFirstColumn="0" w:firstRowLastColumn="0" w:lastRowFirstColumn="0" w:lastRowLastColumn="0"/>
          <w:trHeight w:val="214"/>
        </w:trPr>
        <w:tc>
          <w:tcPr>
            <w:cnfStyle w:val="001000000000" w:firstRow="0" w:lastRow="0" w:firstColumn="1" w:lastColumn="0" w:oddVBand="0" w:evenVBand="0" w:oddHBand="0" w:evenHBand="0" w:firstRowFirstColumn="0" w:firstRowLastColumn="0" w:lastRowFirstColumn="0" w:lastRowLastColumn="0"/>
            <w:tcW w:w="2988" w:type="dxa"/>
            <w:tcBorders>
              <w:right w:val="single" w:sz="4" w:space="0" w:color="000000"/>
            </w:tcBorders>
          </w:tcPr>
          <w:p w14:paraId="6742F28C" w14:textId="77777777" w:rsidR="000F755E" w:rsidRPr="00BF1AE2" w:rsidRDefault="000F755E" w:rsidP="00846B9B">
            <w:pPr>
              <w:rPr>
                <w:rFonts w:eastAsia="Times New Roman" w:cstheme="minorHAnsi"/>
                <w:color w:val="000000"/>
              </w:rPr>
            </w:pPr>
            <w:r w:rsidRPr="00BF1AE2">
              <w:rPr>
                <w:rFonts w:eastAsia="Times New Roman" w:cstheme="minorHAnsi"/>
                <w:color w:val="000000"/>
              </w:rPr>
              <w:t>Travel history last month, %(n/N) </w:t>
            </w:r>
          </w:p>
        </w:tc>
        <w:tc>
          <w:tcPr>
            <w:tcW w:w="1456" w:type="dxa"/>
            <w:tcBorders>
              <w:left w:val="single" w:sz="4" w:space="0" w:color="000000"/>
              <w:right w:val="single" w:sz="4" w:space="0" w:color="000000"/>
            </w:tcBorders>
          </w:tcPr>
          <w:p w14:paraId="0E5FC406" w14:textId="77777777" w:rsidR="000F755E" w:rsidRPr="00BF1AE2" w:rsidRDefault="000F755E" w:rsidP="00846B9B">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9.3(16/173)</w:t>
            </w:r>
          </w:p>
        </w:tc>
        <w:tc>
          <w:tcPr>
            <w:tcW w:w="1520" w:type="dxa"/>
            <w:tcBorders>
              <w:left w:val="single" w:sz="4" w:space="0" w:color="000000"/>
              <w:right w:val="single" w:sz="4" w:space="0" w:color="000000"/>
            </w:tcBorders>
          </w:tcPr>
          <w:p w14:paraId="0AEFC185" w14:textId="77777777" w:rsidR="000F755E" w:rsidRPr="00BF1AE2" w:rsidRDefault="000F755E" w:rsidP="00846B9B">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9.5(33/349)</w:t>
            </w:r>
          </w:p>
        </w:tc>
        <w:tc>
          <w:tcPr>
            <w:tcW w:w="1513" w:type="dxa"/>
            <w:tcBorders>
              <w:left w:val="single" w:sz="4" w:space="0" w:color="000000"/>
              <w:right w:val="single" w:sz="4" w:space="0" w:color="000000"/>
            </w:tcBorders>
          </w:tcPr>
          <w:p w14:paraId="2ADFCCA8" w14:textId="77777777" w:rsidR="000F755E" w:rsidRPr="00BF1AE2" w:rsidRDefault="000F755E" w:rsidP="00846B9B">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9.8(16/163)</w:t>
            </w:r>
          </w:p>
        </w:tc>
        <w:tc>
          <w:tcPr>
            <w:tcW w:w="1521" w:type="dxa"/>
            <w:tcBorders>
              <w:left w:val="single" w:sz="4" w:space="0" w:color="000000"/>
            </w:tcBorders>
          </w:tcPr>
          <w:p w14:paraId="66BB0B7E" w14:textId="77777777" w:rsidR="000F755E" w:rsidRPr="00BF1AE2" w:rsidRDefault="000F755E" w:rsidP="00846B9B">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6.4(17/266)</w:t>
            </w:r>
          </w:p>
        </w:tc>
      </w:tr>
      <w:tr w:rsidR="000F755E" w:rsidRPr="00BF1AE2" w14:paraId="32721AC4" w14:textId="77777777" w:rsidTr="00846B9B">
        <w:trPr>
          <w:trHeight w:val="214"/>
        </w:trPr>
        <w:tc>
          <w:tcPr>
            <w:cnfStyle w:val="001000000000" w:firstRow="0" w:lastRow="0" w:firstColumn="1" w:lastColumn="0" w:oddVBand="0" w:evenVBand="0" w:oddHBand="0" w:evenHBand="0" w:firstRowFirstColumn="0" w:firstRowLastColumn="0" w:lastRowFirstColumn="0" w:lastRowLastColumn="0"/>
            <w:tcW w:w="2988" w:type="dxa"/>
            <w:tcBorders>
              <w:top w:val="nil"/>
              <w:bottom w:val="nil"/>
              <w:right w:val="single" w:sz="4" w:space="0" w:color="000000"/>
            </w:tcBorders>
          </w:tcPr>
          <w:p w14:paraId="21118314" w14:textId="77777777" w:rsidR="000F755E" w:rsidRPr="00BF1AE2" w:rsidRDefault="000F755E" w:rsidP="00846B9B">
            <w:pPr>
              <w:rPr>
                <w:rFonts w:eastAsia="Times New Roman" w:cstheme="minorHAnsi"/>
                <w:color w:val="000000"/>
              </w:rPr>
            </w:pPr>
            <w:r w:rsidRPr="00BF1AE2">
              <w:rPr>
                <w:rFonts w:eastAsia="Times New Roman" w:cstheme="minorHAnsi"/>
                <w:color w:val="000000"/>
              </w:rPr>
              <w:t>LLIN use, %(n/N)</w:t>
            </w:r>
          </w:p>
        </w:tc>
        <w:tc>
          <w:tcPr>
            <w:tcW w:w="1456" w:type="dxa"/>
            <w:tcBorders>
              <w:top w:val="nil"/>
              <w:left w:val="single" w:sz="4" w:space="0" w:color="000000"/>
              <w:bottom w:val="nil"/>
              <w:right w:val="single" w:sz="4" w:space="0" w:color="000000"/>
            </w:tcBorders>
          </w:tcPr>
          <w:p w14:paraId="37DE62B1" w14:textId="77777777" w:rsidR="000F755E" w:rsidRPr="00BF1AE2" w:rsidRDefault="000F755E" w:rsidP="00846B9B">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41.9(67/160)</w:t>
            </w:r>
          </w:p>
        </w:tc>
        <w:tc>
          <w:tcPr>
            <w:tcW w:w="1520" w:type="dxa"/>
            <w:tcBorders>
              <w:top w:val="nil"/>
              <w:left w:val="single" w:sz="4" w:space="0" w:color="000000"/>
              <w:bottom w:val="nil"/>
              <w:right w:val="single" w:sz="4" w:space="0" w:color="000000"/>
            </w:tcBorders>
          </w:tcPr>
          <w:p w14:paraId="697D04A1" w14:textId="77777777" w:rsidR="000F755E" w:rsidRPr="00BF1AE2" w:rsidRDefault="000F755E" w:rsidP="00846B9B">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50.9(169/332)</w:t>
            </w:r>
          </w:p>
        </w:tc>
        <w:tc>
          <w:tcPr>
            <w:tcW w:w="1513" w:type="dxa"/>
            <w:tcBorders>
              <w:top w:val="nil"/>
              <w:left w:val="single" w:sz="4" w:space="0" w:color="000000"/>
              <w:bottom w:val="nil"/>
              <w:right w:val="single" w:sz="4" w:space="0" w:color="000000"/>
            </w:tcBorders>
          </w:tcPr>
          <w:p w14:paraId="7C2776A4" w14:textId="77777777" w:rsidR="000F755E" w:rsidRPr="00BF1AE2" w:rsidRDefault="000F755E" w:rsidP="00846B9B">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41.4(67/162)</w:t>
            </w:r>
          </w:p>
        </w:tc>
        <w:tc>
          <w:tcPr>
            <w:tcW w:w="1521" w:type="dxa"/>
            <w:tcBorders>
              <w:top w:val="nil"/>
              <w:left w:val="single" w:sz="4" w:space="0" w:color="000000"/>
              <w:bottom w:val="nil"/>
            </w:tcBorders>
          </w:tcPr>
          <w:p w14:paraId="10FF6FD6" w14:textId="77777777" w:rsidR="000F755E" w:rsidRPr="00BF1AE2" w:rsidRDefault="000F755E" w:rsidP="00846B9B">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41.7(105/252)</w:t>
            </w:r>
          </w:p>
        </w:tc>
      </w:tr>
      <w:tr w:rsidR="000F755E" w:rsidRPr="00BF1AE2" w14:paraId="370E1EB2" w14:textId="77777777" w:rsidTr="00846B9B">
        <w:trPr>
          <w:cnfStyle w:val="000000100000" w:firstRow="0" w:lastRow="0" w:firstColumn="0" w:lastColumn="0" w:oddVBand="0" w:evenVBand="0" w:oddHBand="1" w:evenHBand="0" w:firstRowFirstColumn="0" w:firstRowLastColumn="0" w:lastRowFirstColumn="0" w:lastRowLastColumn="0"/>
          <w:trHeight w:val="214"/>
        </w:trPr>
        <w:tc>
          <w:tcPr>
            <w:cnfStyle w:val="001000000000" w:firstRow="0" w:lastRow="0" w:firstColumn="1" w:lastColumn="0" w:oddVBand="0" w:evenVBand="0" w:oddHBand="0" w:evenHBand="0" w:firstRowFirstColumn="0" w:firstRowLastColumn="0" w:lastRowFirstColumn="0" w:lastRowLastColumn="0"/>
            <w:tcW w:w="2988" w:type="dxa"/>
            <w:tcBorders>
              <w:right w:val="single" w:sz="4" w:space="0" w:color="000000"/>
            </w:tcBorders>
          </w:tcPr>
          <w:p w14:paraId="5E79A99E" w14:textId="77777777" w:rsidR="000F755E" w:rsidRPr="00BF1AE2" w:rsidRDefault="000F755E" w:rsidP="00846B9B">
            <w:pPr>
              <w:rPr>
                <w:rFonts w:eastAsia="Times New Roman" w:cstheme="minorHAnsi"/>
                <w:color w:val="000000"/>
              </w:rPr>
            </w:pPr>
            <w:r w:rsidRPr="00BF1AE2">
              <w:rPr>
                <w:rFonts w:eastAsia="Times New Roman" w:cstheme="minorHAnsi"/>
                <w:color w:val="000000"/>
              </w:rPr>
              <w:t>Spray use, %(n/N)  </w:t>
            </w:r>
          </w:p>
        </w:tc>
        <w:tc>
          <w:tcPr>
            <w:tcW w:w="1456" w:type="dxa"/>
            <w:tcBorders>
              <w:left w:val="single" w:sz="4" w:space="0" w:color="000000"/>
              <w:right w:val="single" w:sz="4" w:space="0" w:color="000000"/>
            </w:tcBorders>
          </w:tcPr>
          <w:p w14:paraId="7C6CF91F" w14:textId="77777777" w:rsidR="000F755E" w:rsidRPr="00BF1AE2" w:rsidRDefault="000F755E" w:rsidP="00846B9B">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12.3(19/155)</w:t>
            </w:r>
          </w:p>
        </w:tc>
        <w:tc>
          <w:tcPr>
            <w:tcW w:w="1520" w:type="dxa"/>
            <w:tcBorders>
              <w:left w:val="single" w:sz="4" w:space="0" w:color="000000"/>
              <w:right w:val="single" w:sz="4" w:space="0" w:color="000000"/>
            </w:tcBorders>
          </w:tcPr>
          <w:p w14:paraId="7B9E1B96" w14:textId="77777777" w:rsidR="000F755E" w:rsidRPr="00BF1AE2" w:rsidRDefault="000F755E" w:rsidP="00846B9B">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23.7(75/316)</w:t>
            </w:r>
          </w:p>
        </w:tc>
        <w:tc>
          <w:tcPr>
            <w:tcW w:w="1513" w:type="dxa"/>
            <w:tcBorders>
              <w:left w:val="single" w:sz="4" w:space="0" w:color="000000"/>
              <w:right w:val="single" w:sz="4" w:space="0" w:color="000000"/>
            </w:tcBorders>
          </w:tcPr>
          <w:p w14:paraId="7B95371C" w14:textId="77777777" w:rsidR="000F755E" w:rsidRPr="00BF1AE2" w:rsidRDefault="000F755E" w:rsidP="00846B9B">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0.0(0/160)</w:t>
            </w:r>
          </w:p>
        </w:tc>
        <w:tc>
          <w:tcPr>
            <w:tcW w:w="1521" w:type="dxa"/>
            <w:tcBorders>
              <w:left w:val="single" w:sz="4" w:space="0" w:color="000000"/>
            </w:tcBorders>
          </w:tcPr>
          <w:p w14:paraId="2670237C" w14:textId="77777777" w:rsidR="000F755E" w:rsidRPr="00BF1AE2" w:rsidRDefault="000F755E" w:rsidP="00846B9B">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0.4(1/259)</w:t>
            </w:r>
          </w:p>
        </w:tc>
      </w:tr>
      <w:tr w:rsidR="000F755E" w:rsidRPr="00BF1AE2" w14:paraId="76241C95" w14:textId="77777777" w:rsidTr="00846B9B">
        <w:trPr>
          <w:trHeight w:val="214"/>
        </w:trPr>
        <w:tc>
          <w:tcPr>
            <w:cnfStyle w:val="001000000000" w:firstRow="0" w:lastRow="0" w:firstColumn="1" w:lastColumn="0" w:oddVBand="0" w:evenVBand="0" w:oddHBand="0" w:evenHBand="0" w:firstRowFirstColumn="0" w:firstRowLastColumn="0" w:lastRowFirstColumn="0" w:lastRowLastColumn="0"/>
            <w:tcW w:w="2988" w:type="dxa"/>
            <w:tcBorders>
              <w:top w:val="nil"/>
              <w:bottom w:val="nil"/>
              <w:right w:val="single" w:sz="4" w:space="0" w:color="000000"/>
            </w:tcBorders>
          </w:tcPr>
          <w:p w14:paraId="33BC538E" w14:textId="77777777" w:rsidR="000F755E" w:rsidRPr="00BF1AE2" w:rsidRDefault="000F755E" w:rsidP="00846B9B">
            <w:pPr>
              <w:rPr>
                <w:rFonts w:eastAsia="Times New Roman" w:cstheme="minorHAnsi"/>
                <w:color w:val="000000"/>
              </w:rPr>
            </w:pPr>
            <w:r w:rsidRPr="00BF1AE2">
              <w:rPr>
                <w:rFonts w:eastAsia="Times New Roman" w:cstheme="minorHAnsi"/>
                <w:color w:val="000000"/>
              </w:rPr>
              <w:t>Repellent use, %(n/N) </w:t>
            </w:r>
          </w:p>
        </w:tc>
        <w:tc>
          <w:tcPr>
            <w:tcW w:w="1456" w:type="dxa"/>
            <w:tcBorders>
              <w:top w:val="nil"/>
              <w:left w:val="single" w:sz="4" w:space="0" w:color="000000"/>
              <w:bottom w:val="nil"/>
              <w:right w:val="single" w:sz="4" w:space="0" w:color="000000"/>
            </w:tcBorders>
          </w:tcPr>
          <w:p w14:paraId="5ADE2D99" w14:textId="77777777" w:rsidR="000F755E" w:rsidRPr="00BF1AE2" w:rsidRDefault="000F755E" w:rsidP="00846B9B">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25.3(39/152)</w:t>
            </w:r>
          </w:p>
        </w:tc>
        <w:tc>
          <w:tcPr>
            <w:tcW w:w="1520" w:type="dxa"/>
            <w:tcBorders>
              <w:top w:val="nil"/>
              <w:left w:val="single" w:sz="4" w:space="0" w:color="000000"/>
              <w:bottom w:val="nil"/>
              <w:right w:val="single" w:sz="4" w:space="0" w:color="000000"/>
            </w:tcBorders>
          </w:tcPr>
          <w:p w14:paraId="18883D92" w14:textId="77777777" w:rsidR="000F755E" w:rsidRPr="00BF1AE2" w:rsidRDefault="000F755E" w:rsidP="00846B9B">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21.3(68/320)</w:t>
            </w:r>
          </w:p>
        </w:tc>
        <w:tc>
          <w:tcPr>
            <w:tcW w:w="1513" w:type="dxa"/>
            <w:tcBorders>
              <w:top w:val="nil"/>
              <w:left w:val="single" w:sz="4" w:space="0" w:color="000000"/>
              <w:bottom w:val="nil"/>
              <w:right w:val="single" w:sz="4" w:space="0" w:color="000000"/>
            </w:tcBorders>
          </w:tcPr>
          <w:p w14:paraId="3DAECE99" w14:textId="77777777" w:rsidR="000F755E" w:rsidRPr="00BF1AE2" w:rsidRDefault="000F755E" w:rsidP="00846B9B">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0.0(0/163)</w:t>
            </w:r>
          </w:p>
        </w:tc>
        <w:tc>
          <w:tcPr>
            <w:tcW w:w="1521" w:type="dxa"/>
            <w:tcBorders>
              <w:top w:val="nil"/>
              <w:left w:val="single" w:sz="4" w:space="0" w:color="000000"/>
              <w:bottom w:val="nil"/>
            </w:tcBorders>
          </w:tcPr>
          <w:p w14:paraId="7638A523" w14:textId="77777777" w:rsidR="000F755E" w:rsidRPr="00BF1AE2" w:rsidRDefault="000F755E" w:rsidP="00846B9B">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0.0(0/266)</w:t>
            </w:r>
          </w:p>
        </w:tc>
      </w:tr>
      <w:tr w:rsidR="000F755E" w:rsidRPr="00BF1AE2" w14:paraId="086338A4" w14:textId="77777777" w:rsidTr="00846B9B">
        <w:trPr>
          <w:cnfStyle w:val="000000100000" w:firstRow="0" w:lastRow="0" w:firstColumn="0" w:lastColumn="0" w:oddVBand="0" w:evenVBand="0" w:oddHBand="1" w:evenHBand="0" w:firstRowFirstColumn="0" w:firstRowLastColumn="0" w:lastRowFirstColumn="0" w:lastRowLastColumn="0"/>
          <w:trHeight w:val="248"/>
        </w:trPr>
        <w:tc>
          <w:tcPr>
            <w:cnfStyle w:val="001000000000" w:firstRow="0" w:lastRow="0" w:firstColumn="1" w:lastColumn="0" w:oddVBand="0" w:evenVBand="0" w:oddHBand="0" w:evenHBand="0" w:firstRowFirstColumn="0" w:firstRowLastColumn="0" w:lastRowFirstColumn="0" w:lastRowLastColumn="0"/>
            <w:tcW w:w="2988" w:type="dxa"/>
            <w:tcBorders>
              <w:bottom w:val="single" w:sz="4" w:space="0" w:color="000000"/>
              <w:right w:val="single" w:sz="4" w:space="0" w:color="000000"/>
            </w:tcBorders>
          </w:tcPr>
          <w:p w14:paraId="62697D7B" w14:textId="77777777" w:rsidR="000F755E" w:rsidRPr="00BF1AE2" w:rsidRDefault="000F755E" w:rsidP="00846B9B">
            <w:pPr>
              <w:rPr>
                <w:rFonts w:eastAsia="Times New Roman" w:cstheme="minorHAnsi"/>
                <w:color w:val="000000"/>
              </w:rPr>
            </w:pPr>
            <w:r w:rsidRPr="00BF1AE2">
              <w:rPr>
                <w:rFonts w:eastAsia="Times New Roman" w:cstheme="minorHAnsi"/>
                <w:color w:val="000000"/>
              </w:rPr>
              <w:t> </w:t>
            </w:r>
          </w:p>
        </w:tc>
        <w:tc>
          <w:tcPr>
            <w:tcW w:w="6010" w:type="dxa"/>
            <w:gridSpan w:val="4"/>
            <w:tcBorders>
              <w:left w:val="single" w:sz="4" w:space="0" w:color="000000"/>
            </w:tcBorders>
          </w:tcPr>
          <w:p w14:paraId="03FFD38B" w14:textId="77777777" w:rsidR="000F755E" w:rsidRPr="00BF1AE2" w:rsidRDefault="000F755E" w:rsidP="00846B9B">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rPr>
            </w:pPr>
            <w:r w:rsidRPr="00BF1AE2">
              <w:rPr>
                <w:rFonts w:eastAsia="Times New Roman" w:cstheme="minorHAnsi"/>
                <w:b/>
                <w:bCs/>
                <w:color w:val="000000"/>
              </w:rPr>
              <w:t>Household characteristics</w:t>
            </w:r>
          </w:p>
        </w:tc>
      </w:tr>
      <w:tr w:rsidR="000F755E" w:rsidRPr="00BF1AE2" w14:paraId="6C7EC28F" w14:textId="77777777" w:rsidTr="00846B9B">
        <w:trPr>
          <w:trHeight w:val="214"/>
        </w:trPr>
        <w:tc>
          <w:tcPr>
            <w:cnfStyle w:val="001000000000" w:firstRow="0" w:lastRow="0" w:firstColumn="1" w:lastColumn="0" w:oddVBand="0" w:evenVBand="0" w:oddHBand="0" w:evenHBand="0" w:firstRowFirstColumn="0" w:firstRowLastColumn="0" w:lastRowFirstColumn="0" w:lastRowLastColumn="0"/>
            <w:tcW w:w="2988" w:type="dxa"/>
            <w:tcBorders>
              <w:top w:val="single" w:sz="4" w:space="0" w:color="000000"/>
              <w:bottom w:val="single" w:sz="4" w:space="0" w:color="000000"/>
              <w:right w:val="single" w:sz="4" w:space="0" w:color="000000"/>
            </w:tcBorders>
          </w:tcPr>
          <w:p w14:paraId="6180A772" w14:textId="77777777" w:rsidR="000F755E" w:rsidRPr="00BF1AE2" w:rsidRDefault="000F755E" w:rsidP="00846B9B">
            <w:pPr>
              <w:rPr>
                <w:rFonts w:eastAsia="Times New Roman" w:cstheme="minorHAnsi"/>
                <w:color w:val="000000"/>
              </w:rPr>
            </w:pPr>
            <w:r w:rsidRPr="00BF1AE2">
              <w:rPr>
                <w:rFonts w:eastAsia="Times New Roman" w:cstheme="minorHAnsi"/>
                <w:color w:val="000000"/>
              </w:rPr>
              <w:t>Number of households (HH)</w:t>
            </w:r>
          </w:p>
        </w:tc>
        <w:tc>
          <w:tcPr>
            <w:tcW w:w="1456" w:type="dxa"/>
            <w:tcBorders>
              <w:top w:val="single" w:sz="4" w:space="0" w:color="000000"/>
              <w:left w:val="single" w:sz="4" w:space="0" w:color="000000"/>
              <w:bottom w:val="single" w:sz="4" w:space="0" w:color="000000"/>
              <w:right w:val="single" w:sz="4" w:space="0" w:color="000000"/>
            </w:tcBorders>
          </w:tcPr>
          <w:p w14:paraId="1FA49F47" w14:textId="77777777" w:rsidR="000F755E" w:rsidRPr="00BF1AE2" w:rsidRDefault="000F755E" w:rsidP="00846B9B">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48</w:t>
            </w:r>
          </w:p>
        </w:tc>
        <w:tc>
          <w:tcPr>
            <w:tcW w:w="1520" w:type="dxa"/>
            <w:tcBorders>
              <w:top w:val="nil"/>
              <w:left w:val="single" w:sz="4" w:space="0" w:color="000000"/>
              <w:bottom w:val="nil"/>
              <w:right w:val="single" w:sz="4" w:space="0" w:color="000000"/>
            </w:tcBorders>
          </w:tcPr>
          <w:p w14:paraId="097F18A0" w14:textId="77777777" w:rsidR="000F755E" w:rsidRPr="00BF1AE2" w:rsidRDefault="000F755E" w:rsidP="00846B9B">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109</w:t>
            </w:r>
          </w:p>
        </w:tc>
        <w:tc>
          <w:tcPr>
            <w:tcW w:w="1513" w:type="dxa"/>
            <w:tcBorders>
              <w:top w:val="nil"/>
              <w:left w:val="single" w:sz="4" w:space="0" w:color="000000"/>
              <w:bottom w:val="nil"/>
              <w:right w:val="single" w:sz="4" w:space="0" w:color="000000"/>
            </w:tcBorders>
          </w:tcPr>
          <w:p w14:paraId="6BE05D95" w14:textId="77777777" w:rsidR="000F755E" w:rsidRPr="00BF1AE2" w:rsidRDefault="000F755E" w:rsidP="00846B9B">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53</w:t>
            </w:r>
          </w:p>
        </w:tc>
        <w:tc>
          <w:tcPr>
            <w:tcW w:w="1521" w:type="dxa"/>
            <w:tcBorders>
              <w:top w:val="nil"/>
              <w:left w:val="single" w:sz="4" w:space="0" w:color="000000"/>
              <w:bottom w:val="nil"/>
            </w:tcBorders>
          </w:tcPr>
          <w:p w14:paraId="19730475" w14:textId="77777777" w:rsidR="000F755E" w:rsidRPr="00BF1AE2" w:rsidRDefault="000F755E" w:rsidP="00846B9B">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80</w:t>
            </w:r>
          </w:p>
        </w:tc>
      </w:tr>
      <w:tr w:rsidR="000F755E" w:rsidRPr="00BF1AE2" w14:paraId="6DF3DCBE" w14:textId="77777777" w:rsidTr="00846B9B">
        <w:trPr>
          <w:cnfStyle w:val="000000100000" w:firstRow="0" w:lastRow="0" w:firstColumn="0" w:lastColumn="0" w:oddVBand="0" w:evenVBand="0" w:oddHBand="1" w:evenHBand="0" w:firstRowFirstColumn="0" w:firstRowLastColumn="0" w:lastRowFirstColumn="0" w:lastRowLastColumn="0"/>
          <w:trHeight w:val="134"/>
        </w:trPr>
        <w:tc>
          <w:tcPr>
            <w:cnfStyle w:val="001000000000" w:firstRow="0" w:lastRow="0" w:firstColumn="1" w:lastColumn="0" w:oddVBand="0" w:evenVBand="0" w:oddHBand="0" w:evenHBand="0" w:firstRowFirstColumn="0" w:firstRowLastColumn="0" w:lastRowFirstColumn="0" w:lastRowLastColumn="0"/>
            <w:tcW w:w="2988" w:type="dxa"/>
            <w:tcBorders>
              <w:top w:val="single" w:sz="4" w:space="0" w:color="000000"/>
              <w:right w:val="single" w:sz="4" w:space="0" w:color="000000"/>
            </w:tcBorders>
          </w:tcPr>
          <w:p w14:paraId="55FAE1C8" w14:textId="77777777" w:rsidR="000F755E" w:rsidRPr="00BF1AE2" w:rsidRDefault="000F755E" w:rsidP="00846B9B">
            <w:pPr>
              <w:rPr>
                <w:rFonts w:eastAsia="Times New Roman" w:cstheme="minorHAnsi"/>
                <w:color w:val="000000"/>
              </w:rPr>
            </w:pPr>
            <w:r w:rsidRPr="00BF1AE2">
              <w:rPr>
                <w:rFonts w:eastAsia="Times New Roman" w:cstheme="minorHAnsi"/>
                <w:color w:val="000000"/>
              </w:rPr>
              <w:t>Larvae positivity around HH, %(n/N) </w:t>
            </w:r>
          </w:p>
        </w:tc>
        <w:tc>
          <w:tcPr>
            <w:tcW w:w="1456" w:type="dxa"/>
            <w:tcBorders>
              <w:top w:val="single" w:sz="4" w:space="0" w:color="000000"/>
              <w:left w:val="single" w:sz="4" w:space="0" w:color="000000"/>
              <w:right w:val="single" w:sz="4" w:space="0" w:color="000000"/>
            </w:tcBorders>
          </w:tcPr>
          <w:p w14:paraId="14B49CFC" w14:textId="77777777" w:rsidR="000F755E" w:rsidRPr="00BF1AE2" w:rsidRDefault="000F755E" w:rsidP="00846B9B">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Pr>
                <w:rFonts w:eastAsia="Times New Roman" w:cstheme="minorHAnsi"/>
                <w:color w:val="000000"/>
              </w:rPr>
              <w:t>14.6</w:t>
            </w:r>
            <w:r w:rsidRPr="00BF1AE2">
              <w:rPr>
                <w:rFonts w:eastAsia="Times New Roman" w:cstheme="minorHAnsi"/>
                <w:color w:val="000000"/>
              </w:rPr>
              <w:t>(7/48) </w:t>
            </w:r>
          </w:p>
        </w:tc>
        <w:tc>
          <w:tcPr>
            <w:tcW w:w="1520" w:type="dxa"/>
            <w:tcBorders>
              <w:left w:val="single" w:sz="4" w:space="0" w:color="000000"/>
              <w:right w:val="single" w:sz="4" w:space="0" w:color="000000"/>
            </w:tcBorders>
          </w:tcPr>
          <w:p w14:paraId="6FF73587" w14:textId="77777777" w:rsidR="000F755E" w:rsidRPr="00BF1AE2" w:rsidRDefault="000F755E" w:rsidP="00846B9B">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Pr>
                <w:rFonts w:eastAsia="Times New Roman" w:cstheme="minorHAnsi"/>
                <w:color w:val="000000"/>
              </w:rPr>
              <w:t>4.6(5/109)</w:t>
            </w:r>
          </w:p>
        </w:tc>
        <w:tc>
          <w:tcPr>
            <w:tcW w:w="1513" w:type="dxa"/>
            <w:tcBorders>
              <w:left w:val="single" w:sz="4" w:space="0" w:color="000000"/>
              <w:right w:val="single" w:sz="4" w:space="0" w:color="000000"/>
            </w:tcBorders>
          </w:tcPr>
          <w:p w14:paraId="79CD6EE8" w14:textId="77777777" w:rsidR="000F755E" w:rsidRPr="00BF1AE2" w:rsidRDefault="000F755E" w:rsidP="00846B9B">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rPr>
            </w:pPr>
            <w:r w:rsidRPr="00BF1AE2">
              <w:rPr>
                <w:rFonts w:eastAsia="Times New Roman" w:cstheme="minorHAnsi"/>
              </w:rPr>
              <w:t>17.0(9/53)</w:t>
            </w:r>
          </w:p>
        </w:tc>
        <w:tc>
          <w:tcPr>
            <w:tcW w:w="1521" w:type="dxa"/>
            <w:tcBorders>
              <w:left w:val="single" w:sz="4" w:space="0" w:color="000000"/>
            </w:tcBorders>
          </w:tcPr>
          <w:p w14:paraId="5924A5A7" w14:textId="77777777" w:rsidR="000F755E" w:rsidRPr="00BF1AE2" w:rsidRDefault="000F755E" w:rsidP="00846B9B">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rPr>
            </w:pPr>
            <w:r w:rsidRPr="00BF1AE2">
              <w:rPr>
                <w:rFonts w:eastAsia="Times New Roman" w:cstheme="minorHAnsi"/>
              </w:rPr>
              <w:t xml:space="preserve">  5.0(4/80)</w:t>
            </w:r>
          </w:p>
        </w:tc>
      </w:tr>
      <w:tr w:rsidR="000F755E" w:rsidRPr="00BF1AE2" w14:paraId="118EB51D" w14:textId="77777777" w:rsidTr="00846B9B">
        <w:trPr>
          <w:trHeight w:val="290"/>
        </w:trPr>
        <w:tc>
          <w:tcPr>
            <w:cnfStyle w:val="001000000000" w:firstRow="0" w:lastRow="0" w:firstColumn="1" w:lastColumn="0" w:oddVBand="0" w:evenVBand="0" w:oddHBand="0" w:evenHBand="0" w:firstRowFirstColumn="0" w:firstRowLastColumn="0" w:lastRowFirstColumn="0" w:lastRowLastColumn="0"/>
            <w:tcW w:w="2988" w:type="dxa"/>
            <w:tcBorders>
              <w:top w:val="nil"/>
              <w:bottom w:val="nil"/>
              <w:right w:val="single" w:sz="4" w:space="0" w:color="000000"/>
            </w:tcBorders>
          </w:tcPr>
          <w:p w14:paraId="3F686680" w14:textId="77777777" w:rsidR="000F755E" w:rsidRPr="00BF1AE2" w:rsidRDefault="000F755E" w:rsidP="00846B9B">
            <w:pPr>
              <w:rPr>
                <w:rFonts w:eastAsia="Times New Roman" w:cstheme="minorHAnsi"/>
                <w:color w:val="000000"/>
              </w:rPr>
            </w:pPr>
            <w:r w:rsidRPr="00BF1AE2">
              <w:rPr>
                <w:rFonts w:eastAsia="Times New Roman" w:cstheme="minorHAnsi"/>
                <w:color w:val="000000"/>
              </w:rPr>
              <w:t>Adult </w:t>
            </w:r>
            <w:r w:rsidRPr="00BF1AE2">
              <w:rPr>
                <w:rFonts w:eastAsia="Times New Roman" w:cstheme="minorHAnsi"/>
                <w:i/>
                <w:iCs/>
                <w:color w:val="000000"/>
              </w:rPr>
              <w:t>stephensi</w:t>
            </w:r>
            <w:r w:rsidRPr="00BF1AE2">
              <w:rPr>
                <w:rFonts w:eastAsia="Times New Roman" w:cstheme="minorHAnsi"/>
                <w:color w:val="000000"/>
              </w:rPr>
              <w:t> presence</w:t>
            </w:r>
            <w:r>
              <w:rPr>
                <w:rFonts w:eastAsia="Times New Roman" w:cstheme="minorHAnsi"/>
                <w:color w:val="000000"/>
              </w:rPr>
              <w:t xml:space="preserve"> </w:t>
            </w:r>
            <w:r w:rsidRPr="00BF1AE2">
              <w:rPr>
                <w:rFonts w:eastAsia="Times New Roman" w:cstheme="minorHAnsi"/>
                <w:color w:val="000000"/>
              </w:rPr>
              <w:t>(indoor/outdoor), %(n/N)  </w:t>
            </w:r>
          </w:p>
        </w:tc>
        <w:tc>
          <w:tcPr>
            <w:tcW w:w="1456" w:type="dxa"/>
            <w:tcBorders>
              <w:top w:val="nil"/>
              <w:left w:val="single" w:sz="4" w:space="0" w:color="000000"/>
              <w:bottom w:val="nil"/>
              <w:right w:val="single" w:sz="4" w:space="0" w:color="000000"/>
            </w:tcBorders>
          </w:tcPr>
          <w:p w14:paraId="2331118C" w14:textId="77777777" w:rsidR="000F755E" w:rsidRPr="00BF1AE2" w:rsidRDefault="000F755E" w:rsidP="00846B9B">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2.1(1/48)</w:t>
            </w:r>
          </w:p>
        </w:tc>
        <w:tc>
          <w:tcPr>
            <w:tcW w:w="1520" w:type="dxa"/>
            <w:tcBorders>
              <w:top w:val="nil"/>
              <w:left w:val="single" w:sz="4" w:space="0" w:color="000000"/>
              <w:bottom w:val="nil"/>
              <w:right w:val="single" w:sz="4" w:space="0" w:color="000000"/>
            </w:tcBorders>
          </w:tcPr>
          <w:p w14:paraId="2C7AE18E" w14:textId="77777777" w:rsidR="000F755E" w:rsidRPr="00BF1AE2" w:rsidRDefault="000F755E" w:rsidP="00846B9B">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Pr>
                <w:rFonts w:eastAsia="Times New Roman" w:cstheme="minorHAnsi"/>
                <w:color w:val="000000"/>
              </w:rPr>
              <w:t>0.0</w:t>
            </w:r>
            <w:r w:rsidRPr="00BF1AE2">
              <w:rPr>
                <w:rFonts w:eastAsia="Times New Roman" w:cstheme="minorHAnsi"/>
                <w:color w:val="000000"/>
              </w:rPr>
              <w:t>(0/109)</w:t>
            </w:r>
          </w:p>
        </w:tc>
        <w:tc>
          <w:tcPr>
            <w:tcW w:w="1513" w:type="dxa"/>
            <w:tcBorders>
              <w:top w:val="nil"/>
              <w:left w:val="single" w:sz="4" w:space="0" w:color="000000"/>
              <w:bottom w:val="nil"/>
              <w:right w:val="single" w:sz="4" w:space="0" w:color="000000"/>
            </w:tcBorders>
          </w:tcPr>
          <w:p w14:paraId="012BD92F" w14:textId="77777777" w:rsidR="000F755E" w:rsidRPr="00BF1AE2" w:rsidRDefault="000F755E" w:rsidP="00846B9B">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Pr>
                <w:rFonts w:eastAsia="Times New Roman" w:cstheme="minorHAnsi"/>
                <w:color w:val="000000"/>
              </w:rPr>
              <w:t>13.2</w:t>
            </w:r>
            <w:r w:rsidRPr="00BF1AE2">
              <w:rPr>
                <w:rFonts w:eastAsia="Times New Roman" w:cstheme="minorHAnsi"/>
                <w:color w:val="000000"/>
              </w:rPr>
              <w:t>(7/53)</w:t>
            </w:r>
          </w:p>
        </w:tc>
        <w:tc>
          <w:tcPr>
            <w:tcW w:w="1521" w:type="dxa"/>
            <w:tcBorders>
              <w:top w:val="nil"/>
              <w:left w:val="single" w:sz="4" w:space="0" w:color="000000"/>
              <w:bottom w:val="nil"/>
            </w:tcBorders>
          </w:tcPr>
          <w:p w14:paraId="0A379653" w14:textId="77777777" w:rsidR="000F755E" w:rsidRPr="00BF1AE2" w:rsidRDefault="000F755E" w:rsidP="00846B9B">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Pr>
                <w:rFonts w:eastAsia="Times New Roman" w:cstheme="minorHAnsi"/>
                <w:color w:val="000000"/>
              </w:rPr>
              <w:t>10.0</w:t>
            </w:r>
            <w:r w:rsidRPr="00BF1AE2">
              <w:rPr>
                <w:rFonts w:eastAsia="Times New Roman" w:cstheme="minorHAnsi"/>
                <w:color w:val="000000"/>
              </w:rPr>
              <w:t>(8/80)</w:t>
            </w:r>
          </w:p>
        </w:tc>
      </w:tr>
      <w:tr w:rsidR="000F755E" w:rsidRPr="00BF1AE2" w14:paraId="751E5733" w14:textId="77777777" w:rsidTr="00846B9B">
        <w:trPr>
          <w:cnfStyle w:val="000000100000" w:firstRow="0" w:lastRow="0" w:firstColumn="0" w:lastColumn="0" w:oddVBand="0" w:evenVBand="0" w:oddHBand="1" w:evenHBand="0" w:firstRowFirstColumn="0" w:firstRowLastColumn="0" w:lastRowFirstColumn="0" w:lastRowLastColumn="0"/>
          <w:trHeight w:val="356"/>
        </w:trPr>
        <w:tc>
          <w:tcPr>
            <w:cnfStyle w:val="001000000000" w:firstRow="0" w:lastRow="0" w:firstColumn="1" w:lastColumn="0" w:oddVBand="0" w:evenVBand="0" w:oddHBand="0" w:evenHBand="0" w:firstRowFirstColumn="0" w:firstRowLastColumn="0" w:lastRowFirstColumn="0" w:lastRowLastColumn="0"/>
            <w:tcW w:w="2988" w:type="dxa"/>
            <w:tcBorders>
              <w:right w:val="single" w:sz="4" w:space="0" w:color="000000"/>
            </w:tcBorders>
          </w:tcPr>
          <w:p w14:paraId="2AC6D90A" w14:textId="77777777" w:rsidR="000F755E" w:rsidRPr="00BF1AE2" w:rsidRDefault="000F755E" w:rsidP="00846B9B">
            <w:pPr>
              <w:rPr>
                <w:rFonts w:eastAsia="Times New Roman" w:cstheme="minorHAnsi"/>
              </w:rPr>
            </w:pPr>
            <w:r w:rsidRPr="00BF1AE2">
              <w:rPr>
                <w:rFonts w:eastAsia="Times New Roman" w:cstheme="minorHAnsi"/>
                <w:i/>
                <w:iCs/>
              </w:rPr>
              <w:t>An</w:t>
            </w:r>
            <w:r>
              <w:rPr>
                <w:rFonts w:eastAsia="Times New Roman" w:cstheme="minorHAnsi"/>
                <w:i/>
                <w:iCs/>
              </w:rPr>
              <w:t xml:space="preserve">. </w:t>
            </w:r>
            <w:r w:rsidRPr="00BF1AE2">
              <w:rPr>
                <w:rFonts w:eastAsia="Times New Roman" w:cstheme="minorHAnsi"/>
                <w:i/>
                <w:iCs/>
              </w:rPr>
              <w:t>stephensi</w:t>
            </w:r>
            <w:r w:rsidRPr="00BF1AE2">
              <w:rPr>
                <w:rFonts w:eastAsia="Times New Roman" w:cstheme="minorHAnsi"/>
              </w:rPr>
              <w:t> positivity</w:t>
            </w:r>
            <w:r>
              <w:rPr>
                <w:rFonts w:eastAsia="Times New Roman" w:cstheme="minorHAnsi"/>
              </w:rPr>
              <w:t xml:space="preserve"> </w:t>
            </w:r>
            <w:r w:rsidRPr="00BF1AE2">
              <w:rPr>
                <w:rFonts w:eastAsia="Times New Roman" w:cstheme="minorHAnsi"/>
              </w:rPr>
              <w:t>(larvae/Adult) %(n/N) </w:t>
            </w:r>
          </w:p>
        </w:tc>
        <w:tc>
          <w:tcPr>
            <w:tcW w:w="1456" w:type="dxa"/>
            <w:tcBorders>
              <w:left w:val="single" w:sz="4" w:space="0" w:color="000000"/>
              <w:right w:val="single" w:sz="4" w:space="0" w:color="000000"/>
            </w:tcBorders>
          </w:tcPr>
          <w:p w14:paraId="29811902" w14:textId="77777777" w:rsidR="000F755E" w:rsidRPr="00BF1AE2" w:rsidRDefault="000F755E" w:rsidP="00846B9B">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rPr>
            </w:pPr>
            <w:r w:rsidRPr="00BF1AE2">
              <w:rPr>
                <w:rFonts w:eastAsia="Times New Roman" w:cstheme="minorHAnsi"/>
              </w:rPr>
              <w:t>16.7(8/48) </w:t>
            </w:r>
          </w:p>
        </w:tc>
        <w:tc>
          <w:tcPr>
            <w:tcW w:w="1520" w:type="dxa"/>
            <w:tcBorders>
              <w:left w:val="single" w:sz="4" w:space="0" w:color="000000"/>
              <w:right w:val="single" w:sz="4" w:space="0" w:color="000000"/>
            </w:tcBorders>
          </w:tcPr>
          <w:p w14:paraId="58A91EAE" w14:textId="77777777" w:rsidR="000F755E" w:rsidRPr="00BF1AE2" w:rsidRDefault="000F755E" w:rsidP="00846B9B">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rPr>
            </w:pPr>
            <w:r>
              <w:rPr>
                <w:rFonts w:eastAsia="Times New Roman" w:cstheme="minorHAnsi"/>
              </w:rPr>
              <w:t>4.6</w:t>
            </w:r>
            <w:r w:rsidRPr="00BF1AE2">
              <w:rPr>
                <w:rFonts w:eastAsia="Times New Roman" w:cstheme="minorHAnsi"/>
              </w:rPr>
              <w:t>(5/109) </w:t>
            </w:r>
          </w:p>
        </w:tc>
        <w:tc>
          <w:tcPr>
            <w:tcW w:w="1513" w:type="dxa"/>
            <w:tcBorders>
              <w:left w:val="single" w:sz="4" w:space="0" w:color="000000"/>
              <w:right w:val="single" w:sz="4" w:space="0" w:color="000000"/>
            </w:tcBorders>
          </w:tcPr>
          <w:p w14:paraId="6B0ADD33" w14:textId="77777777" w:rsidR="000F755E" w:rsidRPr="00BF1AE2" w:rsidRDefault="000F755E" w:rsidP="00846B9B">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rPr>
            </w:pPr>
            <w:r>
              <w:rPr>
                <w:rFonts w:eastAsia="Times New Roman" w:cstheme="minorHAnsi"/>
              </w:rPr>
              <w:t xml:space="preserve">  30</w:t>
            </w:r>
            <w:r w:rsidRPr="00BF1AE2">
              <w:rPr>
                <w:rFonts w:eastAsia="Times New Roman" w:cstheme="minorHAnsi"/>
              </w:rPr>
              <w:t>.0(16/53)</w:t>
            </w:r>
          </w:p>
        </w:tc>
        <w:tc>
          <w:tcPr>
            <w:tcW w:w="1521" w:type="dxa"/>
            <w:tcBorders>
              <w:left w:val="single" w:sz="4" w:space="0" w:color="000000"/>
            </w:tcBorders>
          </w:tcPr>
          <w:p w14:paraId="1AD4E9E9" w14:textId="77777777" w:rsidR="000F755E" w:rsidRPr="00BF1AE2" w:rsidRDefault="000F755E" w:rsidP="00846B9B">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rPr>
            </w:pPr>
            <w:r w:rsidRPr="00BF1AE2">
              <w:rPr>
                <w:rFonts w:eastAsia="Times New Roman" w:cstheme="minorHAnsi"/>
              </w:rPr>
              <w:t>15.0(12/80)</w:t>
            </w:r>
          </w:p>
        </w:tc>
      </w:tr>
      <w:tr w:rsidR="000F755E" w:rsidRPr="00BF1AE2" w14:paraId="2C697E47" w14:textId="77777777" w:rsidTr="00846B9B">
        <w:trPr>
          <w:trHeight w:val="214"/>
        </w:trPr>
        <w:tc>
          <w:tcPr>
            <w:cnfStyle w:val="001000000000" w:firstRow="0" w:lastRow="0" w:firstColumn="1" w:lastColumn="0" w:oddVBand="0" w:evenVBand="0" w:oddHBand="0" w:evenHBand="0" w:firstRowFirstColumn="0" w:firstRowLastColumn="0" w:lastRowFirstColumn="0" w:lastRowLastColumn="0"/>
            <w:tcW w:w="2988" w:type="dxa"/>
            <w:tcBorders>
              <w:top w:val="nil"/>
              <w:bottom w:val="nil"/>
              <w:right w:val="single" w:sz="4" w:space="0" w:color="000000"/>
            </w:tcBorders>
          </w:tcPr>
          <w:p w14:paraId="28042B47" w14:textId="77777777" w:rsidR="000F755E" w:rsidRPr="00BF1AE2" w:rsidRDefault="000F755E" w:rsidP="00846B9B">
            <w:pPr>
              <w:rPr>
                <w:rFonts w:eastAsia="Times New Roman" w:cstheme="minorHAnsi"/>
                <w:color w:val="000000"/>
              </w:rPr>
            </w:pPr>
            <w:r w:rsidRPr="00BF1AE2">
              <w:rPr>
                <w:rFonts w:eastAsia="Times New Roman" w:cstheme="minorHAnsi"/>
                <w:color w:val="000000"/>
              </w:rPr>
              <w:t>Livestock presence, %(n/N) </w:t>
            </w:r>
          </w:p>
        </w:tc>
        <w:tc>
          <w:tcPr>
            <w:tcW w:w="1456" w:type="dxa"/>
            <w:tcBorders>
              <w:top w:val="nil"/>
              <w:left w:val="single" w:sz="4" w:space="0" w:color="000000"/>
              <w:bottom w:val="nil"/>
              <w:right w:val="single" w:sz="4" w:space="0" w:color="000000"/>
            </w:tcBorders>
          </w:tcPr>
          <w:p w14:paraId="42FCFE10" w14:textId="77777777" w:rsidR="000F755E" w:rsidRPr="00BF1AE2" w:rsidRDefault="000F755E" w:rsidP="00846B9B">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31.9(15/47)</w:t>
            </w:r>
          </w:p>
        </w:tc>
        <w:tc>
          <w:tcPr>
            <w:tcW w:w="1520" w:type="dxa"/>
            <w:tcBorders>
              <w:top w:val="nil"/>
              <w:left w:val="single" w:sz="4" w:space="0" w:color="000000"/>
              <w:bottom w:val="nil"/>
              <w:right w:val="single" w:sz="4" w:space="0" w:color="000000"/>
            </w:tcBorders>
          </w:tcPr>
          <w:p w14:paraId="7EAB7949" w14:textId="77777777" w:rsidR="000F755E" w:rsidRPr="00BF1AE2" w:rsidRDefault="000F755E" w:rsidP="00846B9B">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38.3(36/94)</w:t>
            </w:r>
          </w:p>
        </w:tc>
        <w:tc>
          <w:tcPr>
            <w:tcW w:w="1513" w:type="dxa"/>
            <w:tcBorders>
              <w:top w:val="nil"/>
              <w:left w:val="single" w:sz="4" w:space="0" w:color="000000"/>
              <w:bottom w:val="nil"/>
              <w:right w:val="single" w:sz="4" w:space="0" w:color="000000"/>
            </w:tcBorders>
          </w:tcPr>
          <w:p w14:paraId="1358DEAE" w14:textId="77777777" w:rsidR="000F755E" w:rsidRPr="00BF1AE2" w:rsidRDefault="000F755E" w:rsidP="00846B9B">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0.0(0/53)</w:t>
            </w:r>
          </w:p>
        </w:tc>
        <w:tc>
          <w:tcPr>
            <w:tcW w:w="1521" w:type="dxa"/>
            <w:tcBorders>
              <w:top w:val="nil"/>
              <w:left w:val="single" w:sz="4" w:space="0" w:color="000000"/>
              <w:bottom w:val="nil"/>
            </w:tcBorders>
          </w:tcPr>
          <w:p w14:paraId="5363881C" w14:textId="77777777" w:rsidR="000F755E" w:rsidRPr="00BF1AE2" w:rsidRDefault="000F755E" w:rsidP="00846B9B">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0.0(0/80)</w:t>
            </w:r>
          </w:p>
        </w:tc>
      </w:tr>
      <w:tr w:rsidR="000F755E" w:rsidRPr="00BF1AE2" w14:paraId="380BA1B3" w14:textId="77777777" w:rsidTr="00846B9B">
        <w:trPr>
          <w:cnfStyle w:val="000000100000" w:firstRow="0" w:lastRow="0" w:firstColumn="0" w:lastColumn="0" w:oddVBand="0" w:evenVBand="0" w:oddHBand="1" w:evenHBand="0" w:firstRowFirstColumn="0" w:firstRowLastColumn="0" w:lastRowFirstColumn="0" w:lastRowLastColumn="0"/>
          <w:trHeight w:val="214"/>
        </w:trPr>
        <w:tc>
          <w:tcPr>
            <w:cnfStyle w:val="001000000000" w:firstRow="0" w:lastRow="0" w:firstColumn="1" w:lastColumn="0" w:oddVBand="0" w:evenVBand="0" w:oddHBand="0" w:evenHBand="0" w:firstRowFirstColumn="0" w:firstRowLastColumn="0" w:lastRowFirstColumn="0" w:lastRowLastColumn="0"/>
            <w:tcW w:w="2988" w:type="dxa"/>
            <w:tcBorders>
              <w:right w:val="single" w:sz="4" w:space="0" w:color="000000"/>
            </w:tcBorders>
          </w:tcPr>
          <w:p w14:paraId="661E370B" w14:textId="77777777" w:rsidR="000F755E" w:rsidRPr="00BF1AE2" w:rsidRDefault="000F755E" w:rsidP="00846B9B">
            <w:pPr>
              <w:rPr>
                <w:rFonts w:eastAsia="Times New Roman" w:cstheme="minorHAnsi"/>
                <w:color w:val="000000"/>
              </w:rPr>
            </w:pPr>
            <w:r w:rsidRPr="00BF1AE2">
              <w:rPr>
                <w:rFonts w:eastAsia="Times New Roman" w:cstheme="minorHAnsi"/>
                <w:color w:val="000000"/>
              </w:rPr>
              <w:t>Average distance to river (m) </w:t>
            </w:r>
          </w:p>
        </w:tc>
        <w:tc>
          <w:tcPr>
            <w:tcW w:w="1456" w:type="dxa"/>
            <w:tcBorders>
              <w:left w:val="single" w:sz="4" w:space="0" w:color="000000"/>
              <w:right w:val="single" w:sz="4" w:space="0" w:color="000000"/>
            </w:tcBorders>
          </w:tcPr>
          <w:p w14:paraId="30328540" w14:textId="77777777" w:rsidR="000F755E" w:rsidRPr="00BF1AE2" w:rsidRDefault="000F755E" w:rsidP="00846B9B">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666.9 </w:t>
            </w:r>
          </w:p>
        </w:tc>
        <w:tc>
          <w:tcPr>
            <w:tcW w:w="1520" w:type="dxa"/>
            <w:tcBorders>
              <w:left w:val="single" w:sz="4" w:space="0" w:color="000000"/>
              <w:right w:val="single" w:sz="4" w:space="0" w:color="000000"/>
            </w:tcBorders>
          </w:tcPr>
          <w:p w14:paraId="1D2EC371" w14:textId="77777777" w:rsidR="000F755E" w:rsidRPr="00BF1AE2" w:rsidRDefault="000F755E" w:rsidP="00846B9B">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488.9</w:t>
            </w:r>
          </w:p>
        </w:tc>
        <w:tc>
          <w:tcPr>
            <w:tcW w:w="1513" w:type="dxa"/>
            <w:tcBorders>
              <w:left w:val="single" w:sz="4" w:space="0" w:color="000000"/>
              <w:right w:val="single" w:sz="4" w:space="0" w:color="000000"/>
            </w:tcBorders>
          </w:tcPr>
          <w:p w14:paraId="260C7BB4" w14:textId="77777777" w:rsidR="000F755E" w:rsidRPr="00BF1AE2" w:rsidRDefault="000F755E" w:rsidP="00846B9B">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385.3 </w:t>
            </w:r>
          </w:p>
        </w:tc>
        <w:tc>
          <w:tcPr>
            <w:tcW w:w="1521" w:type="dxa"/>
            <w:tcBorders>
              <w:left w:val="single" w:sz="4" w:space="0" w:color="000000"/>
            </w:tcBorders>
          </w:tcPr>
          <w:p w14:paraId="47F25DF7" w14:textId="77777777" w:rsidR="000F755E" w:rsidRPr="00BF1AE2" w:rsidRDefault="000F755E" w:rsidP="00846B9B">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394.8 </w:t>
            </w:r>
          </w:p>
        </w:tc>
      </w:tr>
      <w:tr w:rsidR="000F755E" w:rsidRPr="00BF1AE2" w14:paraId="3DE22277" w14:textId="77777777" w:rsidTr="00846B9B">
        <w:trPr>
          <w:trHeight w:val="230"/>
        </w:trPr>
        <w:tc>
          <w:tcPr>
            <w:cnfStyle w:val="001000000000" w:firstRow="0" w:lastRow="0" w:firstColumn="1" w:lastColumn="0" w:oddVBand="0" w:evenVBand="0" w:oddHBand="0" w:evenHBand="0" w:firstRowFirstColumn="0" w:firstRowLastColumn="0" w:lastRowFirstColumn="0" w:lastRowLastColumn="0"/>
            <w:tcW w:w="2988" w:type="dxa"/>
            <w:tcBorders>
              <w:top w:val="nil"/>
              <w:bottom w:val="nil"/>
              <w:right w:val="single" w:sz="4" w:space="0" w:color="000000"/>
            </w:tcBorders>
          </w:tcPr>
          <w:p w14:paraId="3147291E" w14:textId="77777777" w:rsidR="000F755E" w:rsidRPr="00BF1AE2" w:rsidRDefault="000F755E" w:rsidP="00846B9B">
            <w:pPr>
              <w:rPr>
                <w:rFonts w:eastAsia="Times New Roman" w:cstheme="minorHAnsi"/>
                <w:color w:val="000000"/>
              </w:rPr>
            </w:pPr>
            <w:r w:rsidRPr="00BF1AE2">
              <w:rPr>
                <w:rFonts w:eastAsia="Times New Roman" w:cstheme="minorHAnsi"/>
                <w:color w:val="000000"/>
              </w:rPr>
              <w:t>Average distance to artificial containers (m) </w:t>
            </w:r>
          </w:p>
        </w:tc>
        <w:tc>
          <w:tcPr>
            <w:tcW w:w="1456" w:type="dxa"/>
            <w:tcBorders>
              <w:top w:val="nil"/>
              <w:left w:val="single" w:sz="4" w:space="0" w:color="000000"/>
              <w:bottom w:val="nil"/>
              <w:right w:val="single" w:sz="4" w:space="0" w:color="000000"/>
            </w:tcBorders>
          </w:tcPr>
          <w:p w14:paraId="12013C9E" w14:textId="77777777" w:rsidR="000F755E" w:rsidRPr="00BF1AE2" w:rsidRDefault="000F755E" w:rsidP="00846B9B">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rPr>
            </w:pPr>
            <w:r w:rsidRPr="00BF1AE2">
              <w:rPr>
                <w:rFonts w:eastAsia="Times New Roman" w:cstheme="minorHAnsi"/>
              </w:rPr>
              <w:t>688.7 </w:t>
            </w:r>
          </w:p>
        </w:tc>
        <w:tc>
          <w:tcPr>
            <w:tcW w:w="1520" w:type="dxa"/>
            <w:tcBorders>
              <w:top w:val="nil"/>
              <w:left w:val="single" w:sz="4" w:space="0" w:color="000000"/>
              <w:bottom w:val="nil"/>
              <w:right w:val="single" w:sz="4" w:space="0" w:color="000000"/>
            </w:tcBorders>
          </w:tcPr>
          <w:p w14:paraId="547F2F45" w14:textId="77777777" w:rsidR="000F755E" w:rsidRPr="00BF1AE2" w:rsidRDefault="000F755E" w:rsidP="00846B9B">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rPr>
            </w:pPr>
            <w:r w:rsidRPr="00BF1AE2">
              <w:rPr>
                <w:rFonts w:eastAsia="Times New Roman" w:cstheme="minorHAnsi"/>
              </w:rPr>
              <w:t>661.5 </w:t>
            </w:r>
          </w:p>
        </w:tc>
        <w:tc>
          <w:tcPr>
            <w:tcW w:w="1513" w:type="dxa"/>
            <w:tcBorders>
              <w:top w:val="nil"/>
              <w:left w:val="single" w:sz="4" w:space="0" w:color="000000"/>
              <w:bottom w:val="nil"/>
              <w:right w:val="single" w:sz="4" w:space="0" w:color="000000"/>
            </w:tcBorders>
          </w:tcPr>
          <w:p w14:paraId="2E455AE9" w14:textId="77777777" w:rsidR="000F755E" w:rsidRPr="00BF1AE2" w:rsidRDefault="000F755E" w:rsidP="00846B9B">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rPr>
            </w:pPr>
            <w:r w:rsidRPr="00BF1AE2">
              <w:rPr>
                <w:rFonts w:eastAsia="Times New Roman" w:cstheme="minorHAnsi"/>
              </w:rPr>
              <w:t>68.5</w:t>
            </w:r>
          </w:p>
        </w:tc>
        <w:tc>
          <w:tcPr>
            <w:tcW w:w="1521" w:type="dxa"/>
            <w:tcBorders>
              <w:top w:val="nil"/>
              <w:left w:val="single" w:sz="4" w:space="0" w:color="000000"/>
              <w:bottom w:val="nil"/>
            </w:tcBorders>
          </w:tcPr>
          <w:p w14:paraId="35BD6540" w14:textId="77777777" w:rsidR="000F755E" w:rsidRPr="00BF1AE2" w:rsidRDefault="000F755E" w:rsidP="00846B9B">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rPr>
            </w:pPr>
            <w:r w:rsidRPr="00BF1AE2">
              <w:rPr>
                <w:rFonts w:eastAsia="Times New Roman" w:cstheme="minorHAnsi"/>
              </w:rPr>
              <w:t>65.2 </w:t>
            </w:r>
          </w:p>
        </w:tc>
      </w:tr>
      <w:tr w:rsidR="000F755E" w:rsidRPr="00BF1AE2" w14:paraId="63F5CD43" w14:textId="77777777" w:rsidTr="00846B9B">
        <w:trPr>
          <w:cnfStyle w:val="000000100000" w:firstRow="0" w:lastRow="0" w:firstColumn="0" w:lastColumn="0" w:oddVBand="0" w:evenVBand="0" w:oddHBand="1" w:evenHBand="0" w:firstRowFirstColumn="0" w:firstRowLastColumn="0" w:lastRowFirstColumn="0" w:lastRowLastColumn="0"/>
          <w:trHeight w:val="230"/>
        </w:trPr>
        <w:tc>
          <w:tcPr>
            <w:cnfStyle w:val="001000000000" w:firstRow="0" w:lastRow="0" w:firstColumn="1" w:lastColumn="0" w:oddVBand="0" w:evenVBand="0" w:oddHBand="0" w:evenHBand="0" w:firstRowFirstColumn="0" w:firstRowLastColumn="0" w:lastRowFirstColumn="0" w:lastRowLastColumn="0"/>
            <w:tcW w:w="2988" w:type="dxa"/>
            <w:tcBorders>
              <w:right w:val="single" w:sz="4" w:space="0" w:color="000000"/>
            </w:tcBorders>
          </w:tcPr>
          <w:p w14:paraId="2750FD62" w14:textId="77777777" w:rsidR="000F755E" w:rsidRPr="00BF1AE2" w:rsidRDefault="000F755E" w:rsidP="00846B9B">
            <w:pPr>
              <w:rPr>
                <w:rFonts w:eastAsia="Times New Roman" w:cstheme="minorHAnsi"/>
                <w:color w:val="000000"/>
              </w:rPr>
            </w:pPr>
            <w:r w:rsidRPr="00BF1AE2">
              <w:rPr>
                <w:rFonts w:eastAsia="Times New Roman" w:cstheme="minorHAnsi"/>
                <w:color w:val="000000"/>
              </w:rPr>
              <w:t>Eave opened, %(n/N) </w:t>
            </w:r>
          </w:p>
        </w:tc>
        <w:tc>
          <w:tcPr>
            <w:tcW w:w="1456" w:type="dxa"/>
            <w:tcBorders>
              <w:left w:val="single" w:sz="4" w:space="0" w:color="000000"/>
              <w:right w:val="single" w:sz="4" w:space="0" w:color="000000"/>
            </w:tcBorders>
          </w:tcPr>
          <w:p w14:paraId="69155D62" w14:textId="77777777" w:rsidR="000F755E" w:rsidRPr="00BF1AE2" w:rsidRDefault="000F755E" w:rsidP="00846B9B">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rPr>
            </w:pPr>
            <w:r w:rsidRPr="00BF1AE2">
              <w:rPr>
                <w:rFonts w:eastAsia="Times New Roman" w:cstheme="minorHAnsi"/>
              </w:rPr>
              <w:t>4.7(2/43) </w:t>
            </w:r>
          </w:p>
        </w:tc>
        <w:tc>
          <w:tcPr>
            <w:tcW w:w="1520" w:type="dxa"/>
            <w:tcBorders>
              <w:left w:val="single" w:sz="4" w:space="0" w:color="000000"/>
              <w:right w:val="single" w:sz="4" w:space="0" w:color="000000"/>
            </w:tcBorders>
          </w:tcPr>
          <w:p w14:paraId="73AC6F0F" w14:textId="77777777" w:rsidR="000F755E" w:rsidRPr="00BF1AE2" w:rsidRDefault="000F755E" w:rsidP="00846B9B">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rPr>
            </w:pPr>
            <w:r w:rsidRPr="00BF1AE2">
              <w:rPr>
                <w:rFonts w:eastAsia="Times New Roman" w:cstheme="minorHAnsi"/>
              </w:rPr>
              <w:t>6.2(6/97) </w:t>
            </w:r>
          </w:p>
        </w:tc>
        <w:tc>
          <w:tcPr>
            <w:tcW w:w="1513" w:type="dxa"/>
            <w:tcBorders>
              <w:left w:val="single" w:sz="4" w:space="0" w:color="000000"/>
              <w:right w:val="single" w:sz="4" w:space="0" w:color="000000"/>
            </w:tcBorders>
          </w:tcPr>
          <w:p w14:paraId="392D9952" w14:textId="77777777" w:rsidR="000F755E" w:rsidRPr="00BF1AE2" w:rsidRDefault="000F755E" w:rsidP="00846B9B">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rPr>
            </w:pPr>
            <w:r w:rsidRPr="00BF1AE2">
              <w:rPr>
                <w:rFonts w:eastAsia="Times New Roman" w:cstheme="minorHAnsi"/>
              </w:rPr>
              <w:t>54.9(28/51) </w:t>
            </w:r>
          </w:p>
        </w:tc>
        <w:tc>
          <w:tcPr>
            <w:tcW w:w="1521" w:type="dxa"/>
            <w:tcBorders>
              <w:left w:val="single" w:sz="4" w:space="0" w:color="000000"/>
            </w:tcBorders>
          </w:tcPr>
          <w:p w14:paraId="255FB6D5" w14:textId="77777777" w:rsidR="000F755E" w:rsidRPr="00BF1AE2" w:rsidRDefault="000F755E" w:rsidP="00846B9B">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rPr>
            </w:pPr>
            <w:r w:rsidRPr="00BF1AE2">
              <w:rPr>
                <w:rFonts w:eastAsia="Times New Roman" w:cstheme="minorHAnsi"/>
              </w:rPr>
              <w:t>52.1(37/71)</w:t>
            </w:r>
          </w:p>
        </w:tc>
      </w:tr>
      <w:tr w:rsidR="000F755E" w:rsidRPr="00BF1AE2" w14:paraId="04CBCB76" w14:textId="77777777" w:rsidTr="00846B9B">
        <w:trPr>
          <w:trHeight w:val="230"/>
        </w:trPr>
        <w:tc>
          <w:tcPr>
            <w:cnfStyle w:val="001000000000" w:firstRow="0" w:lastRow="0" w:firstColumn="1" w:lastColumn="0" w:oddVBand="0" w:evenVBand="0" w:oddHBand="0" w:evenHBand="0" w:firstRowFirstColumn="0" w:firstRowLastColumn="0" w:lastRowFirstColumn="0" w:lastRowLastColumn="0"/>
            <w:tcW w:w="2988" w:type="dxa"/>
            <w:tcBorders>
              <w:top w:val="nil"/>
              <w:bottom w:val="nil"/>
              <w:right w:val="single" w:sz="4" w:space="0" w:color="000000"/>
            </w:tcBorders>
          </w:tcPr>
          <w:p w14:paraId="67D072E8" w14:textId="77777777" w:rsidR="000F755E" w:rsidRPr="00BF1AE2" w:rsidRDefault="000F755E" w:rsidP="00846B9B">
            <w:pPr>
              <w:rPr>
                <w:rFonts w:eastAsia="Times New Roman" w:cstheme="minorHAnsi"/>
                <w:color w:val="000000"/>
              </w:rPr>
            </w:pPr>
            <w:r w:rsidRPr="00BF1AE2">
              <w:rPr>
                <w:rFonts w:eastAsia="Times New Roman" w:cstheme="minorHAnsi"/>
                <w:color w:val="000000"/>
              </w:rPr>
              <w:t>Modal waterbody type</w:t>
            </w:r>
          </w:p>
        </w:tc>
        <w:tc>
          <w:tcPr>
            <w:tcW w:w="1456" w:type="dxa"/>
            <w:tcBorders>
              <w:top w:val="nil"/>
              <w:left w:val="single" w:sz="4" w:space="0" w:color="000000"/>
              <w:bottom w:val="nil"/>
              <w:right w:val="single" w:sz="4" w:space="0" w:color="000000"/>
            </w:tcBorders>
          </w:tcPr>
          <w:p w14:paraId="42D519E1" w14:textId="77777777" w:rsidR="000F755E" w:rsidRPr="00BF1AE2" w:rsidRDefault="000F755E" w:rsidP="00846B9B">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rPr>
            </w:pPr>
            <w:r w:rsidRPr="00BF1AE2">
              <w:rPr>
                <w:rFonts w:eastAsia="Times New Roman" w:cstheme="minorHAnsi"/>
              </w:rPr>
              <w:t>Stream </w:t>
            </w:r>
          </w:p>
        </w:tc>
        <w:tc>
          <w:tcPr>
            <w:tcW w:w="1520" w:type="dxa"/>
            <w:tcBorders>
              <w:top w:val="nil"/>
              <w:left w:val="single" w:sz="4" w:space="0" w:color="000000"/>
              <w:bottom w:val="nil"/>
              <w:right w:val="single" w:sz="4" w:space="0" w:color="000000"/>
            </w:tcBorders>
          </w:tcPr>
          <w:p w14:paraId="044EA04A" w14:textId="77777777" w:rsidR="000F755E" w:rsidRPr="00BF1AE2" w:rsidRDefault="000F755E" w:rsidP="00846B9B">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rPr>
            </w:pPr>
            <w:r w:rsidRPr="00BF1AE2">
              <w:rPr>
                <w:rFonts w:eastAsia="Times New Roman" w:cstheme="minorHAnsi"/>
              </w:rPr>
              <w:t>Stream </w:t>
            </w:r>
          </w:p>
        </w:tc>
        <w:tc>
          <w:tcPr>
            <w:tcW w:w="1513" w:type="dxa"/>
            <w:tcBorders>
              <w:top w:val="nil"/>
              <w:left w:val="single" w:sz="4" w:space="0" w:color="000000"/>
              <w:bottom w:val="nil"/>
              <w:right w:val="single" w:sz="4" w:space="0" w:color="000000"/>
            </w:tcBorders>
          </w:tcPr>
          <w:p w14:paraId="5767D84D" w14:textId="77777777" w:rsidR="000F755E" w:rsidRPr="00BF1AE2" w:rsidRDefault="000F755E" w:rsidP="00846B9B">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rPr>
            </w:pPr>
            <w:r w:rsidRPr="00BF1AE2">
              <w:rPr>
                <w:rFonts w:eastAsia="Times New Roman" w:cstheme="minorHAnsi"/>
              </w:rPr>
              <w:t>Pond </w:t>
            </w:r>
          </w:p>
        </w:tc>
        <w:tc>
          <w:tcPr>
            <w:tcW w:w="1521" w:type="dxa"/>
            <w:tcBorders>
              <w:top w:val="nil"/>
              <w:left w:val="single" w:sz="4" w:space="0" w:color="000000"/>
              <w:bottom w:val="nil"/>
            </w:tcBorders>
          </w:tcPr>
          <w:p w14:paraId="45E1DC43" w14:textId="77777777" w:rsidR="000F755E" w:rsidRPr="00BF1AE2" w:rsidRDefault="000F755E" w:rsidP="00846B9B">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rPr>
            </w:pPr>
            <w:r w:rsidRPr="00BF1AE2">
              <w:rPr>
                <w:rFonts w:eastAsia="Times New Roman" w:cstheme="minorHAnsi"/>
              </w:rPr>
              <w:t>Pond </w:t>
            </w:r>
          </w:p>
        </w:tc>
      </w:tr>
      <w:tr w:rsidR="000F755E" w:rsidRPr="00BF1AE2" w14:paraId="42AA7302" w14:textId="77777777" w:rsidTr="00846B9B">
        <w:trPr>
          <w:cnfStyle w:val="000000100000" w:firstRow="0" w:lastRow="0" w:firstColumn="0" w:lastColumn="0" w:oddVBand="0" w:evenVBand="0" w:oddHBand="1" w:evenHBand="0" w:firstRowFirstColumn="0" w:firstRowLastColumn="0" w:lastRowFirstColumn="0" w:lastRowLastColumn="0"/>
          <w:trHeight w:val="230"/>
        </w:trPr>
        <w:tc>
          <w:tcPr>
            <w:cnfStyle w:val="001000000000" w:firstRow="0" w:lastRow="0" w:firstColumn="1" w:lastColumn="0" w:oddVBand="0" w:evenVBand="0" w:oddHBand="0" w:evenHBand="0" w:firstRowFirstColumn="0" w:firstRowLastColumn="0" w:lastRowFirstColumn="0" w:lastRowLastColumn="0"/>
            <w:tcW w:w="2988" w:type="dxa"/>
            <w:tcBorders>
              <w:right w:val="single" w:sz="4" w:space="0" w:color="000000"/>
            </w:tcBorders>
          </w:tcPr>
          <w:p w14:paraId="19492E88" w14:textId="77777777" w:rsidR="000F755E" w:rsidRPr="00BF1AE2" w:rsidRDefault="000F755E" w:rsidP="00846B9B">
            <w:pPr>
              <w:rPr>
                <w:rFonts w:eastAsia="Times New Roman" w:cstheme="minorHAnsi"/>
                <w:color w:val="000000"/>
              </w:rPr>
            </w:pPr>
            <w:r w:rsidRPr="00BF1AE2">
              <w:rPr>
                <w:rFonts w:eastAsia="Times New Roman" w:cstheme="minorHAnsi"/>
                <w:color w:val="000000"/>
              </w:rPr>
              <w:t>Water body presence in the neighborhood </w:t>
            </w:r>
          </w:p>
        </w:tc>
        <w:tc>
          <w:tcPr>
            <w:tcW w:w="1456" w:type="dxa"/>
            <w:tcBorders>
              <w:left w:val="single" w:sz="4" w:space="0" w:color="000000"/>
              <w:right w:val="single" w:sz="4" w:space="0" w:color="000000"/>
            </w:tcBorders>
          </w:tcPr>
          <w:p w14:paraId="278AE7E2" w14:textId="77777777" w:rsidR="000F755E" w:rsidRPr="00BF1AE2" w:rsidRDefault="000F755E" w:rsidP="00846B9B">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47.9(23/48) </w:t>
            </w:r>
          </w:p>
        </w:tc>
        <w:tc>
          <w:tcPr>
            <w:tcW w:w="1520" w:type="dxa"/>
            <w:tcBorders>
              <w:left w:val="single" w:sz="4" w:space="0" w:color="000000"/>
              <w:right w:val="single" w:sz="4" w:space="0" w:color="000000"/>
            </w:tcBorders>
          </w:tcPr>
          <w:p w14:paraId="16EE7FBA" w14:textId="77777777" w:rsidR="000F755E" w:rsidRPr="00BF1AE2" w:rsidRDefault="000F755E" w:rsidP="00846B9B">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44.0(48/109) </w:t>
            </w:r>
          </w:p>
        </w:tc>
        <w:tc>
          <w:tcPr>
            <w:tcW w:w="1513" w:type="dxa"/>
            <w:tcBorders>
              <w:left w:val="single" w:sz="4" w:space="0" w:color="000000"/>
              <w:right w:val="single" w:sz="4" w:space="0" w:color="000000"/>
            </w:tcBorders>
          </w:tcPr>
          <w:p w14:paraId="56A6C601" w14:textId="77777777" w:rsidR="000F755E" w:rsidRPr="00BF1AE2" w:rsidRDefault="000F755E" w:rsidP="00846B9B">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96.2(51/53) </w:t>
            </w:r>
          </w:p>
        </w:tc>
        <w:tc>
          <w:tcPr>
            <w:tcW w:w="1521" w:type="dxa"/>
            <w:tcBorders>
              <w:left w:val="single" w:sz="4" w:space="0" w:color="000000"/>
            </w:tcBorders>
          </w:tcPr>
          <w:p w14:paraId="5707007C" w14:textId="77777777" w:rsidR="000F755E" w:rsidRPr="00BF1AE2" w:rsidRDefault="000F755E" w:rsidP="00846B9B">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98.8(79/80)</w:t>
            </w:r>
          </w:p>
        </w:tc>
      </w:tr>
      <w:tr w:rsidR="000F755E" w:rsidRPr="00BF1AE2" w14:paraId="19F494E9" w14:textId="77777777" w:rsidTr="00846B9B">
        <w:trPr>
          <w:trHeight w:val="121"/>
        </w:trPr>
        <w:tc>
          <w:tcPr>
            <w:cnfStyle w:val="001000000000" w:firstRow="0" w:lastRow="0" w:firstColumn="1" w:lastColumn="0" w:oddVBand="0" w:evenVBand="0" w:oddHBand="0" w:evenHBand="0" w:firstRowFirstColumn="0" w:firstRowLastColumn="0" w:lastRowFirstColumn="0" w:lastRowLastColumn="0"/>
            <w:tcW w:w="2988" w:type="dxa"/>
            <w:tcBorders>
              <w:top w:val="nil"/>
              <w:right w:val="single" w:sz="4" w:space="0" w:color="000000"/>
            </w:tcBorders>
          </w:tcPr>
          <w:p w14:paraId="200AE507" w14:textId="77777777" w:rsidR="000F755E" w:rsidRPr="00BF1AE2" w:rsidRDefault="000F755E" w:rsidP="00846B9B">
            <w:pPr>
              <w:rPr>
                <w:rFonts w:eastAsia="Times New Roman" w:cstheme="minorHAnsi"/>
                <w:color w:val="000000"/>
              </w:rPr>
            </w:pPr>
            <w:r w:rsidRPr="00BF1AE2">
              <w:rPr>
                <w:rFonts w:eastAsia="Times New Roman" w:cstheme="minorHAnsi"/>
                <w:color w:val="000000"/>
              </w:rPr>
              <w:t>IRS in the last 12 month</w:t>
            </w:r>
          </w:p>
        </w:tc>
        <w:tc>
          <w:tcPr>
            <w:tcW w:w="1456" w:type="dxa"/>
            <w:tcBorders>
              <w:top w:val="nil"/>
              <w:left w:val="single" w:sz="4" w:space="0" w:color="000000"/>
              <w:right w:val="single" w:sz="4" w:space="0" w:color="000000"/>
            </w:tcBorders>
          </w:tcPr>
          <w:p w14:paraId="5D00F417" w14:textId="77777777" w:rsidR="000F755E" w:rsidRPr="00BF1AE2" w:rsidRDefault="000F755E" w:rsidP="00846B9B">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2.3(1/44) </w:t>
            </w:r>
          </w:p>
        </w:tc>
        <w:tc>
          <w:tcPr>
            <w:tcW w:w="1520" w:type="dxa"/>
            <w:tcBorders>
              <w:top w:val="nil"/>
              <w:left w:val="single" w:sz="4" w:space="0" w:color="000000"/>
              <w:right w:val="single" w:sz="4" w:space="0" w:color="000000"/>
            </w:tcBorders>
          </w:tcPr>
          <w:p w14:paraId="08A0F931" w14:textId="77777777" w:rsidR="000F755E" w:rsidRPr="00BF1AE2" w:rsidRDefault="000F755E" w:rsidP="00846B9B">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0.0(0/104) </w:t>
            </w:r>
          </w:p>
        </w:tc>
        <w:tc>
          <w:tcPr>
            <w:tcW w:w="1513" w:type="dxa"/>
            <w:tcBorders>
              <w:top w:val="nil"/>
              <w:left w:val="single" w:sz="4" w:space="0" w:color="000000"/>
              <w:right w:val="single" w:sz="4" w:space="0" w:color="000000"/>
            </w:tcBorders>
          </w:tcPr>
          <w:p w14:paraId="22847052" w14:textId="77777777" w:rsidR="000F755E" w:rsidRPr="00BF1AE2" w:rsidRDefault="000F755E" w:rsidP="00846B9B">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26.9(14/52)</w:t>
            </w:r>
          </w:p>
        </w:tc>
        <w:tc>
          <w:tcPr>
            <w:tcW w:w="1521" w:type="dxa"/>
            <w:tcBorders>
              <w:top w:val="nil"/>
              <w:left w:val="single" w:sz="4" w:space="0" w:color="000000"/>
            </w:tcBorders>
          </w:tcPr>
          <w:p w14:paraId="4DD5B103" w14:textId="77777777" w:rsidR="000F755E" w:rsidRPr="00BF1AE2" w:rsidRDefault="000F755E" w:rsidP="00846B9B">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BF1AE2">
              <w:rPr>
                <w:rFonts w:eastAsia="Times New Roman" w:cstheme="minorHAnsi"/>
                <w:color w:val="000000"/>
              </w:rPr>
              <w:t>13.2(10/76) </w:t>
            </w:r>
          </w:p>
        </w:tc>
      </w:tr>
    </w:tbl>
    <w:p w14:paraId="7B90A202" w14:textId="77777777" w:rsidR="00BF1AE2" w:rsidRPr="00BF1AE2" w:rsidRDefault="00BF1AE2" w:rsidP="00BF1AE2">
      <w:pPr>
        <w:shd w:val="clear" w:color="auto" w:fill="FFFFFF" w:themeFill="background1"/>
        <w:suppressAutoHyphens/>
        <w:spacing w:after="0" w:line="240" w:lineRule="auto"/>
        <w:jc w:val="both"/>
        <w:rPr>
          <w:rFonts w:cstheme="minorHAnsi"/>
          <w:b/>
          <w:bCs/>
          <w:shd w:val="clear" w:color="auto" w:fill="FFFFFF"/>
        </w:rPr>
      </w:pPr>
    </w:p>
    <w:p w14:paraId="76A4164B" w14:textId="77777777" w:rsidR="00BF1AE2" w:rsidRPr="00BF1AE2" w:rsidRDefault="00BF1AE2" w:rsidP="00BF1AE2">
      <w:pPr>
        <w:shd w:val="clear" w:color="auto" w:fill="FFFFFF" w:themeFill="background1"/>
        <w:suppressAutoHyphens/>
        <w:spacing w:after="0" w:line="240" w:lineRule="auto"/>
        <w:jc w:val="both"/>
        <w:rPr>
          <w:rFonts w:cstheme="minorHAnsi"/>
          <w:bCs/>
        </w:rPr>
      </w:pPr>
      <w:r w:rsidRPr="00BF1AE2">
        <w:rPr>
          <w:rFonts w:cstheme="minorHAnsi"/>
          <w:b/>
          <w:bCs/>
          <w:shd w:val="clear" w:color="auto" w:fill="FFFFFF"/>
        </w:rPr>
        <w:t>Blood samples collection</w:t>
      </w:r>
      <w:r w:rsidRPr="00BF1AE2">
        <w:rPr>
          <w:rFonts w:cstheme="minorHAnsi"/>
          <w:shd w:val="clear" w:color="auto" w:fill="FFFFFF"/>
        </w:rPr>
        <w:t>: F</w:t>
      </w:r>
      <w:r w:rsidRPr="00BF1AE2">
        <w:rPr>
          <w:rFonts w:cstheme="minorHAnsi"/>
        </w:rPr>
        <w:t>inger prick blood samples (~0.5mL), collected in BD K</w:t>
      </w:r>
      <w:r w:rsidRPr="00BF1AE2">
        <w:rPr>
          <w:rFonts w:cstheme="minorHAnsi"/>
          <w:vertAlign w:val="subscript"/>
        </w:rPr>
        <w:t>2</w:t>
      </w:r>
      <w:r w:rsidRPr="00BF1AE2">
        <w:rPr>
          <w:rFonts w:cstheme="minorHAnsi"/>
        </w:rPr>
        <w:t xml:space="preserve">EDTA Microtainer® tubes, were used to diagnose malaria using rapid diagnostic test (RDT) (ABBOTT BIOLINE Malaria Ag </w:t>
      </w:r>
      <w:proofErr w:type="spellStart"/>
      <w:r w:rsidRPr="00BF1AE2">
        <w:rPr>
          <w:rFonts w:cstheme="minorHAnsi"/>
        </w:rPr>
        <w:t>Pf</w:t>
      </w:r>
      <w:proofErr w:type="spellEnd"/>
      <w:r w:rsidRPr="00BF1AE2">
        <w:rPr>
          <w:rFonts w:cstheme="minorHAnsi"/>
        </w:rPr>
        <w:t xml:space="preserve">/Pv HRP2/LDH, India) and microscopy, and to prepare dried blood spots (DBS) on 3MM Whatman filter paper (Whatman, </w:t>
      </w:r>
      <w:proofErr w:type="spellStart"/>
      <w:r w:rsidRPr="00BF1AE2">
        <w:rPr>
          <w:rFonts w:cstheme="minorHAnsi"/>
        </w:rPr>
        <w:t>Maidstone</w:t>
      </w:r>
      <w:proofErr w:type="spellEnd"/>
      <w:r w:rsidRPr="00BF1AE2">
        <w:rPr>
          <w:rFonts w:cstheme="minorHAnsi"/>
        </w:rPr>
        <w:t xml:space="preserve">, UK). The remaining blood was </w:t>
      </w:r>
      <w:r w:rsidRPr="00BF1AE2">
        <w:rPr>
          <w:rFonts w:cstheme="minorHAnsi"/>
          <w:color w:val="000000"/>
          <w:shd w:val="clear" w:color="auto" w:fill="FFFFFF"/>
          <w:lang w:val="nl-NL"/>
        </w:rPr>
        <w:t>separated</w:t>
      </w:r>
      <w:r w:rsidRPr="00BF1AE2">
        <w:rPr>
          <w:rFonts w:cstheme="minorHAnsi"/>
        </w:rPr>
        <w:t xml:space="preserve"> into cell pellet and plasma</w:t>
      </w:r>
      <w:r w:rsidRPr="00BF1AE2">
        <w:rPr>
          <w:rFonts w:cstheme="minorHAnsi"/>
          <w:bCs/>
        </w:rPr>
        <w:t xml:space="preserve">. Slide films were confirmed by expert microscopists. </w:t>
      </w:r>
      <w:r w:rsidRPr="00BF1AE2">
        <w:rPr>
          <w:rFonts w:cstheme="minorHAnsi"/>
          <w:lang w:val="nl-NL"/>
        </w:rPr>
        <w:t>Socio-demographic, epidemiological</w:t>
      </w:r>
      <w:r w:rsidRPr="00BF1AE2">
        <w:rPr>
          <w:rFonts w:cstheme="minorHAnsi"/>
          <w:shd w:val="clear" w:color="auto" w:fill="FFFFFF"/>
          <w:lang w:val="nl-NL"/>
        </w:rPr>
        <w:t>, intervention utilization, and history of travel and malaria were collected from all study participants.</w:t>
      </w:r>
    </w:p>
    <w:p w14:paraId="0FF826EC" w14:textId="77777777" w:rsidR="00BF1AE2" w:rsidRPr="00BF1AE2" w:rsidRDefault="00BF1AE2" w:rsidP="00BF1AE2">
      <w:pPr>
        <w:suppressAutoHyphens/>
        <w:spacing w:after="0" w:line="240" w:lineRule="auto"/>
        <w:ind w:right="-18"/>
        <w:jc w:val="both"/>
        <w:rPr>
          <w:rFonts w:cstheme="minorHAnsi"/>
          <w:bCs/>
        </w:rPr>
      </w:pPr>
    </w:p>
    <w:p w14:paraId="3DF9DFF6" w14:textId="77777777" w:rsidR="00BF1AE2" w:rsidRPr="00BF1AE2" w:rsidRDefault="00BF1AE2" w:rsidP="00BF1AE2">
      <w:pPr>
        <w:shd w:val="clear" w:color="auto" w:fill="FFFFFF" w:themeFill="background1"/>
        <w:suppressAutoHyphens/>
        <w:spacing w:after="0" w:line="240" w:lineRule="auto"/>
        <w:jc w:val="both"/>
        <w:rPr>
          <w:rFonts w:cstheme="minorHAnsi"/>
        </w:rPr>
      </w:pPr>
      <w:r w:rsidRPr="00BF1AE2">
        <w:rPr>
          <w:rFonts w:cstheme="minorHAnsi"/>
          <w:b/>
        </w:rPr>
        <w:t>Entomological surveys</w:t>
      </w:r>
      <w:r w:rsidRPr="00BF1AE2">
        <w:rPr>
          <w:rFonts w:cstheme="minorHAnsi"/>
          <w:bCs/>
        </w:rPr>
        <w:t xml:space="preserve">: </w:t>
      </w:r>
      <w:r w:rsidRPr="00BF1AE2">
        <w:rPr>
          <w:rFonts w:cstheme="minorHAnsi"/>
        </w:rPr>
        <w:t xml:space="preserve">Immature stages of </w:t>
      </w:r>
      <w:r w:rsidRPr="00BF1AE2">
        <w:rPr>
          <w:rFonts w:cstheme="minorHAnsi"/>
          <w:i/>
        </w:rPr>
        <w:t>Anopheles</w:t>
      </w:r>
      <w:r w:rsidRPr="00BF1AE2">
        <w:rPr>
          <w:rFonts w:cstheme="minorHAnsi"/>
        </w:rPr>
        <w:t xml:space="preserve"> mosquitoes were surveyed within a 100-meter radius of the index and</w:t>
      </w:r>
      <w:r w:rsidRPr="00BF1AE2">
        <w:rPr>
          <w:rFonts w:cstheme="minorHAnsi"/>
          <w:shd w:val="clear" w:color="auto" w:fill="FFFFFF"/>
        </w:rPr>
        <w:t xml:space="preserve"> control houses/dormitories targeting both manmade water storage containers and natural habitats </w:t>
      </w:r>
      <w:r w:rsidRPr="00BF1AE2">
        <w:rPr>
          <w:rFonts w:cstheme="minorHAnsi"/>
          <w:shd w:val="clear" w:color="auto" w:fill="FFFFFF"/>
          <w:lang w:val="nl-NL"/>
        </w:rPr>
        <w:t xml:space="preserve">including river beds and stream edges. Each aquatic habitat was checked for 10 minutes from 9:00-11:00AM and 3:00-5:00PM for the presence of </w:t>
      </w:r>
      <w:r w:rsidRPr="00BF1AE2">
        <w:rPr>
          <w:rFonts w:cstheme="minorHAnsi"/>
          <w:i/>
          <w:shd w:val="clear" w:color="auto" w:fill="FFFFFF"/>
          <w:lang w:val="nl-NL"/>
        </w:rPr>
        <w:t>Anopheles</w:t>
      </w:r>
      <w:r w:rsidRPr="00BF1AE2">
        <w:rPr>
          <w:rFonts w:cstheme="minorHAnsi"/>
          <w:shd w:val="clear" w:color="auto" w:fill="FFFFFF"/>
          <w:lang w:val="nl-NL"/>
        </w:rPr>
        <w:t xml:space="preserve"> mosquitoes’ larvae or pupae aiming for ten dips per habitat (</w:t>
      </w:r>
      <w:r w:rsidRPr="00BF1AE2">
        <w:rPr>
          <w:rFonts w:cstheme="minorHAnsi"/>
          <w:lang w:val="nl-NL"/>
        </w:rPr>
        <w:t>using a standard dipper with 350ml capacity)</w:t>
      </w:r>
      <w:r w:rsidRPr="00BF1AE2">
        <w:rPr>
          <w:rFonts w:cstheme="minorHAnsi"/>
          <w:shd w:val="clear" w:color="auto" w:fill="FFFFFF"/>
          <w:lang w:val="nl-NL"/>
        </w:rPr>
        <w:t xml:space="preserve">. Characteristics of water holding containers (permanency of habitat, lid status, purpose, volume, presence of shade, type, turbidity, temperature, and water source) were recorded for each habitat (Table S3). </w:t>
      </w:r>
      <w:r w:rsidRPr="00BF1AE2">
        <w:rPr>
          <w:rFonts w:cstheme="minorHAnsi"/>
        </w:rPr>
        <w:t xml:space="preserve">Adult mosquitoes were searched using </w:t>
      </w:r>
      <w:proofErr w:type="spellStart"/>
      <w:r w:rsidRPr="00BF1AE2">
        <w:rPr>
          <w:rFonts w:cstheme="minorHAnsi"/>
        </w:rPr>
        <w:t>Prokopack</w:t>
      </w:r>
      <w:proofErr w:type="spellEnd"/>
      <w:r w:rsidRPr="00BF1AE2">
        <w:rPr>
          <w:rFonts w:cstheme="minorHAnsi"/>
        </w:rPr>
        <w:t>® aspirators</w:t>
      </w:r>
      <w:r w:rsidRPr="00BF1AE2">
        <w:rPr>
          <w:rFonts w:cstheme="minorHAnsi"/>
          <w:lang w:val="nl-NL"/>
        </w:rPr>
        <w:t xml:space="preserve"> for 10 minutes between 06:00 to 08:00 AM indoor, outdoor, and in animal shelters located within the compound of the household or inside and outside the dormitories at the university</w:t>
      </w:r>
      <w:r w:rsidRPr="00BF1AE2">
        <w:rPr>
          <w:rFonts w:cstheme="minorHAnsi"/>
        </w:rPr>
        <w:t xml:space="preserve">. Mosquito surveys (immature and adult) were done within 48-72 hours of when the index/control was recruited. </w:t>
      </w:r>
    </w:p>
    <w:p w14:paraId="3611AAFF" w14:textId="77777777" w:rsidR="00BF1AE2" w:rsidRPr="00BF1AE2" w:rsidRDefault="00BF1AE2" w:rsidP="00BF1AE2">
      <w:pPr>
        <w:shd w:val="clear" w:color="auto" w:fill="FFFFFF" w:themeFill="background1"/>
        <w:suppressAutoHyphens/>
        <w:spacing w:after="0" w:line="240" w:lineRule="auto"/>
        <w:jc w:val="both"/>
        <w:rPr>
          <w:rFonts w:cstheme="minorHAnsi"/>
        </w:rPr>
      </w:pPr>
      <w:r w:rsidRPr="00BF1AE2">
        <w:rPr>
          <w:rFonts w:cstheme="minorHAnsi"/>
          <w:lang w:val="nl-NL"/>
        </w:rPr>
        <w:lastRenderedPageBreak/>
        <w:t>Conventional adult mosquito collection methods such as CDC light traps and pyrethrum spray sheet have limited sensitivity for this invasive species mainly related with its unique resting behaviour</w:t>
      </w:r>
      <w:r w:rsidRPr="00BF1AE2">
        <w:rPr>
          <w:rFonts w:cs="Times New Roman"/>
          <w:lang w:val="nl-NL"/>
        </w:rPr>
        <w:fldChar w:fldCharType="begin"/>
      </w:r>
      <w:r w:rsidRPr="00BF1AE2">
        <w:rPr>
          <w:rFonts w:cs="Calibri"/>
          <w:lang w:val="nl-NL"/>
        </w:rPr>
        <w:instrText>ADDIN EN.CITE &lt;EndNote&gt;&lt;Cite&gt;&lt;Author&gt;Ahmed&lt;/Author&gt;&lt;Year&gt;2022&lt;/Year&gt;&lt;RecNum&gt;8058&lt;/RecNum&gt;&lt;DisplayText&gt;&lt;style face="superscript"&gt;3&lt;/style&gt;&lt;/DisplayText&gt;&lt;record&gt;&lt;rec-number&gt;8058&lt;/rec-number&gt;&lt;foreign-keys&gt;&lt;key app="EN" db-id="xs0v9w9z9e9a2te9re8va926zefw2fet5avf" timestamp="1662965706"&gt;8058&lt;/key&gt;&lt;/foreign-keys&gt;&lt;ref-type name="Journal Article"&gt;17&lt;/ref-type&gt;&lt;contributors&gt;&lt;authors&gt;&lt;author&gt;Ahmed, Ayman&lt;/author&gt;&lt;author&gt;Irish, Seth R.&lt;/author&gt;&lt;author&gt;Zohdy, Sarah&lt;/author&gt;&lt;author&gt;Yoshimizu, Melissa&lt;/author&gt;&lt;author&gt;Tadesse, Fitsum G.&lt;/author&gt;&lt;/authors&gt;&lt;/contributors&gt;&lt;titles&gt;&lt;title&gt;Strategies for conducting Anopheles stephensi surveys in non-endemic areas&lt;/title&gt;&lt;secondary-title&gt;Acta Tropica&lt;/secondary-title&gt;&lt;/titles&gt;&lt;periodical&gt;&lt;full-title&gt;Acta Tropica&lt;/full-title&gt;&lt;abbr-1&gt;Acta Trop.&lt;/abbr-1&gt;&lt;abbr-2&gt;Acta Trop&lt;/abbr-2&gt;&lt;/periodical&gt;&lt;pages&gt;106671&lt;/pages&gt;&lt;keywords&gt;&lt;keyword&gt;invasive vector&lt;/keyword&gt;&lt;keyword&gt;mosquito&lt;/keyword&gt;&lt;keyword&gt;urban malaria&lt;/keyword&gt;&lt;keyword&gt;survey&lt;/keyword&gt;&lt;keyword&gt;Africa&lt;/keyword&gt;&lt;/keywords&gt;&lt;dates&gt;&lt;year&gt;2022&lt;/year&gt;&lt;pub-dates&gt;&lt;date&gt;2022/09/01/&lt;/date&gt;&lt;/pub-dates&gt;&lt;/dates&gt;&lt;isbn&gt;0001-706X&lt;/isbn&gt;&lt;urls&gt;&lt;related-urls&gt;&lt;url&gt;https://www.sciencedirect.com/science/article/pii/S0001706X22003631&lt;/url&gt;&lt;/related-urls&gt;&lt;/urls&gt;&lt;electronic-resource-num&gt;https://doi.org/10.1016/j.actatropica.2022.106671&lt;/electronic-resource-num&gt;&lt;/record&gt;&lt;/Cite&gt;&lt;/EndNote&gt;</w:instrText>
      </w:r>
      <w:r w:rsidRPr="00BF1AE2">
        <w:rPr>
          <w:rFonts w:cs="Calibri"/>
          <w:lang w:val="nl-NL"/>
        </w:rPr>
        <w:fldChar w:fldCharType="separate"/>
      </w:r>
      <w:r w:rsidRPr="00BF1AE2">
        <w:rPr>
          <w:rFonts w:cstheme="minorHAnsi"/>
          <w:vertAlign w:val="superscript"/>
          <w:lang w:val="nl-NL"/>
        </w:rPr>
        <w:t>3</w:t>
      </w:r>
      <w:r w:rsidRPr="00BF1AE2">
        <w:rPr>
          <w:rFonts w:cs="Calibri"/>
          <w:lang w:val="nl-NL"/>
        </w:rPr>
        <w:fldChar w:fldCharType="end"/>
      </w:r>
      <w:r w:rsidRPr="00BF1AE2">
        <w:rPr>
          <w:rFonts w:cstheme="minorHAnsi"/>
          <w:lang w:val="nl-NL"/>
        </w:rPr>
        <w:t xml:space="preserve">. To supplement the evidence generated from the case control study and examine </w:t>
      </w:r>
      <w:r w:rsidRPr="00BF1AE2">
        <w:rPr>
          <w:rFonts w:cstheme="minorHAnsi"/>
        </w:rPr>
        <w:t xml:space="preserve">the resting sites of the adult </w:t>
      </w:r>
      <w:r w:rsidRPr="00BF1AE2">
        <w:rPr>
          <w:rFonts w:cstheme="minorHAnsi"/>
          <w:i/>
          <w:iCs/>
        </w:rPr>
        <w:t>Anopheles</w:t>
      </w:r>
      <w:r w:rsidRPr="00BF1AE2">
        <w:rPr>
          <w:rFonts w:cstheme="minorHAnsi"/>
        </w:rPr>
        <w:t xml:space="preserve"> mosquitoes in detail in the study area, additional adult mosquito surveys were done targeting potential resting sites including animal shelters and manholes within the study time and area. Informed by these preliminary findings, surveys were systematized in three fortnightly rounds during the study period. In the city, households with (n=15) and without (n=15) animal shelters were included (Table S4). At DDU, two dormitory buildings which reported the highest number malaria cases and their surroundings were selected. Adult mosquitoes were surveyed indoor, outdoor, in animal shelters, overhead tanks, and manholes using </w:t>
      </w:r>
      <w:proofErr w:type="spellStart"/>
      <w:r w:rsidRPr="00BF1AE2">
        <w:rPr>
          <w:rFonts w:cstheme="minorHAnsi"/>
        </w:rPr>
        <w:t>Prokopack</w:t>
      </w:r>
      <w:proofErr w:type="spellEnd"/>
      <w:r w:rsidRPr="00BF1AE2">
        <w:rPr>
          <w:rFonts w:cstheme="minorHAnsi"/>
        </w:rPr>
        <w:t xml:space="preserve">® aspirators </w:t>
      </w:r>
      <w:r w:rsidRPr="00BF1AE2">
        <w:rPr>
          <w:rFonts w:cstheme="minorHAnsi"/>
          <w:lang w:val="nl-NL"/>
        </w:rPr>
        <w:t>for 10 minutes between 06:00 to 08:00 AM</w:t>
      </w:r>
      <w:r w:rsidRPr="00BF1AE2">
        <w:rPr>
          <w:rFonts w:cstheme="minorHAnsi"/>
        </w:rPr>
        <w:t>. Animal shelters were not available at DDU. Adult caught mosquitoes (sorted based on their abdominal status) and those raised from aquatic stages, were morphologically identified to the species level</w:t>
      </w:r>
      <w:r w:rsidRPr="00BF1AE2">
        <w:rPr>
          <w:rFonts w:cs="Times New Roman"/>
          <w:lang w:val="nl-NL"/>
        </w:rPr>
        <w:fldChar w:fldCharType="begin"/>
      </w:r>
      <w:r w:rsidRPr="00BF1AE2">
        <w:rPr>
          <w:rFonts w:cs="Calibri"/>
        </w:rPr>
        <w:instrText>ADDIN EN.CITE &lt;EndNote&gt;&lt;Cite&gt;&lt;Author&gt;Coetzee&lt;/Author&gt;&lt;Year&gt;2020&lt;/Year&gt;&lt;RecNum&gt;8106&lt;/RecNum&gt;&lt;DisplayText&gt;&lt;style face="superscript"&gt;4&lt;/style&gt;&lt;/DisplayText&gt;&lt;record&gt;&lt;rec-number&gt;8106&lt;/rec-number&gt;&lt;foreign-keys&gt;&lt;key app="EN" db-id="xs0v9w9z9e9a2te9re8va926zefw2fet5avf" timestamp="1671594532"&gt;8106&lt;/key&gt;&lt;/foreign-keys&gt;&lt;ref-type name="Journal Article"&gt;17&lt;/ref-type&gt;&lt;contributors&gt;&lt;authors&gt;&lt;author&gt;Coetzee, M.&lt;/author&gt;&lt;/authors&gt;&lt;/contributors&gt;&lt;auth-address&gt;Wits Research Institute for Malaria, School of Pathology, Faculty of Health Sciences, University of the Witwatersrand, Johannesburg, South Africa. maureen.coetzee@wits.ac.za.&amp;#xD;Centre for Emerging Zoonotic &amp;amp; Parasitic Diseases, National Institute for Communicable Diseases, Johannesburg, South Africa. maureen.coetzee@wits.ac.za.&lt;/auth-address&gt;&lt;titles&gt;&lt;title&gt;Key to the females of Afrotropical Anopheles mosquitoes (Diptera: Culicidae)&lt;/title&gt;&lt;secondary-title&gt;Malar J&lt;/secondary-title&gt;&lt;alt-title&gt;Malaria journal&lt;/alt-title&gt;&lt;/titles&gt;&lt;periodical&gt;&lt;full-title&gt;Malaria Journal&lt;/full-title&gt;&lt;abbr-1&gt;Malar. J.&lt;/abbr-1&gt;&lt;abbr-2&gt;Malar J&lt;/abbr-2&gt;&lt;/periodical&gt;&lt;alt-periodical&gt;&lt;full-title&gt;Malaria Journal&lt;/full-title&gt;&lt;abbr-1&gt;Malar. J.&lt;/abbr-1&gt;&lt;abbr-2&gt;Malar J&lt;/abbr-2&gt;&lt;/alt-periodical&gt;&lt;pages&gt;70&lt;/pages&gt;&lt;volume&gt;19&lt;/volume&gt;&lt;number&gt;1&lt;/number&gt;&lt;edition&gt;2020/02/15&lt;/edition&gt;&lt;keywords&gt;&lt;keyword&gt;Africa&lt;/keyword&gt;&lt;keyword&gt;Animals&lt;/keyword&gt;&lt;keyword&gt;Anopheles/*classification&lt;/keyword&gt;&lt;keyword&gt;Female&lt;/keyword&gt;&lt;keyword&gt;Tropical Climate&lt;/keyword&gt;&lt;keyword&gt;Anopheles&lt;/keyword&gt;&lt;keyword&gt;Identification&lt;/keyword&gt;&lt;keyword&gt;Key&lt;/keyword&gt;&lt;keyword&gt;Morphology&lt;/keyword&gt;&lt;/keywords&gt;&lt;dates&gt;&lt;year&gt;2020&lt;/year&gt;&lt;pub-dates&gt;&lt;date&gt;Feb 13&lt;/date&gt;&lt;/pub-dates&gt;&lt;/dates&gt;&lt;isbn&gt;1475-2875&lt;/isbn&gt;&lt;accession-num&gt;32054502&lt;/accession-num&gt;&lt;urls&gt;&lt;/urls&gt;&lt;custom2&gt;PMC7020601&lt;/custom2&gt;&lt;electronic-resource-num&gt;10.1186/s12936-020-3144-9&lt;/electronic-resource-num&gt;&lt;remote-database-provider&gt;NLM&lt;/remote-database-provider&gt;&lt;language&gt;eng&lt;/language&gt;&lt;/record&gt;&lt;/Cite&gt;&lt;/EndNote&gt;</w:instrText>
      </w:r>
      <w:r w:rsidRPr="00BF1AE2">
        <w:rPr>
          <w:rFonts w:cs="Calibri"/>
        </w:rPr>
        <w:fldChar w:fldCharType="separate"/>
      </w:r>
      <w:r w:rsidRPr="00BF1AE2">
        <w:rPr>
          <w:rFonts w:cstheme="minorHAnsi"/>
          <w:vertAlign w:val="superscript"/>
          <w:lang w:val="nl-NL"/>
        </w:rPr>
        <w:t>4</w:t>
      </w:r>
      <w:r w:rsidRPr="00BF1AE2">
        <w:rPr>
          <w:rFonts w:cs="Calibri"/>
        </w:rPr>
        <w:fldChar w:fldCharType="end"/>
      </w:r>
      <w:r w:rsidRPr="00BF1AE2">
        <w:rPr>
          <w:rFonts w:cstheme="minorHAnsi"/>
        </w:rPr>
        <w:t xml:space="preserve">. </w:t>
      </w:r>
      <w:r w:rsidRPr="00BF1AE2">
        <w:rPr>
          <w:rFonts w:cstheme="minorHAnsi"/>
          <w:i/>
          <w:lang w:val="nl-NL"/>
        </w:rPr>
        <w:t>Anopheles</w:t>
      </w:r>
      <w:r w:rsidRPr="00BF1AE2">
        <w:rPr>
          <w:rFonts w:cstheme="minorHAnsi"/>
          <w:lang w:val="nl-NL"/>
        </w:rPr>
        <w:t xml:space="preserve"> mosquitoes were </w:t>
      </w:r>
      <w:r w:rsidRPr="00BF1AE2">
        <w:rPr>
          <w:rFonts w:cstheme="minorHAnsi"/>
        </w:rPr>
        <w:t>individually</w:t>
      </w:r>
      <w:r w:rsidRPr="00BF1AE2">
        <w:rPr>
          <w:rFonts w:cstheme="minorHAnsi"/>
          <w:lang w:val="nl-NL"/>
        </w:rPr>
        <w:t xml:space="preserve"> preserved in tubes that contained silica gel desiccant in zipped bags and transported to AHRI for further analysis. </w:t>
      </w:r>
      <w:r w:rsidRPr="00BF1AE2">
        <w:rPr>
          <w:rFonts w:cstheme="minorHAnsi"/>
        </w:rPr>
        <w:t xml:space="preserve">The global positioning system (GPS) coordinates of the households and immature and adult mosquito collection sites were recorded using GARMIN handheld GPS navigator (GARMIN GPSMAP 64S, Taiwan). </w:t>
      </w:r>
    </w:p>
    <w:p w14:paraId="5ED9CF2D" w14:textId="77777777" w:rsidR="00BF1AE2" w:rsidRPr="00BF1AE2" w:rsidRDefault="00BF1AE2" w:rsidP="00BF1AE2">
      <w:pPr>
        <w:shd w:val="clear" w:color="auto" w:fill="FFFFFF" w:themeFill="background1"/>
        <w:suppressAutoHyphens/>
        <w:spacing w:after="0" w:line="240" w:lineRule="auto"/>
        <w:jc w:val="both"/>
        <w:rPr>
          <w:rFonts w:cstheme="minorHAnsi"/>
        </w:rPr>
      </w:pPr>
    </w:p>
    <w:p w14:paraId="64EDE9AE" w14:textId="77777777" w:rsidR="00BF1AE2" w:rsidRPr="00BF1AE2" w:rsidRDefault="00BF1AE2" w:rsidP="00BF1AE2">
      <w:pPr>
        <w:suppressAutoHyphens/>
        <w:spacing w:after="0" w:line="240" w:lineRule="auto"/>
        <w:jc w:val="both"/>
        <w:rPr>
          <w:rFonts w:cstheme="minorHAnsi"/>
          <w:b/>
          <w:bCs/>
        </w:rPr>
      </w:pPr>
      <w:r w:rsidRPr="00BF1AE2">
        <w:rPr>
          <w:rFonts w:cstheme="minorHAnsi"/>
          <w:b/>
          <w:bCs/>
        </w:rPr>
        <w:t xml:space="preserve">Table S3. Immature </w:t>
      </w:r>
      <w:r w:rsidRPr="00BF1AE2">
        <w:rPr>
          <w:rFonts w:cstheme="minorHAnsi"/>
          <w:b/>
          <w:bCs/>
          <w:i/>
          <w:iCs/>
        </w:rPr>
        <w:t>Anopheles</w:t>
      </w:r>
      <w:r w:rsidRPr="00BF1AE2">
        <w:rPr>
          <w:rFonts w:cstheme="minorHAnsi"/>
          <w:b/>
          <w:bCs/>
        </w:rPr>
        <w:t xml:space="preserve"> mosquitoes collected during the case control study within 100 meter radius around the case and control households</w:t>
      </w:r>
    </w:p>
    <w:tbl>
      <w:tblPr>
        <w:tblW w:w="9529" w:type="dxa"/>
        <w:tblLayout w:type="fixed"/>
        <w:tblLook w:val="04A0" w:firstRow="1" w:lastRow="0" w:firstColumn="1" w:lastColumn="0" w:noHBand="0" w:noVBand="1"/>
      </w:tblPr>
      <w:tblGrid>
        <w:gridCol w:w="2265"/>
        <w:gridCol w:w="1932"/>
        <w:gridCol w:w="1326"/>
        <w:gridCol w:w="1325"/>
        <w:gridCol w:w="1359"/>
        <w:gridCol w:w="1322"/>
      </w:tblGrid>
      <w:tr w:rsidR="00BF1AE2" w:rsidRPr="00BF1AE2" w14:paraId="245DE440" w14:textId="77777777" w:rsidTr="000C4BC5">
        <w:trPr>
          <w:trHeight w:val="300"/>
        </w:trPr>
        <w:tc>
          <w:tcPr>
            <w:tcW w:w="2265" w:type="dxa"/>
            <w:tcBorders>
              <w:top w:val="single" w:sz="4" w:space="0" w:color="000000"/>
              <w:left w:val="single" w:sz="4" w:space="0" w:color="000000"/>
              <w:bottom w:val="single" w:sz="4" w:space="0" w:color="000000"/>
              <w:right w:val="single" w:sz="4" w:space="0" w:color="000000"/>
            </w:tcBorders>
            <w:shd w:val="clear" w:color="000000" w:fill="F2F2F2"/>
            <w:vAlign w:val="center"/>
          </w:tcPr>
          <w:p w14:paraId="162AAD7A" w14:textId="77777777" w:rsidR="00BF1AE2" w:rsidRPr="00BF1AE2" w:rsidRDefault="00BF1AE2" w:rsidP="00BF1AE2">
            <w:pPr>
              <w:widowControl w:val="0"/>
              <w:suppressAutoHyphens/>
              <w:spacing w:after="0" w:line="240" w:lineRule="auto"/>
              <w:jc w:val="center"/>
              <w:rPr>
                <w:rFonts w:eastAsia="Times New Roman" w:cstheme="minorHAnsi"/>
                <w:b/>
                <w:bCs/>
                <w:color w:val="000000"/>
              </w:rPr>
            </w:pPr>
            <w:r w:rsidRPr="00BF1AE2">
              <w:rPr>
                <w:rFonts w:eastAsia="Times New Roman" w:cstheme="minorHAnsi"/>
                <w:b/>
                <w:bCs/>
                <w:color w:val="000000"/>
              </w:rPr>
              <w:t>Habitat</w:t>
            </w:r>
          </w:p>
        </w:tc>
        <w:tc>
          <w:tcPr>
            <w:tcW w:w="1932" w:type="dxa"/>
            <w:tcBorders>
              <w:top w:val="single" w:sz="4" w:space="0" w:color="000000"/>
              <w:bottom w:val="single" w:sz="4" w:space="0" w:color="000000"/>
              <w:right w:val="single" w:sz="4" w:space="0" w:color="000000"/>
            </w:tcBorders>
            <w:shd w:val="clear" w:color="000000" w:fill="E7E6E6"/>
            <w:vAlign w:val="center"/>
          </w:tcPr>
          <w:p w14:paraId="7E4DDF0F" w14:textId="77777777" w:rsidR="00BF1AE2" w:rsidRPr="00BF1AE2" w:rsidRDefault="00BF1AE2" w:rsidP="00BF1AE2">
            <w:pPr>
              <w:widowControl w:val="0"/>
              <w:suppressAutoHyphens/>
              <w:spacing w:after="0" w:line="240" w:lineRule="auto"/>
              <w:jc w:val="center"/>
              <w:rPr>
                <w:rFonts w:eastAsia="Times New Roman" w:cstheme="minorHAnsi"/>
                <w:b/>
                <w:bCs/>
                <w:color w:val="000000"/>
              </w:rPr>
            </w:pPr>
            <w:r w:rsidRPr="00BF1AE2">
              <w:rPr>
                <w:rFonts w:eastAsia="Times New Roman" w:cstheme="minorHAnsi"/>
                <w:b/>
                <w:bCs/>
                <w:i/>
                <w:iCs/>
                <w:color w:val="000000"/>
              </w:rPr>
              <w:t>Anopheles</w:t>
            </w:r>
            <w:r w:rsidRPr="00BF1AE2">
              <w:rPr>
                <w:rFonts w:eastAsia="Times New Roman" w:cstheme="minorHAnsi"/>
                <w:b/>
                <w:bCs/>
                <w:color w:val="000000"/>
              </w:rPr>
              <w:t xml:space="preserve"> positive habitats, n/N</w:t>
            </w:r>
          </w:p>
        </w:tc>
        <w:tc>
          <w:tcPr>
            <w:tcW w:w="1326" w:type="dxa"/>
            <w:tcBorders>
              <w:top w:val="single" w:sz="4" w:space="0" w:color="000000"/>
              <w:bottom w:val="single" w:sz="4" w:space="0" w:color="000000"/>
              <w:right w:val="single" w:sz="4" w:space="0" w:color="000000"/>
            </w:tcBorders>
            <w:shd w:val="clear" w:color="000000" w:fill="F2F2F2"/>
            <w:vAlign w:val="center"/>
          </w:tcPr>
          <w:p w14:paraId="0C733611" w14:textId="77777777" w:rsidR="00BF1AE2" w:rsidRPr="00BF1AE2" w:rsidRDefault="00BF1AE2" w:rsidP="00BF1AE2">
            <w:pPr>
              <w:widowControl w:val="0"/>
              <w:suppressAutoHyphens/>
              <w:spacing w:after="0" w:line="240" w:lineRule="auto"/>
              <w:jc w:val="center"/>
              <w:rPr>
                <w:rFonts w:eastAsia="Times New Roman" w:cstheme="minorHAnsi"/>
                <w:b/>
                <w:bCs/>
                <w:i/>
                <w:iCs/>
                <w:color w:val="000000"/>
              </w:rPr>
            </w:pPr>
            <w:r w:rsidRPr="00BF1AE2">
              <w:rPr>
                <w:rFonts w:eastAsia="Times New Roman" w:cstheme="minorHAnsi"/>
                <w:b/>
                <w:bCs/>
                <w:i/>
                <w:iCs/>
                <w:color w:val="000000"/>
              </w:rPr>
              <w:t>An. stephensi</w:t>
            </w:r>
          </w:p>
        </w:tc>
        <w:tc>
          <w:tcPr>
            <w:tcW w:w="1325" w:type="dxa"/>
            <w:tcBorders>
              <w:top w:val="single" w:sz="4" w:space="0" w:color="000000"/>
              <w:bottom w:val="single" w:sz="4" w:space="0" w:color="000000"/>
              <w:right w:val="single" w:sz="4" w:space="0" w:color="000000"/>
            </w:tcBorders>
            <w:shd w:val="clear" w:color="000000" w:fill="F2F2F2"/>
            <w:vAlign w:val="center"/>
          </w:tcPr>
          <w:p w14:paraId="3AEDE824" w14:textId="77777777" w:rsidR="00BF1AE2" w:rsidRPr="00BF1AE2" w:rsidRDefault="00BF1AE2" w:rsidP="00BF1AE2">
            <w:pPr>
              <w:widowControl w:val="0"/>
              <w:suppressAutoHyphens/>
              <w:spacing w:after="0" w:line="240" w:lineRule="auto"/>
              <w:jc w:val="center"/>
              <w:rPr>
                <w:rFonts w:eastAsia="Times New Roman" w:cstheme="minorHAnsi"/>
                <w:b/>
                <w:bCs/>
                <w:i/>
                <w:iCs/>
                <w:color w:val="000000"/>
              </w:rPr>
            </w:pPr>
            <w:r w:rsidRPr="00BF1AE2">
              <w:rPr>
                <w:rFonts w:eastAsia="Times New Roman" w:cstheme="minorHAnsi"/>
                <w:b/>
                <w:bCs/>
                <w:i/>
                <w:iCs/>
                <w:color w:val="000000"/>
              </w:rPr>
              <w:t xml:space="preserve">An. gambiae </w:t>
            </w:r>
          </w:p>
        </w:tc>
        <w:tc>
          <w:tcPr>
            <w:tcW w:w="1359" w:type="dxa"/>
            <w:tcBorders>
              <w:top w:val="single" w:sz="4" w:space="0" w:color="000000"/>
              <w:bottom w:val="single" w:sz="4" w:space="0" w:color="000000"/>
              <w:right w:val="single" w:sz="4" w:space="0" w:color="000000"/>
            </w:tcBorders>
            <w:shd w:val="clear" w:color="000000" w:fill="F2F2F2"/>
            <w:vAlign w:val="center"/>
          </w:tcPr>
          <w:p w14:paraId="53EF8F3C" w14:textId="77777777" w:rsidR="00BF1AE2" w:rsidRPr="00BF1AE2" w:rsidRDefault="00BF1AE2" w:rsidP="00BF1AE2">
            <w:pPr>
              <w:widowControl w:val="0"/>
              <w:suppressAutoHyphens/>
              <w:spacing w:after="0" w:line="240" w:lineRule="auto"/>
              <w:jc w:val="center"/>
              <w:rPr>
                <w:rFonts w:eastAsia="Times New Roman" w:cstheme="minorHAnsi"/>
                <w:b/>
                <w:bCs/>
                <w:i/>
                <w:iCs/>
                <w:color w:val="000000"/>
              </w:rPr>
            </w:pPr>
            <w:r w:rsidRPr="00BF1AE2">
              <w:rPr>
                <w:rFonts w:eastAsia="Times New Roman" w:cstheme="minorHAnsi"/>
                <w:b/>
                <w:bCs/>
                <w:i/>
                <w:iCs/>
                <w:color w:val="000000"/>
              </w:rPr>
              <w:t xml:space="preserve">An. </w:t>
            </w:r>
            <w:proofErr w:type="spellStart"/>
            <w:r w:rsidRPr="00BF1AE2">
              <w:rPr>
                <w:rFonts w:eastAsia="Times New Roman" w:cstheme="minorHAnsi"/>
                <w:b/>
                <w:bCs/>
                <w:i/>
                <w:iCs/>
                <w:color w:val="000000"/>
              </w:rPr>
              <w:t>pretoriensis</w:t>
            </w:r>
            <w:proofErr w:type="spellEnd"/>
          </w:p>
        </w:tc>
        <w:tc>
          <w:tcPr>
            <w:tcW w:w="1322" w:type="dxa"/>
            <w:tcBorders>
              <w:top w:val="single" w:sz="4" w:space="0" w:color="000000"/>
              <w:bottom w:val="single" w:sz="4" w:space="0" w:color="000000"/>
              <w:right w:val="single" w:sz="4" w:space="0" w:color="000000"/>
            </w:tcBorders>
            <w:shd w:val="clear" w:color="000000" w:fill="F2F2F2"/>
            <w:vAlign w:val="center"/>
          </w:tcPr>
          <w:p w14:paraId="2856C8B1" w14:textId="77777777" w:rsidR="00BF1AE2" w:rsidRPr="00BF1AE2" w:rsidRDefault="00BF1AE2" w:rsidP="00BF1AE2">
            <w:pPr>
              <w:widowControl w:val="0"/>
              <w:suppressAutoHyphens/>
              <w:spacing w:after="0" w:line="240" w:lineRule="auto"/>
              <w:jc w:val="center"/>
              <w:rPr>
                <w:rFonts w:eastAsia="Times New Roman" w:cstheme="minorHAnsi"/>
                <w:b/>
                <w:bCs/>
                <w:i/>
                <w:iCs/>
                <w:color w:val="000000"/>
              </w:rPr>
            </w:pPr>
            <w:r w:rsidRPr="00BF1AE2">
              <w:rPr>
                <w:rFonts w:eastAsia="Times New Roman" w:cstheme="minorHAnsi"/>
                <w:b/>
                <w:bCs/>
                <w:i/>
                <w:iCs/>
                <w:color w:val="000000"/>
              </w:rPr>
              <w:t xml:space="preserve">An. </w:t>
            </w:r>
            <w:proofErr w:type="spellStart"/>
            <w:r w:rsidRPr="00BF1AE2">
              <w:rPr>
                <w:rFonts w:eastAsia="Times New Roman" w:cstheme="minorHAnsi"/>
                <w:b/>
                <w:bCs/>
                <w:i/>
                <w:iCs/>
                <w:color w:val="000000"/>
              </w:rPr>
              <w:t>Turkudi</w:t>
            </w:r>
            <w:proofErr w:type="spellEnd"/>
          </w:p>
        </w:tc>
      </w:tr>
      <w:tr w:rsidR="00BF1AE2" w:rsidRPr="00BF1AE2" w14:paraId="3DD56631" w14:textId="77777777" w:rsidTr="000C4BC5">
        <w:trPr>
          <w:trHeight w:val="149"/>
        </w:trPr>
        <w:tc>
          <w:tcPr>
            <w:tcW w:w="2265" w:type="dxa"/>
            <w:tcBorders>
              <w:left w:val="single" w:sz="4" w:space="0" w:color="000000"/>
              <w:bottom w:val="single" w:sz="4" w:space="0" w:color="000000"/>
              <w:right w:val="single" w:sz="4" w:space="0" w:color="000000"/>
            </w:tcBorders>
            <w:shd w:val="clear" w:color="auto" w:fill="auto"/>
            <w:vAlign w:val="center"/>
          </w:tcPr>
          <w:p w14:paraId="410A3CB3" w14:textId="77777777" w:rsidR="00BF1AE2" w:rsidRPr="00BF1AE2" w:rsidRDefault="00BF1AE2" w:rsidP="00BF1AE2">
            <w:pPr>
              <w:widowControl w:val="0"/>
              <w:suppressAutoHyphens/>
              <w:spacing w:after="0" w:line="240" w:lineRule="auto"/>
              <w:rPr>
                <w:rFonts w:eastAsia="Times New Roman" w:cstheme="minorHAnsi"/>
                <w:color w:val="000000"/>
              </w:rPr>
            </w:pPr>
            <w:r w:rsidRPr="00BF1AE2">
              <w:rPr>
                <w:rFonts w:eastAsia="Times New Roman" w:cstheme="minorHAnsi"/>
                <w:color w:val="000000"/>
              </w:rPr>
              <w:t>Cemented cistern</w:t>
            </w:r>
          </w:p>
        </w:tc>
        <w:tc>
          <w:tcPr>
            <w:tcW w:w="1932" w:type="dxa"/>
            <w:tcBorders>
              <w:bottom w:val="single" w:sz="4" w:space="0" w:color="000000"/>
              <w:right w:val="single" w:sz="4" w:space="0" w:color="000000"/>
            </w:tcBorders>
            <w:shd w:val="clear" w:color="auto" w:fill="auto"/>
            <w:vAlign w:val="center"/>
          </w:tcPr>
          <w:p w14:paraId="40C76383" w14:textId="77777777" w:rsidR="00BF1AE2" w:rsidRPr="00BF1AE2" w:rsidRDefault="00BF1AE2" w:rsidP="00BF1AE2">
            <w:pPr>
              <w:widowControl w:val="0"/>
              <w:suppressAutoHyphens/>
              <w:spacing w:after="0" w:line="240" w:lineRule="auto"/>
              <w:jc w:val="right"/>
              <w:rPr>
                <w:rFonts w:eastAsia="Times New Roman" w:cstheme="minorHAnsi"/>
                <w:color w:val="000000"/>
              </w:rPr>
            </w:pPr>
            <w:r>
              <w:rPr>
                <w:rFonts w:eastAsia="Times New Roman" w:cstheme="minorHAnsi"/>
                <w:color w:val="000000"/>
              </w:rPr>
              <w:t>1/4</w:t>
            </w:r>
          </w:p>
        </w:tc>
        <w:tc>
          <w:tcPr>
            <w:tcW w:w="1326" w:type="dxa"/>
            <w:tcBorders>
              <w:bottom w:val="single" w:sz="4" w:space="0" w:color="000000"/>
              <w:right w:val="single" w:sz="4" w:space="0" w:color="000000"/>
            </w:tcBorders>
            <w:shd w:val="clear" w:color="auto" w:fill="auto"/>
            <w:vAlign w:val="center"/>
          </w:tcPr>
          <w:p w14:paraId="3C41732E" w14:textId="77777777" w:rsidR="00BF1AE2" w:rsidRPr="00BF1AE2" w:rsidRDefault="00BF1AE2" w:rsidP="00BF1AE2">
            <w:pPr>
              <w:widowControl w:val="0"/>
              <w:suppressAutoHyphens/>
              <w:spacing w:after="0" w:line="240" w:lineRule="auto"/>
              <w:jc w:val="center"/>
              <w:rPr>
                <w:rFonts w:eastAsia="Times New Roman" w:cstheme="minorHAnsi"/>
                <w:color w:val="000000"/>
              </w:rPr>
            </w:pPr>
            <w:r w:rsidRPr="00BF1AE2">
              <w:rPr>
                <w:rFonts w:eastAsia="Times New Roman" w:cstheme="minorHAnsi"/>
                <w:color w:val="000000"/>
              </w:rPr>
              <w:t>23</w:t>
            </w:r>
          </w:p>
        </w:tc>
        <w:tc>
          <w:tcPr>
            <w:tcW w:w="1325" w:type="dxa"/>
            <w:tcBorders>
              <w:bottom w:val="single" w:sz="4" w:space="0" w:color="000000"/>
              <w:right w:val="single" w:sz="4" w:space="0" w:color="000000"/>
            </w:tcBorders>
            <w:shd w:val="clear" w:color="auto" w:fill="auto"/>
            <w:vAlign w:val="center"/>
          </w:tcPr>
          <w:p w14:paraId="35EC7657" w14:textId="77777777" w:rsidR="00BF1AE2" w:rsidRPr="00BF1AE2" w:rsidRDefault="00BF1AE2" w:rsidP="00BF1AE2">
            <w:pPr>
              <w:widowControl w:val="0"/>
              <w:suppressAutoHyphens/>
              <w:spacing w:after="0" w:line="240" w:lineRule="auto"/>
              <w:jc w:val="center"/>
              <w:rPr>
                <w:rFonts w:eastAsia="Times New Roman" w:cstheme="minorHAnsi"/>
                <w:color w:val="000000"/>
              </w:rPr>
            </w:pPr>
            <w:r w:rsidRPr="00BF1AE2">
              <w:rPr>
                <w:rFonts w:eastAsia="Times New Roman" w:cstheme="minorHAnsi"/>
                <w:color w:val="000000"/>
              </w:rPr>
              <w:t>0</w:t>
            </w:r>
          </w:p>
        </w:tc>
        <w:tc>
          <w:tcPr>
            <w:tcW w:w="1359" w:type="dxa"/>
            <w:tcBorders>
              <w:bottom w:val="single" w:sz="4" w:space="0" w:color="000000"/>
              <w:right w:val="single" w:sz="4" w:space="0" w:color="000000"/>
            </w:tcBorders>
            <w:shd w:val="clear" w:color="auto" w:fill="auto"/>
            <w:vAlign w:val="center"/>
          </w:tcPr>
          <w:p w14:paraId="4B84BE26" w14:textId="77777777" w:rsidR="00BF1AE2" w:rsidRPr="00BF1AE2" w:rsidRDefault="00BF1AE2" w:rsidP="00BF1AE2">
            <w:pPr>
              <w:widowControl w:val="0"/>
              <w:suppressAutoHyphens/>
              <w:spacing w:after="0" w:line="240" w:lineRule="auto"/>
              <w:jc w:val="center"/>
              <w:rPr>
                <w:rFonts w:eastAsia="Times New Roman" w:cstheme="minorHAnsi"/>
                <w:color w:val="000000"/>
              </w:rPr>
            </w:pPr>
            <w:r w:rsidRPr="00BF1AE2">
              <w:rPr>
                <w:rFonts w:eastAsia="Times New Roman" w:cstheme="minorHAnsi"/>
                <w:color w:val="000000"/>
              </w:rPr>
              <w:t>0</w:t>
            </w:r>
          </w:p>
        </w:tc>
        <w:tc>
          <w:tcPr>
            <w:tcW w:w="1322" w:type="dxa"/>
            <w:tcBorders>
              <w:bottom w:val="single" w:sz="4" w:space="0" w:color="000000"/>
              <w:right w:val="single" w:sz="4" w:space="0" w:color="000000"/>
            </w:tcBorders>
            <w:shd w:val="clear" w:color="auto" w:fill="auto"/>
            <w:vAlign w:val="center"/>
          </w:tcPr>
          <w:p w14:paraId="3E7F89C7" w14:textId="77777777" w:rsidR="00BF1AE2" w:rsidRPr="00BF1AE2" w:rsidRDefault="00BF1AE2" w:rsidP="00BF1AE2">
            <w:pPr>
              <w:widowControl w:val="0"/>
              <w:suppressAutoHyphens/>
              <w:spacing w:after="0" w:line="240" w:lineRule="auto"/>
              <w:jc w:val="center"/>
              <w:rPr>
                <w:rFonts w:eastAsia="Times New Roman" w:cstheme="minorHAnsi"/>
                <w:color w:val="000000"/>
              </w:rPr>
            </w:pPr>
            <w:r w:rsidRPr="00BF1AE2">
              <w:rPr>
                <w:rFonts w:eastAsia="Times New Roman" w:cstheme="minorHAnsi"/>
                <w:color w:val="000000"/>
              </w:rPr>
              <w:t>0</w:t>
            </w:r>
          </w:p>
        </w:tc>
      </w:tr>
      <w:tr w:rsidR="00BF1AE2" w:rsidRPr="00BF1AE2" w14:paraId="7E6B546B" w14:textId="77777777" w:rsidTr="000C4BC5">
        <w:trPr>
          <w:trHeight w:val="149"/>
        </w:trPr>
        <w:tc>
          <w:tcPr>
            <w:tcW w:w="2265" w:type="dxa"/>
            <w:tcBorders>
              <w:left w:val="single" w:sz="4" w:space="0" w:color="000000"/>
              <w:bottom w:val="single" w:sz="4" w:space="0" w:color="000000"/>
              <w:right w:val="single" w:sz="4" w:space="0" w:color="000000"/>
            </w:tcBorders>
            <w:shd w:val="clear" w:color="auto" w:fill="auto"/>
            <w:vAlign w:val="center"/>
          </w:tcPr>
          <w:p w14:paraId="3EBE49E8" w14:textId="77777777" w:rsidR="00BF1AE2" w:rsidRPr="00BF1AE2" w:rsidRDefault="00BF1AE2" w:rsidP="00BF1AE2">
            <w:pPr>
              <w:widowControl w:val="0"/>
              <w:suppressAutoHyphens/>
              <w:spacing w:after="0" w:line="240" w:lineRule="auto"/>
              <w:rPr>
                <w:rFonts w:eastAsia="Times New Roman" w:cstheme="minorHAnsi"/>
                <w:color w:val="000000"/>
              </w:rPr>
            </w:pPr>
            <w:r w:rsidRPr="00BF1AE2">
              <w:rPr>
                <w:rFonts w:eastAsia="Times New Roman" w:cstheme="minorHAnsi"/>
                <w:color w:val="000000"/>
              </w:rPr>
              <w:t>Metal barrel</w:t>
            </w:r>
          </w:p>
        </w:tc>
        <w:tc>
          <w:tcPr>
            <w:tcW w:w="1932" w:type="dxa"/>
            <w:tcBorders>
              <w:bottom w:val="single" w:sz="4" w:space="0" w:color="000000"/>
              <w:right w:val="single" w:sz="4" w:space="0" w:color="000000"/>
            </w:tcBorders>
            <w:shd w:val="clear" w:color="auto" w:fill="auto"/>
            <w:vAlign w:val="center"/>
          </w:tcPr>
          <w:p w14:paraId="25261689" w14:textId="77777777" w:rsidR="00BF1AE2" w:rsidRPr="00BF1AE2" w:rsidRDefault="00BF1AE2" w:rsidP="00BF1AE2">
            <w:pPr>
              <w:widowControl w:val="0"/>
              <w:suppressAutoHyphens/>
              <w:spacing w:after="0" w:line="240" w:lineRule="auto"/>
              <w:jc w:val="right"/>
              <w:rPr>
                <w:rFonts w:eastAsia="Times New Roman" w:cstheme="minorHAnsi"/>
                <w:color w:val="000000"/>
              </w:rPr>
            </w:pPr>
            <w:r w:rsidRPr="00BF1AE2">
              <w:rPr>
                <w:rFonts w:eastAsia="Times New Roman" w:cstheme="minorHAnsi"/>
                <w:color w:val="000000"/>
              </w:rPr>
              <w:t>1/86</w:t>
            </w:r>
          </w:p>
        </w:tc>
        <w:tc>
          <w:tcPr>
            <w:tcW w:w="1326" w:type="dxa"/>
            <w:tcBorders>
              <w:bottom w:val="single" w:sz="4" w:space="0" w:color="000000"/>
              <w:right w:val="single" w:sz="4" w:space="0" w:color="000000"/>
            </w:tcBorders>
            <w:shd w:val="clear" w:color="auto" w:fill="auto"/>
            <w:vAlign w:val="center"/>
          </w:tcPr>
          <w:p w14:paraId="413B43A9" w14:textId="77777777" w:rsidR="00BF1AE2" w:rsidRPr="00BF1AE2" w:rsidRDefault="00BF1AE2" w:rsidP="00BF1AE2">
            <w:pPr>
              <w:widowControl w:val="0"/>
              <w:suppressAutoHyphens/>
              <w:spacing w:after="0" w:line="240" w:lineRule="auto"/>
              <w:jc w:val="center"/>
              <w:rPr>
                <w:rFonts w:eastAsia="Times New Roman" w:cstheme="minorHAnsi"/>
                <w:color w:val="000000"/>
              </w:rPr>
            </w:pPr>
            <w:r w:rsidRPr="00BF1AE2">
              <w:rPr>
                <w:rFonts w:eastAsia="Times New Roman" w:cstheme="minorHAnsi"/>
                <w:color w:val="000000"/>
              </w:rPr>
              <w:t>6</w:t>
            </w:r>
          </w:p>
        </w:tc>
        <w:tc>
          <w:tcPr>
            <w:tcW w:w="1325" w:type="dxa"/>
            <w:tcBorders>
              <w:bottom w:val="single" w:sz="4" w:space="0" w:color="000000"/>
              <w:right w:val="single" w:sz="4" w:space="0" w:color="000000"/>
            </w:tcBorders>
            <w:shd w:val="clear" w:color="auto" w:fill="auto"/>
            <w:vAlign w:val="center"/>
          </w:tcPr>
          <w:p w14:paraId="199F8596" w14:textId="77777777" w:rsidR="00BF1AE2" w:rsidRPr="00BF1AE2" w:rsidRDefault="00BF1AE2" w:rsidP="00BF1AE2">
            <w:pPr>
              <w:widowControl w:val="0"/>
              <w:suppressAutoHyphens/>
              <w:spacing w:after="0" w:line="240" w:lineRule="auto"/>
              <w:jc w:val="center"/>
              <w:rPr>
                <w:rFonts w:eastAsia="Times New Roman" w:cstheme="minorHAnsi"/>
                <w:color w:val="000000"/>
              </w:rPr>
            </w:pPr>
            <w:r w:rsidRPr="00BF1AE2">
              <w:rPr>
                <w:rFonts w:eastAsia="Times New Roman" w:cstheme="minorHAnsi"/>
                <w:color w:val="000000"/>
              </w:rPr>
              <w:t>0</w:t>
            </w:r>
          </w:p>
        </w:tc>
        <w:tc>
          <w:tcPr>
            <w:tcW w:w="1359" w:type="dxa"/>
            <w:tcBorders>
              <w:bottom w:val="single" w:sz="4" w:space="0" w:color="000000"/>
              <w:right w:val="single" w:sz="4" w:space="0" w:color="000000"/>
            </w:tcBorders>
            <w:shd w:val="clear" w:color="auto" w:fill="auto"/>
            <w:vAlign w:val="center"/>
          </w:tcPr>
          <w:p w14:paraId="17D48125" w14:textId="77777777" w:rsidR="00BF1AE2" w:rsidRPr="00BF1AE2" w:rsidRDefault="00BF1AE2" w:rsidP="00BF1AE2">
            <w:pPr>
              <w:widowControl w:val="0"/>
              <w:suppressAutoHyphens/>
              <w:spacing w:after="0" w:line="240" w:lineRule="auto"/>
              <w:jc w:val="center"/>
              <w:rPr>
                <w:rFonts w:eastAsia="Times New Roman" w:cstheme="minorHAnsi"/>
                <w:color w:val="000000"/>
              </w:rPr>
            </w:pPr>
            <w:r w:rsidRPr="00BF1AE2">
              <w:rPr>
                <w:rFonts w:eastAsia="Times New Roman" w:cstheme="minorHAnsi"/>
                <w:color w:val="000000"/>
              </w:rPr>
              <w:t>0</w:t>
            </w:r>
          </w:p>
        </w:tc>
        <w:tc>
          <w:tcPr>
            <w:tcW w:w="1322" w:type="dxa"/>
            <w:tcBorders>
              <w:bottom w:val="single" w:sz="4" w:space="0" w:color="000000"/>
              <w:right w:val="single" w:sz="4" w:space="0" w:color="000000"/>
            </w:tcBorders>
            <w:shd w:val="clear" w:color="auto" w:fill="auto"/>
            <w:vAlign w:val="center"/>
          </w:tcPr>
          <w:p w14:paraId="4E6B1E04" w14:textId="77777777" w:rsidR="00BF1AE2" w:rsidRPr="00BF1AE2" w:rsidRDefault="00BF1AE2" w:rsidP="00BF1AE2">
            <w:pPr>
              <w:widowControl w:val="0"/>
              <w:suppressAutoHyphens/>
              <w:spacing w:after="0" w:line="240" w:lineRule="auto"/>
              <w:jc w:val="center"/>
              <w:rPr>
                <w:rFonts w:eastAsia="Times New Roman" w:cstheme="minorHAnsi"/>
                <w:color w:val="000000"/>
              </w:rPr>
            </w:pPr>
            <w:r w:rsidRPr="00BF1AE2">
              <w:rPr>
                <w:rFonts w:eastAsia="Times New Roman" w:cstheme="minorHAnsi"/>
                <w:color w:val="000000"/>
              </w:rPr>
              <w:t>0</w:t>
            </w:r>
          </w:p>
        </w:tc>
      </w:tr>
      <w:tr w:rsidR="00BF1AE2" w:rsidRPr="00BF1AE2" w14:paraId="336B91ED" w14:textId="77777777" w:rsidTr="000C4BC5">
        <w:trPr>
          <w:trHeight w:val="149"/>
        </w:trPr>
        <w:tc>
          <w:tcPr>
            <w:tcW w:w="2265" w:type="dxa"/>
            <w:tcBorders>
              <w:left w:val="single" w:sz="4" w:space="0" w:color="000000"/>
              <w:bottom w:val="single" w:sz="4" w:space="0" w:color="000000"/>
              <w:right w:val="single" w:sz="4" w:space="0" w:color="000000"/>
            </w:tcBorders>
            <w:shd w:val="clear" w:color="auto" w:fill="auto"/>
            <w:vAlign w:val="center"/>
          </w:tcPr>
          <w:p w14:paraId="76928C52" w14:textId="77777777" w:rsidR="00BF1AE2" w:rsidRPr="00BF1AE2" w:rsidRDefault="00BF1AE2" w:rsidP="00BF1AE2">
            <w:pPr>
              <w:widowControl w:val="0"/>
              <w:suppressAutoHyphens/>
              <w:spacing w:after="0" w:line="240" w:lineRule="auto"/>
              <w:rPr>
                <w:rFonts w:eastAsia="Times New Roman" w:cstheme="minorHAnsi"/>
                <w:color w:val="000000"/>
              </w:rPr>
            </w:pPr>
            <w:r w:rsidRPr="00BF1AE2">
              <w:rPr>
                <w:rFonts w:eastAsia="Times New Roman" w:cstheme="minorHAnsi"/>
                <w:color w:val="000000"/>
              </w:rPr>
              <w:t>Plastic Drum</w:t>
            </w:r>
          </w:p>
        </w:tc>
        <w:tc>
          <w:tcPr>
            <w:tcW w:w="1932" w:type="dxa"/>
            <w:tcBorders>
              <w:bottom w:val="single" w:sz="4" w:space="0" w:color="000000"/>
              <w:right w:val="single" w:sz="4" w:space="0" w:color="000000"/>
            </w:tcBorders>
            <w:shd w:val="clear" w:color="auto" w:fill="auto"/>
            <w:vAlign w:val="center"/>
          </w:tcPr>
          <w:p w14:paraId="6F1E24F1" w14:textId="77777777" w:rsidR="00BF1AE2" w:rsidRPr="00BF1AE2" w:rsidRDefault="00BF1AE2" w:rsidP="00BF1AE2">
            <w:pPr>
              <w:widowControl w:val="0"/>
              <w:suppressAutoHyphens/>
              <w:spacing w:after="0" w:line="240" w:lineRule="auto"/>
              <w:jc w:val="right"/>
              <w:rPr>
                <w:rFonts w:eastAsia="Times New Roman" w:cstheme="minorHAnsi"/>
                <w:color w:val="000000"/>
              </w:rPr>
            </w:pPr>
            <w:r w:rsidRPr="00BF1AE2">
              <w:rPr>
                <w:rFonts w:eastAsia="Times New Roman" w:cstheme="minorHAnsi"/>
                <w:color w:val="000000"/>
              </w:rPr>
              <w:t>1/27</w:t>
            </w:r>
          </w:p>
        </w:tc>
        <w:tc>
          <w:tcPr>
            <w:tcW w:w="1326" w:type="dxa"/>
            <w:tcBorders>
              <w:bottom w:val="single" w:sz="4" w:space="0" w:color="000000"/>
              <w:right w:val="single" w:sz="4" w:space="0" w:color="000000"/>
            </w:tcBorders>
            <w:shd w:val="clear" w:color="auto" w:fill="auto"/>
            <w:vAlign w:val="center"/>
          </w:tcPr>
          <w:p w14:paraId="727C14D4" w14:textId="77777777" w:rsidR="00BF1AE2" w:rsidRPr="00BF1AE2" w:rsidRDefault="00BF1AE2" w:rsidP="00BF1AE2">
            <w:pPr>
              <w:widowControl w:val="0"/>
              <w:suppressAutoHyphens/>
              <w:spacing w:after="0" w:line="240" w:lineRule="auto"/>
              <w:jc w:val="center"/>
              <w:rPr>
                <w:rFonts w:eastAsia="Times New Roman" w:cstheme="minorHAnsi"/>
                <w:color w:val="000000"/>
              </w:rPr>
            </w:pPr>
            <w:r w:rsidRPr="00BF1AE2">
              <w:rPr>
                <w:rFonts w:eastAsia="Times New Roman" w:cstheme="minorHAnsi"/>
                <w:color w:val="000000"/>
              </w:rPr>
              <w:t>16</w:t>
            </w:r>
          </w:p>
        </w:tc>
        <w:tc>
          <w:tcPr>
            <w:tcW w:w="1325" w:type="dxa"/>
            <w:tcBorders>
              <w:bottom w:val="single" w:sz="4" w:space="0" w:color="000000"/>
              <w:right w:val="single" w:sz="4" w:space="0" w:color="000000"/>
            </w:tcBorders>
            <w:shd w:val="clear" w:color="auto" w:fill="auto"/>
            <w:vAlign w:val="center"/>
          </w:tcPr>
          <w:p w14:paraId="1D37FCC8" w14:textId="77777777" w:rsidR="00BF1AE2" w:rsidRPr="00BF1AE2" w:rsidRDefault="00BF1AE2" w:rsidP="00BF1AE2">
            <w:pPr>
              <w:widowControl w:val="0"/>
              <w:suppressAutoHyphens/>
              <w:spacing w:after="0" w:line="240" w:lineRule="auto"/>
              <w:jc w:val="center"/>
              <w:rPr>
                <w:rFonts w:eastAsia="Times New Roman" w:cstheme="minorHAnsi"/>
                <w:color w:val="000000"/>
              </w:rPr>
            </w:pPr>
            <w:r w:rsidRPr="00BF1AE2">
              <w:rPr>
                <w:rFonts w:eastAsia="Times New Roman" w:cstheme="minorHAnsi"/>
                <w:color w:val="000000"/>
              </w:rPr>
              <w:t>0</w:t>
            </w:r>
          </w:p>
        </w:tc>
        <w:tc>
          <w:tcPr>
            <w:tcW w:w="1359" w:type="dxa"/>
            <w:tcBorders>
              <w:bottom w:val="single" w:sz="4" w:space="0" w:color="000000"/>
              <w:right w:val="single" w:sz="4" w:space="0" w:color="000000"/>
            </w:tcBorders>
            <w:shd w:val="clear" w:color="auto" w:fill="auto"/>
            <w:vAlign w:val="center"/>
          </w:tcPr>
          <w:p w14:paraId="07E95090" w14:textId="77777777" w:rsidR="00BF1AE2" w:rsidRPr="00BF1AE2" w:rsidRDefault="00BF1AE2" w:rsidP="00BF1AE2">
            <w:pPr>
              <w:widowControl w:val="0"/>
              <w:suppressAutoHyphens/>
              <w:spacing w:after="0" w:line="240" w:lineRule="auto"/>
              <w:jc w:val="center"/>
              <w:rPr>
                <w:rFonts w:eastAsia="Times New Roman" w:cstheme="minorHAnsi"/>
                <w:color w:val="000000"/>
              </w:rPr>
            </w:pPr>
            <w:r w:rsidRPr="00BF1AE2">
              <w:rPr>
                <w:rFonts w:eastAsia="Times New Roman" w:cstheme="minorHAnsi"/>
                <w:color w:val="000000"/>
              </w:rPr>
              <w:t>0</w:t>
            </w:r>
          </w:p>
        </w:tc>
        <w:tc>
          <w:tcPr>
            <w:tcW w:w="1322" w:type="dxa"/>
            <w:tcBorders>
              <w:bottom w:val="single" w:sz="4" w:space="0" w:color="000000"/>
              <w:right w:val="single" w:sz="4" w:space="0" w:color="000000"/>
            </w:tcBorders>
            <w:shd w:val="clear" w:color="auto" w:fill="auto"/>
            <w:vAlign w:val="center"/>
          </w:tcPr>
          <w:p w14:paraId="1CC457DE" w14:textId="77777777" w:rsidR="00BF1AE2" w:rsidRPr="00BF1AE2" w:rsidRDefault="00BF1AE2" w:rsidP="00BF1AE2">
            <w:pPr>
              <w:widowControl w:val="0"/>
              <w:suppressAutoHyphens/>
              <w:spacing w:after="0" w:line="240" w:lineRule="auto"/>
              <w:jc w:val="center"/>
              <w:rPr>
                <w:rFonts w:eastAsia="Times New Roman" w:cstheme="minorHAnsi"/>
                <w:color w:val="000000"/>
              </w:rPr>
            </w:pPr>
            <w:r w:rsidRPr="00BF1AE2">
              <w:rPr>
                <w:rFonts w:eastAsia="Times New Roman" w:cstheme="minorHAnsi"/>
                <w:color w:val="000000"/>
              </w:rPr>
              <w:t>0</w:t>
            </w:r>
          </w:p>
        </w:tc>
      </w:tr>
      <w:tr w:rsidR="00BF1AE2" w:rsidRPr="00BF1AE2" w14:paraId="31789A06" w14:textId="77777777" w:rsidTr="000C4BC5">
        <w:trPr>
          <w:trHeight w:val="149"/>
        </w:trPr>
        <w:tc>
          <w:tcPr>
            <w:tcW w:w="2265" w:type="dxa"/>
            <w:tcBorders>
              <w:left w:val="single" w:sz="4" w:space="0" w:color="000000"/>
              <w:bottom w:val="single" w:sz="4" w:space="0" w:color="000000"/>
              <w:right w:val="single" w:sz="4" w:space="0" w:color="000000"/>
            </w:tcBorders>
            <w:shd w:val="clear" w:color="auto" w:fill="auto"/>
            <w:vAlign w:val="center"/>
          </w:tcPr>
          <w:p w14:paraId="40CA065E" w14:textId="77777777" w:rsidR="00BF1AE2" w:rsidRPr="00BF1AE2" w:rsidRDefault="00BF1AE2" w:rsidP="00BF1AE2">
            <w:pPr>
              <w:widowControl w:val="0"/>
              <w:suppressAutoHyphens/>
              <w:spacing w:after="0" w:line="240" w:lineRule="auto"/>
              <w:rPr>
                <w:rFonts w:eastAsia="Times New Roman" w:cstheme="minorHAnsi"/>
                <w:color w:val="000000"/>
              </w:rPr>
            </w:pPr>
            <w:r w:rsidRPr="00BF1AE2">
              <w:rPr>
                <w:rFonts w:eastAsia="Times New Roman" w:cstheme="minorHAnsi"/>
                <w:color w:val="000000"/>
              </w:rPr>
              <w:t>Plastic barrel</w:t>
            </w:r>
          </w:p>
        </w:tc>
        <w:tc>
          <w:tcPr>
            <w:tcW w:w="1932" w:type="dxa"/>
            <w:tcBorders>
              <w:bottom w:val="single" w:sz="4" w:space="0" w:color="000000"/>
              <w:right w:val="single" w:sz="4" w:space="0" w:color="000000"/>
            </w:tcBorders>
            <w:shd w:val="clear" w:color="auto" w:fill="auto"/>
            <w:vAlign w:val="center"/>
          </w:tcPr>
          <w:p w14:paraId="216312C0" w14:textId="77777777" w:rsidR="00BF1AE2" w:rsidRPr="00BF1AE2" w:rsidRDefault="00BF1AE2" w:rsidP="00BF1AE2">
            <w:pPr>
              <w:widowControl w:val="0"/>
              <w:suppressAutoHyphens/>
              <w:spacing w:after="0" w:line="240" w:lineRule="auto"/>
              <w:jc w:val="right"/>
              <w:rPr>
                <w:rFonts w:eastAsia="Times New Roman" w:cstheme="minorHAnsi"/>
                <w:color w:val="000000"/>
              </w:rPr>
            </w:pPr>
            <w:r w:rsidRPr="00BF1AE2">
              <w:rPr>
                <w:rFonts w:eastAsia="Times New Roman" w:cstheme="minorHAnsi"/>
                <w:color w:val="000000"/>
              </w:rPr>
              <w:t>12/238</w:t>
            </w:r>
          </w:p>
        </w:tc>
        <w:tc>
          <w:tcPr>
            <w:tcW w:w="1326" w:type="dxa"/>
            <w:tcBorders>
              <w:bottom w:val="single" w:sz="4" w:space="0" w:color="000000"/>
              <w:right w:val="single" w:sz="4" w:space="0" w:color="000000"/>
            </w:tcBorders>
            <w:shd w:val="clear" w:color="auto" w:fill="auto"/>
            <w:vAlign w:val="center"/>
          </w:tcPr>
          <w:p w14:paraId="70D317FA" w14:textId="77777777" w:rsidR="00BF1AE2" w:rsidRPr="00BF1AE2" w:rsidRDefault="00BF1AE2" w:rsidP="00BF1AE2">
            <w:pPr>
              <w:widowControl w:val="0"/>
              <w:suppressAutoHyphens/>
              <w:spacing w:after="0" w:line="240" w:lineRule="auto"/>
              <w:jc w:val="center"/>
              <w:rPr>
                <w:rFonts w:eastAsia="Times New Roman" w:cstheme="minorHAnsi"/>
                <w:color w:val="000000"/>
              </w:rPr>
            </w:pPr>
            <w:r w:rsidRPr="00BF1AE2">
              <w:rPr>
                <w:rFonts w:eastAsia="Times New Roman" w:cstheme="minorHAnsi"/>
                <w:color w:val="000000"/>
              </w:rPr>
              <w:t>230</w:t>
            </w:r>
          </w:p>
        </w:tc>
        <w:tc>
          <w:tcPr>
            <w:tcW w:w="1325" w:type="dxa"/>
            <w:tcBorders>
              <w:bottom w:val="single" w:sz="4" w:space="0" w:color="000000"/>
              <w:right w:val="single" w:sz="4" w:space="0" w:color="000000"/>
            </w:tcBorders>
            <w:shd w:val="clear" w:color="auto" w:fill="auto"/>
            <w:vAlign w:val="center"/>
          </w:tcPr>
          <w:p w14:paraId="6D4BD5EB" w14:textId="77777777" w:rsidR="00BF1AE2" w:rsidRPr="00BF1AE2" w:rsidRDefault="00BF1AE2" w:rsidP="00BF1AE2">
            <w:pPr>
              <w:widowControl w:val="0"/>
              <w:suppressAutoHyphens/>
              <w:spacing w:after="0" w:line="240" w:lineRule="auto"/>
              <w:jc w:val="center"/>
              <w:rPr>
                <w:rFonts w:eastAsia="Times New Roman" w:cstheme="minorHAnsi"/>
                <w:color w:val="000000"/>
              </w:rPr>
            </w:pPr>
            <w:r w:rsidRPr="00BF1AE2">
              <w:rPr>
                <w:rFonts w:eastAsia="Times New Roman" w:cstheme="minorHAnsi"/>
                <w:color w:val="000000"/>
              </w:rPr>
              <w:t>0</w:t>
            </w:r>
          </w:p>
        </w:tc>
        <w:tc>
          <w:tcPr>
            <w:tcW w:w="1359" w:type="dxa"/>
            <w:tcBorders>
              <w:bottom w:val="single" w:sz="4" w:space="0" w:color="000000"/>
              <w:right w:val="single" w:sz="4" w:space="0" w:color="000000"/>
            </w:tcBorders>
            <w:shd w:val="clear" w:color="auto" w:fill="auto"/>
            <w:vAlign w:val="center"/>
          </w:tcPr>
          <w:p w14:paraId="115A7B34" w14:textId="77777777" w:rsidR="00BF1AE2" w:rsidRPr="00BF1AE2" w:rsidRDefault="00BF1AE2" w:rsidP="00BF1AE2">
            <w:pPr>
              <w:widowControl w:val="0"/>
              <w:suppressAutoHyphens/>
              <w:spacing w:after="0" w:line="240" w:lineRule="auto"/>
              <w:jc w:val="center"/>
              <w:rPr>
                <w:rFonts w:eastAsia="Times New Roman" w:cstheme="minorHAnsi"/>
                <w:color w:val="000000"/>
              </w:rPr>
            </w:pPr>
            <w:r w:rsidRPr="00BF1AE2">
              <w:rPr>
                <w:rFonts w:eastAsia="Times New Roman" w:cstheme="minorHAnsi"/>
                <w:color w:val="000000"/>
              </w:rPr>
              <w:t>0</w:t>
            </w:r>
          </w:p>
        </w:tc>
        <w:tc>
          <w:tcPr>
            <w:tcW w:w="1322" w:type="dxa"/>
            <w:tcBorders>
              <w:bottom w:val="single" w:sz="4" w:space="0" w:color="000000"/>
              <w:right w:val="single" w:sz="4" w:space="0" w:color="000000"/>
            </w:tcBorders>
            <w:shd w:val="clear" w:color="auto" w:fill="auto"/>
            <w:vAlign w:val="center"/>
          </w:tcPr>
          <w:p w14:paraId="573543D8" w14:textId="77777777" w:rsidR="00BF1AE2" w:rsidRPr="00BF1AE2" w:rsidRDefault="00BF1AE2" w:rsidP="00BF1AE2">
            <w:pPr>
              <w:widowControl w:val="0"/>
              <w:suppressAutoHyphens/>
              <w:spacing w:after="0" w:line="240" w:lineRule="auto"/>
              <w:jc w:val="center"/>
              <w:rPr>
                <w:rFonts w:eastAsia="Times New Roman" w:cstheme="minorHAnsi"/>
                <w:color w:val="000000"/>
              </w:rPr>
            </w:pPr>
            <w:r w:rsidRPr="00BF1AE2">
              <w:rPr>
                <w:rFonts w:eastAsia="Times New Roman" w:cstheme="minorHAnsi"/>
                <w:color w:val="000000"/>
              </w:rPr>
              <w:t>0</w:t>
            </w:r>
          </w:p>
        </w:tc>
      </w:tr>
      <w:tr w:rsidR="00BF1AE2" w:rsidRPr="00BF1AE2" w14:paraId="594EE7E4" w14:textId="77777777" w:rsidTr="000C4BC5">
        <w:trPr>
          <w:trHeight w:val="149"/>
        </w:trPr>
        <w:tc>
          <w:tcPr>
            <w:tcW w:w="2265" w:type="dxa"/>
            <w:tcBorders>
              <w:left w:val="single" w:sz="4" w:space="0" w:color="000000"/>
              <w:bottom w:val="single" w:sz="4" w:space="0" w:color="000000"/>
              <w:right w:val="single" w:sz="4" w:space="0" w:color="000000"/>
            </w:tcBorders>
            <w:shd w:val="clear" w:color="auto" w:fill="auto"/>
            <w:vAlign w:val="center"/>
          </w:tcPr>
          <w:p w14:paraId="7AB9A8E0" w14:textId="77777777" w:rsidR="00BF1AE2" w:rsidRPr="00BF1AE2" w:rsidRDefault="00BF1AE2" w:rsidP="00BF1AE2">
            <w:pPr>
              <w:widowControl w:val="0"/>
              <w:suppressAutoHyphens/>
              <w:spacing w:after="0" w:line="240" w:lineRule="auto"/>
              <w:rPr>
                <w:rFonts w:eastAsia="Times New Roman" w:cstheme="minorHAnsi"/>
                <w:color w:val="000000"/>
              </w:rPr>
            </w:pPr>
            <w:r w:rsidRPr="00BF1AE2">
              <w:rPr>
                <w:rFonts w:eastAsia="Times New Roman" w:cstheme="minorHAnsi"/>
                <w:color w:val="000000"/>
              </w:rPr>
              <w:t>Stream</w:t>
            </w:r>
          </w:p>
        </w:tc>
        <w:tc>
          <w:tcPr>
            <w:tcW w:w="1932" w:type="dxa"/>
            <w:tcBorders>
              <w:bottom w:val="single" w:sz="4" w:space="0" w:color="000000"/>
              <w:right w:val="single" w:sz="4" w:space="0" w:color="000000"/>
            </w:tcBorders>
            <w:shd w:val="clear" w:color="auto" w:fill="auto"/>
            <w:vAlign w:val="center"/>
          </w:tcPr>
          <w:p w14:paraId="3F908B44" w14:textId="77777777" w:rsidR="00BF1AE2" w:rsidRPr="00BF1AE2" w:rsidRDefault="00BF1AE2" w:rsidP="00BF1AE2">
            <w:pPr>
              <w:widowControl w:val="0"/>
              <w:suppressAutoHyphens/>
              <w:spacing w:after="0" w:line="240" w:lineRule="auto"/>
              <w:jc w:val="right"/>
              <w:rPr>
                <w:rFonts w:eastAsia="Times New Roman" w:cstheme="minorHAnsi"/>
                <w:color w:val="000000"/>
              </w:rPr>
            </w:pPr>
            <w:r w:rsidRPr="00BF1AE2">
              <w:rPr>
                <w:rFonts w:eastAsia="Times New Roman" w:cstheme="minorHAnsi"/>
                <w:color w:val="000000"/>
              </w:rPr>
              <w:t>9/17</w:t>
            </w:r>
          </w:p>
        </w:tc>
        <w:tc>
          <w:tcPr>
            <w:tcW w:w="1326" w:type="dxa"/>
            <w:tcBorders>
              <w:bottom w:val="single" w:sz="4" w:space="0" w:color="000000"/>
              <w:right w:val="single" w:sz="4" w:space="0" w:color="000000"/>
            </w:tcBorders>
            <w:shd w:val="clear" w:color="auto" w:fill="auto"/>
            <w:vAlign w:val="center"/>
          </w:tcPr>
          <w:p w14:paraId="273B8D24" w14:textId="77777777" w:rsidR="00BF1AE2" w:rsidRPr="00BF1AE2" w:rsidRDefault="00BF1AE2" w:rsidP="00BF1AE2">
            <w:pPr>
              <w:widowControl w:val="0"/>
              <w:suppressAutoHyphens/>
              <w:spacing w:after="0" w:line="240" w:lineRule="auto"/>
              <w:jc w:val="center"/>
              <w:rPr>
                <w:rFonts w:eastAsia="Times New Roman" w:cstheme="minorHAnsi"/>
                <w:color w:val="000000"/>
              </w:rPr>
            </w:pPr>
            <w:r w:rsidRPr="00BF1AE2">
              <w:rPr>
                <w:rFonts w:eastAsia="Times New Roman" w:cstheme="minorHAnsi"/>
                <w:color w:val="000000"/>
              </w:rPr>
              <w:t>160</w:t>
            </w:r>
          </w:p>
        </w:tc>
        <w:tc>
          <w:tcPr>
            <w:tcW w:w="1325" w:type="dxa"/>
            <w:tcBorders>
              <w:bottom w:val="single" w:sz="4" w:space="0" w:color="000000"/>
              <w:right w:val="single" w:sz="4" w:space="0" w:color="000000"/>
            </w:tcBorders>
            <w:shd w:val="clear" w:color="auto" w:fill="auto"/>
            <w:vAlign w:val="center"/>
          </w:tcPr>
          <w:p w14:paraId="32A264F6" w14:textId="77777777" w:rsidR="00BF1AE2" w:rsidRPr="00BF1AE2" w:rsidRDefault="00BF1AE2" w:rsidP="00BF1AE2">
            <w:pPr>
              <w:widowControl w:val="0"/>
              <w:suppressAutoHyphens/>
              <w:spacing w:after="0" w:line="240" w:lineRule="auto"/>
              <w:jc w:val="center"/>
              <w:rPr>
                <w:rFonts w:eastAsia="Times New Roman" w:cstheme="minorHAnsi"/>
                <w:color w:val="000000"/>
              </w:rPr>
            </w:pPr>
            <w:r w:rsidRPr="00BF1AE2">
              <w:rPr>
                <w:rFonts w:eastAsia="Times New Roman" w:cstheme="minorHAnsi"/>
                <w:color w:val="000000"/>
              </w:rPr>
              <w:t>67</w:t>
            </w:r>
          </w:p>
        </w:tc>
        <w:tc>
          <w:tcPr>
            <w:tcW w:w="1359" w:type="dxa"/>
            <w:tcBorders>
              <w:bottom w:val="single" w:sz="4" w:space="0" w:color="000000"/>
              <w:right w:val="single" w:sz="4" w:space="0" w:color="000000"/>
            </w:tcBorders>
            <w:shd w:val="clear" w:color="auto" w:fill="auto"/>
            <w:vAlign w:val="center"/>
          </w:tcPr>
          <w:p w14:paraId="1B0804C4" w14:textId="77777777" w:rsidR="00BF1AE2" w:rsidRPr="00BF1AE2" w:rsidRDefault="00BF1AE2" w:rsidP="00BF1AE2">
            <w:pPr>
              <w:widowControl w:val="0"/>
              <w:suppressAutoHyphens/>
              <w:spacing w:after="0" w:line="240" w:lineRule="auto"/>
              <w:jc w:val="center"/>
              <w:rPr>
                <w:rFonts w:eastAsia="Times New Roman" w:cstheme="minorHAnsi"/>
                <w:color w:val="000000"/>
              </w:rPr>
            </w:pPr>
            <w:r w:rsidRPr="00BF1AE2">
              <w:rPr>
                <w:rFonts w:eastAsia="Times New Roman" w:cstheme="minorHAnsi"/>
                <w:color w:val="000000"/>
              </w:rPr>
              <w:t>42</w:t>
            </w:r>
          </w:p>
        </w:tc>
        <w:tc>
          <w:tcPr>
            <w:tcW w:w="1322" w:type="dxa"/>
            <w:tcBorders>
              <w:bottom w:val="single" w:sz="4" w:space="0" w:color="000000"/>
              <w:right w:val="single" w:sz="4" w:space="0" w:color="000000"/>
            </w:tcBorders>
            <w:shd w:val="clear" w:color="auto" w:fill="auto"/>
            <w:vAlign w:val="center"/>
          </w:tcPr>
          <w:p w14:paraId="1DAB8D0D" w14:textId="77777777" w:rsidR="00BF1AE2" w:rsidRPr="00BF1AE2" w:rsidRDefault="00BF1AE2" w:rsidP="00BF1AE2">
            <w:pPr>
              <w:widowControl w:val="0"/>
              <w:suppressAutoHyphens/>
              <w:spacing w:after="0" w:line="240" w:lineRule="auto"/>
              <w:jc w:val="center"/>
              <w:rPr>
                <w:rFonts w:eastAsia="Times New Roman" w:cstheme="minorHAnsi"/>
                <w:color w:val="000000"/>
              </w:rPr>
            </w:pPr>
            <w:r w:rsidRPr="00BF1AE2">
              <w:rPr>
                <w:rFonts w:eastAsia="Times New Roman" w:cstheme="minorHAnsi"/>
                <w:color w:val="000000"/>
              </w:rPr>
              <w:t>11</w:t>
            </w:r>
          </w:p>
        </w:tc>
      </w:tr>
      <w:tr w:rsidR="00BF1AE2" w:rsidRPr="00BF1AE2" w14:paraId="4BE394BE" w14:textId="77777777" w:rsidTr="000C4BC5">
        <w:trPr>
          <w:trHeight w:val="149"/>
        </w:trPr>
        <w:tc>
          <w:tcPr>
            <w:tcW w:w="2265" w:type="dxa"/>
            <w:tcBorders>
              <w:left w:val="single" w:sz="4" w:space="0" w:color="000000"/>
              <w:bottom w:val="single" w:sz="4" w:space="0" w:color="000000"/>
              <w:right w:val="single" w:sz="4" w:space="0" w:color="000000"/>
            </w:tcBorders>
            <w:shd w:val="clear" w:color="auto" w:fill="auto"/>
            <w:vAlign w:val="center"/>
          </w:tcPr>
          <w:p w14:paraId="4322EA33" w14:textId="77777777" w:rsidR="00BF1AE2" w:rsidRPr="00BF1AE2" w:rsidRDefault="00BF1AE2" w:rsidP="00BF1AE2">
            <w:pPr>
              <w:widowControl w:val="0"/>
              <w:suppressAutoHyphens/>
              <w:spacing w:after="0" w:line="240" w:lineRule="auto"/>
              <w:rPr>
                <w:rFonts w:eastAsia="Times New Roman" w:cstheme="minorHAnsi"/>
                <w:color w:val="000000"/>
              </w:rPr>
            </w:pPr>
            <w:r w:rsidRPr="00BF1AE2">
              <w:rPr>
                <w:rFonts w:eastAsia="Times New Roman" w:cstheme="minorHAnsi"/>
                <w:color w:val="000000"/>
              </w:rPr>
              <w:t>Ditch (Water leak)</w:t>
            </w:r>
          </w:p>
        </w:tc>
        <w:tc>
          <w:tcPr>
            <w:tcW w:w="1932" w:type="dxa"/>
            <w:tcBorders>
              <w:bottom w:val="single" w:sz="4" w:space="0" w:color="000000"/>
              <w:right w:val="single" w:sz="4" w:space="0" w:color="000000"/>
            </w:tcBorders>
            <w:shd w:val="clear" w:color="auto" w:fill="auto"/>
            <w:vAlign w:val="center"/>
          </w:tcPr>
          <w:p w14:paraId="2D7F6E3C" w14:textId="77777777" w:rsidR="00BF1AE2" w:rsidRPr="00BF1AE2" w:rsidRDefault="00BF1AE2" w:rsidP="00BF1AE2">
            <w:pPr>
              <w:widowControl w:val="0"/>
              <w:suppressAutoHyphens/>
              <w:spacing w:after="0" w:line="240" w:lineRule="auto"/>
              <w:jc w:val="right"/>
              <w:rPr>
                <w:rFonts w:eastAsia="Times New Roman" w:cstheme="minorHAnsi"/>
              </w:rPr>
            </w:pPr>
            <w:r w:rsidRPr="00BF1AE2">
              <w:rPr>
                <w:rFonts w:eastAsia="Times New Roman" w:cstheme="minorHAnsi"/>
              </w:rPr>
              <w:t>1/1</w:t>
            </w:r>
          </w:p>
        </w:tc>
        <w:tc>
          <w:tcPr>
            <w:tcW w:w="1326" w:type="dxa"/>
            <w:tcBorders>
              <w:bottom w:val="single" w:sz="4" w:space="0" w:color="000000"/>
              <w:right w:val="single" w:sz="4" w:space="0" w:color="000000"/>
            </w:tcBorders>
            <w:shd w:val="clear" w:color="auto" w:fill="auto"/>
            <w:vAlign w:val="center"/>
          </w:tcPr>
          <w:p w14:paraId="0CB4C71F" w14:textId="77777777" w:rsidR="00BF1AE2" w:rsidRPr="00BF1AE2" w:rsidRDefault="00BF1AE2" w:rsidP="00BF1AE2">
            <w:pPr>
              <w:widowControl w:val="0"/>
              <w:suppressAutoHyphens/>
              <w:spacing w:after="0" w:line="240" w:lineRule="auto"/>
              <w:jc w:val="center"/>
              <w:rPr>
                <w:rFonts w:eastAsia="Times New Roman" w:cstheme="minorHAnsi"/>
                <w:color w:val="000000"/>
              </w:rPr>
            </w:pPr>
            <w:r w:rsidRPr="00BF1AE2">
              <w:rPr>
                <w:rFonts w:eastAsia="Times New Roman" w:cstheme="minorHAnsi"/>
                <w:color w:val="000000"/>
              </w:rPr>
              <w:t>38</w:t>
            </w:r>
          </w:p>
        </w:tc>
        <w:tc>
          <w:tcPr>
            <w:tcW w:w="1325" w:type="dxa"/>
            <w:tcBorders>
              <w:bottom w:val="single" w:sz="4" w:space="0" w:color="000000"/>
              <w:right w:val="single" w:sz="4" w:space="0" w:color="000000"/>
            </w:tcBorders>
            <w:shd w:val="clear" w:color="auto" w:fill="auto"/>
            <w:vAlign w:val="center"/>
          </w:tcPr>
          <w:p w14:paraId="0E47A324" w14:textId="77777777" w:rsidR="00BF1AE2" w:rsidRPr="00BF1AE2" w:rsidRDefault="00BF1AE2" w:rsidP="00BF1AE2">
            <w:pPr>
              <w:widowControl w:val="0"/>
              <w:suppressAutoHyphens/>
              <w:spacing w:after="0" w:line="240" w:lineRule="auto"/>
              <w:jc w:val="center"/>
              <w:rPr>
                <w:rFonts w:eastAsia="Times New Roman" w:cstheme="minorHAnsi"/>
                <w:color w:val="000000"/>
              </w:rPr>
            </w:pPr>
            <w:r w:rsidRPr="00BF1AE2">
              <w:rPr>
                <w:rFonts w:eastAsia="Times New Roman" w:cstheme="minorHAnsi"/>
                <w:color w:val="000000"/>
              </w:rPr>
              <w:t>0</w:t>
            </w:r>
          </w:p>
        </w:tc>
        <w:tc>
          <w:tcPr>
            <w:tcW w:w="1359" w:type="dxa"/>
            <w:tcBorders>
              <w:bottom w:val="single" w:sz="4" w:space="0" w:color="000000"/>
              <w:right w:val="single" w:sz="4" w:space="0" w:color="000000"/>
            </w:tcBorders>
            <w:shd w:val="clear" w:color="auto" w:fill="auto"/>
            <w:vAlign w:val="center"/>
          </w:tcPr>
          <w:p w14:paraId="6D4A5C5D" w14:textId="77777777" w:rsidR="00BF1AE2" w:rsidRPr="00BF1AE2" w:rsidRDefault="00BF1AE2" w:rsidP="00BF1AE2">
            <w:pPr>
              <w:widowControl w:val="0"/>
              <w:suppressAutoHyphens/>
              <w:spacing w:after="0" w:line="240" w:lineRule="auto"/>
              <w:jc w:val="center"/>
              <w:rPr>
                <w:rFonts w:eastAsia="Times New Roman" w:cstheme="minorHAnsi"/>
                <w:color w:val="000000"/>
              </w:rPr>
            </w:pPr>
            <w:r w:rsidRPr="00BF1AE2">
              <w:rPr>
                <w:rFonts w:eastAsia="Times New Roman" w:cstheme="minorHAnsi"/>
                <w:color w:val="000000"/>
              </w:rPr>
              <w:t>0</w:t>
            </w:r>
          </w:p>
        </w:tc>
        <w:tc>
          <w:tcPr>
            <w:tcW w:w="1322" w:type="dxa"/>
            <w:tcBorders>
              <w:bottom w:val="single" w:sz="4" w:space="0" w:color="000000"/>
              <w:right w:val="single" w:sz="4" w:space="0" w:color="000000"/>
            </w:tcBorders>
            <w:shd w:val="clear" w:color="auto" w:fill="auto"/>
            <w:vAlign w:val="center"/>
          </w:tcPr>
          <w:p w14:paraId="58C65624" w14:textId="77777777" w:rsidR="00BF1AE2" w:rsidRPr="00BF1AE2" w:rsidRDefault="00BF1AE2" w:rsidP="00BF1AE2">
            <w:pPr>
              <w:widowControl w:val="0"/>
              <w:suppressAutoHyphens/>
              <w:spacing w:after="0" w:line="240" w:lineRule="auto"/>
              <w:jc w:val="center"/>
              <w:rPr>
                <w:rFonts w:eastAsia="Times New Roman" w:cstheme="minorHAnsi"/>
                <w:color w:val="000000"/>
              </w:rPr>
            </w:pPr>
            <w:r w:rsidRPr="00BF1AE2">
              <w:rPr>
                <w:rFonts w:eastAsia="Times New Roman" w:cstheme="minorHAnsi"/>
                <w:color w:val="000000"/>
              </w:rPr>
              <w:t>0</w:t>
            </w:r>
          </w:p>
        </w:tc>
      </w:tr>
      <w:tr w:rsidR="00BF1AE2" w:rsidRPr="00BF1AE2" w14:paraId="23C27679" w14:textId="77777777" w:rsidTr="000C4BC5">
        <w:trPr>
          <w:trHeight w:val="149"/>
        </w:trPr>
        <w:tc>
          <w:tcPr>
            <w:tcW w:w="2265" w:type="dxa"/>
            <w:tcBorders>
              <w:left w:val="single" w:sz="4" w:space="0" w:color="000000"/>
              <w:bottom w:val="single" w:sz="4" w:space="0" w:color="000000"/>
              <w:right w:val="single" w:sz="4" w:space="0" w:color="000000"/>
            </w:tcBorders>
            <w:shd w:val="clear" w:color="auto" w:fill="auto"/>
            <w:vAlign w:val="center"/>
          </w:tcPr>
          <w:p w14:paraId="74CE2BEA" w14:textId="77777777" w:rsidR="00BF1AE2" w:rsidRPr="00BF1AE2" w:rsidRDefault="00BF1AE2" w:rsidP="00BF1AE2">
            <w:pPr>
              <w:widowControl w:val="0"/>
              <w:suppressAutoHyphens/>
              <w:spacing w:after="0" w:line="240" w:lineRule="auto"/>
              <w:rPr>
                <w:rFonts w:eastAsia="Times New Roman" w:cstheme="minorHAnsi"/>
                <w:color w:val="000000"/>
              </w:rPr>
            </w:pPr>
            <w:r w:rsidRPr="00BF1AE2">
              <w:rPr>
                <w:rFonts w:eastAsia="Times New Roman" w:cstheme="minorHAnsi"/>
                <w:color w:val="000000"/>
              </w:rPr>
              <w:t>Jerrycan</w:t>
            </w:r>
          </w:p>
        </w:tc>
        <w:tc>
          <w:tcPr>
            <w:tcW w:w="1932" w:type="dxa"/>
            <w:tcBorders>
              <w:bottom w:val="single" w:sz="4" w:space="0" w:color="000000"/>
              <w:right w:val="single" w:sz="4" w:space="0" w:color="000000"/>
            </w:tcBorders>
            <w:shd w:val="clear" w:color="auto" w:fill="auto"/>
            <w:vAlign w:val="center"/>
          </w:tcPr>
          <w:p w14:paraId="2477A99E" w14:textId="77777777" w:rsidR="00BF1AE2" w:rsidRPr="00BF1AE2" w:rsidRDefault="00BF1AE2" w:rsidP="00BF1AE2">
            <w:pPr>
              <w:widowControl w:val="0"/>
              <w:suppressAutoHyphens/>
              <w:spacing w:after="0" w:line="240" w:lineRule="auto"/>
              <w:jc w:val="right"/>
              <w:rPr>
                <w:rFonts w:eastAsia="Times New Roman" w:cstheme="minorHAnsi"/>
                <w:color w:val="000000"/>
              </w:rPr>
            </w:pPr>
            <w:r w:rsidRPr="00BF1AE2">
              <w:rPr>
                <w:rFonts w:eastAsia="Times New Roman" w:cstheme="minorHAnsi"/>
                <w:color w:val="000000"/>
              </w:rPr>
              <w:t>0/504</w:t>
            </w:r>
          </w:p>
        </w:tc>
        <w:tc>
          <w:tcPr>
            <w:tcW w:w="1326" w:type="dxa"/>
            <w:tcBorders>
              <w:bottom w:val="single" w:sz="4" w:space="0" w:color="000000"/>
              <w:right w:val="single" w:sz="4" w:space="0" w:color="000000"/>
            </w:tcBorders>
            <w:shd w:val="clear" w:color="auto" w:fill="auto"/>
            <w:vAlign w:val="center"/>
          </w:tcPr>
          <w:p w14:paraId="1DB2E4BF" w14:textId="77777777" w:rsidR="00BF1AE2" w:rsidRPr="00BF1AE2" w:rsidRDefault="00BF1AE2" w:rsidP="00BF1AE2">
            <w:pPr>
              <w:widowControl w:val="0"/>
              <w:suppressAutoHyphens/>
              <w:spacing w:after="0" w:line="240" w:lineRule="auto"/>
              <w:jc w:val="center"/>
              <w:rPr>
                <w:rFonts w:eastAsia="Times New Roman" w:cstheme="minorHAnsi"/>
                <w:color w:val="000000"/>
              </w:rPr>
            </w:pPr>
            <w:r w:rsidRPr="00BF1AE2">
              <w:rPr>
                <w:rFonts w:eastAsia="Times New Roman" w:cstheme="minorHAnsi"/>
                <w:color w:val="000000"/>
              </w:rPr>
              <w:t>0</w:t>
            </w:r>
          </w:p>
        </w:tc>
        <w:tc>
          <w:tcPr>
            <w:tcW w:w="1325" w:type="dxa"/>
            <w:tcBorders>
              <w:bottom w:val="single" w:sz="4" w:space="0" w:color="000000"/>
              <w:right w:val="single" w:sz="4" w:space="0" w:color="000000"/>
            </w:tcBorders>
            <w:shd w:val="clear" w:color="auto" w:fill="auto"/>
            <w:vAlign w:val="center"/>
          </w:tcPr>
          <w:p w14:paraId="72FE3EC3" w14:textId="77777777" w:rsidR="00BF1AE2" w:rsidRPr="00BF1AE2" w:rsidRDefault="00BF1AE2" w:rsidP="00BF1AE2">
            <w:pPr>
              <w:widowControl w:val="0"/>
              <w:suppressAutoHyphens/>
              <w:spacing w:after="0" w:line="240" w:lineRule="auto"/>
              <w:jc w:val="center"/>
              <w:rPr>
                <w:rFonts w:eastAsia="Times New Roman" w:cstheme="minorHAnsi"/>
                <w:color w:val="000000"/>
              </w:rPr>
            </w:pPr>
            <w:r w:rsidRPr="00BF1AE2">
              <w:rPr>
                <w:rFonts w:eastAsia="Times New Roman" w:cstheme="minorHAnsi"/>
                <w:color w:val="000000"/>
              </w:rPr>
              <w:t>0</w:t>
            </w:r>
          </w:p>
        </w:tc>
        <w:tc>
          <w:tcPr>
            <w:tcW w:w="1359" w:type="dxa"/>
            <w:tcBorders>
              <w:bottom w:val="single" w:sz="4" w:space="0" w:color="000000"/>
              <w:right w:val="single" w:sz="4" w:space="0" w:color="000000"/>
            </w:tcBorders>
            <w:shd w:val="clear" w:color="auto" w:fill="auto"/>
            <w:vAlign w:val="center"/>
          </w:tcPr>
          <w:p w14:paraId="1EBAB4B4" w14:textId="77777777" w:rsidR="00BF1AE2" w:rsidRPr="00BF1AE2" w:rsidRDefault="00BF1AE2" w:rsidP="00BF1AE2">
            <w:pPr>
              <w:widowControl w:val="0"/>
              <w:suppressAutoHyphens/>
              <w:spacing w:after="0" w:line="240" w:lineRule="auto"/>
              <w:jc w:val="center"/>
              <w:rPr>
                <w:rFonts w:eastAsia="Times New Roman" w:cstheme="minorHAnsi"/>
                <w:color w:val="000000"/>
              </w:rPr>
            </w:pPr>
            <w:r w:rsidRPr="00BF1AE2">
              <w:rPr>
                <w:rFonts w:eastAsia="Times New Roman" w:cstheme="minorHAnsi"/>
                <w:color w:val="000000"/>
              </w:rPr>
              <w:t>0</w:t>
            </w:r>
          </w:p>
        </w:tc>
        <w:tc>
          <w:tcPr>
            <w:tcW w:w="1322" w:type="dxa"/>
            <w:tcBorders>
              <w:bottom w:val="single" w:sz="4" w:space="0" w:color="000000"/>
              <w:right w:val="single" w:sz="4" w:space="0" w:color="000000"/>
            </w:tcBorders>
            <w:shd w:val="clear" w:color="auto" w:fill="auto"/>
            <w:vAlign w:val="center"/>
          </w:tcPr>
          <w:p w14:paraId="7BB32C96" w14:textId="77777777" w:rsidR="00BF1AE2" w:rsidRPr="00BF1AE2" w:rsidRDefault="00BF1AE2" w:rsidP="00BF1AE2">
            <w:pPr>
              <w:widowControl w:val="0"/>
              <w:suppressAutoHyphens/>
              <w:spacing w:after="0" w:line="240" w:lineRule="auto"/>
              <w:jc w:val="center"/>
              <w:rPr>
                <w:rFonts w:eastAsia="Times New Roman" w:cstheme="minorHAnsi"/>
                <w:color w:val="000000"/>
              </w:rPr>
            </w:pPr>
            <w:r w:rsidRPr="00BF1AE2">
              <w:rPr>
                <w:rFonts w:eastAsia="Times New Roman" w:cstheme="minorHAnsi"/>
                <w:color w:val="000000"/>
              </w:rPr>
              <w:t>0</w:t>
            </w:r>
          </w:p>
        </w:tc>
      </w:tr>
      <w:tr w:rsidR="00BF1AE2" w:rsidRPr="00BF1AE2" w14:paraId="52977FFA" w14:textId="77777777" w:rsidTr="000C4BC5">
        <w:trPr>
          <w:trHeight w:val="149"/>
        </w:trPr>
        <w:tc>
          <w:tcPr>
            <w:tcW w:w="2265" w:type="dxa"/>
            <w:tcBorders>
              <w:left w:val="single" w:sz="4" w:space="0" w:color="000000"/>
              <w:bottom w:val="single" w:sz="4" w:space="0" w:color="000000"/>
              <w:right w:val="single" w:sz="4" w:space="0" w:color="000000"/>
            </w:tcBorders>
            <w:shd w:val="clear" w:color="auto" w:fill="auto"/>
            <w:vAlign w:val="center"/>
          </w:tcPr>
          <w:p w14:paraId="7647BCB9" w14:textId="77777777" w:rsidR="00BF1AE2" w:rsidRPr="00BF1AE2" w:rsidRDefault="00BF1AE2" w:rsidP="00BF1AE2">
            <w:pPr>
              <w:widowControl w:val="0"/>
              <w:suppressAutoHyphens/>
              <w:spacing w:after="0" w:line="240" w:lineRule="auto"/>
              <w:rPr>
                <w:rFonts w:eastAsia="Times New Roman" w:cstheme="minorHAnsi"/>
              </w:rPr>
            </w:pPr>
            <w:r w:rsidRPr="00BF1AE2">
              <w:rPr>
                <w:rFonts w:eastAsia="Times New Roman" w:cstheme="minorHAnsi"/>
              </w:rPr>
              <w:t>Water treatment plant</w:t>
            </w:r>
          </w:p>
        </w:tc>
        <w:tc>
          <w:tcPr>
            <w:tcW w:w="1932" w:type="dxa"/>
            <w:tcBorders>
              <w:bottom w:val="single" w:sz="4" w:space="0" w:color="000000"/>
              <w:right w:val="single" w:sz="4" w:space="0" w:color="000000"/>
            </w:tcBorders>
            <w:shd w:val="clear" w:color="auto" w:fill="auto"/>
            <w:vAlign w:val="center"/>
          </w:tcPr>
          <w:p w14:paraId="391FEAF6" w14:textId="77777777" w:rsidR="00BF1AE2" w:rsidRPr="00BF1AE2" w:rsidRDefault="005026C0" w:rsidP="00BF1AE2">
            <w:pPr>
              <w:widowControl w:val="0"/>
              <w:suppressAutoHyphens/>
              <w:spacing w:after="0" w:line="240" w:lineRule="auto"/>
              <w:jc w:val="right"/>
              <w:rPr>
                <w:rFonts w:eastAsia="Times New Roman" w:cstheme="minorHAnsi"/>
              </w:rPr>
            </w:pPr>
            <w:r>
              <w:rPr>
                <w:rFonts w:eastAsia="Times New Roman" w:cstheme="minorHAnsi"/>
              </w:rPr>
              <w:t>1</w:t>
            </w:r>
            <w:r w:rsidR="00BF1AE2" w:rsidRPr="00BF1AE2">
              <w:rPr>
                <w:rFonts w:eastAsia="Times New Roman" w:cstheme="minorHAnsi"/>
              </w:rPr>
              <w:t>/1</w:t>
            </w:r>
          </w:p>
        </w:tc>
        <w:tc>
          <w:tcPr>
            <w:tcW w:w="1326" w:type="dxa"/>
            <w:tcBorders>
              <w:bottom w:val="single" w:sz="4" w:space="0" w:color="000000"/>
              <w:right w:val="single" w:sz="4" w:space="0" w:color="000000"/>
            </w:tcBorders>
            <w:shd w:val="clear" w:color="auto" w:fill="auto"/>
            <w:vAlign w:val="center"/>
          </w:tcPr>
          <w:p w14:paraId="1885AC9F" w14:textId="77777777" w:rsidR="00BF1AE2" w:rsidRPr="00BF1AE2" w:rsidRDefault="00BF1AE2" w:rsidP="00BF1AE2">
            <w:pPr>
              <w:widowControl w:val="0"/>
              <w:suppressAutoHyphens/>
              <w:spacing w:after="0" w:line="240" w:lineRule="auto"/>
              <w:jc w:val="center"/>
              <w:rPr>
                <w:rFonts w:eastAsia="Times New Roman" w:cstheme="minorHAnsi"/>
              </w:rPr>
            </w:pPr>
            <w:r w:rsidRPr="00BF1AE2">
              <w:rPr>
                <w:rFonts w:eastAsia="Times New Roman" w:cstheme="minorHAnsi"/>
              </w:rPr>
              <w:t>101</w:t>
            </w:r>
          </w:p>
        </w:tc>
        <w:tc>
          <w:tcPr>
            <w:tcW w:w="1325" w:type="dxa"/>
            <w:tcBorders>
              <w:bottom w:val="single" w:sz="4" w:space="0" w:color="000000"/>
              <w:right w:val="single" w:sz="4" w:space="0" w:color="000000"/>
            </w:tcBorders>
            <w:shd w:val="clear" w:color="auto" w:fill="auto"/>
            <w:vAlign w:val="center"/>
          </w:tcPr>
          <w:p w14:paraId="5B3C0DA7" w14:textId="77777777" w:rsidR="00BF1AE2" w:rsidRPr="00BF1AE2" w:rsidRDefault="00BF1AE2" w:rsidP="00BF1AE2">
            <w:pPr>
              <w:widowControl w:val="0"/>
              <w:suppressAutoHyphens/>
              <w:spacing w:after="0" w:line="240" w:lineRule="auto"/>
              <w:jc w:val="center"/>
              <w:rPr>
                <w:rFonts w:eastAsia="Times New Roman" w:cstheme="minorHAnsi"/>
              </w:rPr>
            </w:pPr>
            <w:r w:rsidRPr="00BF1AE2">
              <w:rPr>
                <w:rFonts w:eastAsia="Times New Roman" w:cstheme="minorHAnsi"/>
              </w:rPr>
              <w:t>0</w:t>
            </w:r>
          </w:p>
        </w:tc>
        <w:tc>
          <w:tcPr>
            <w:tcW w:w="1359" w:type="dxa"/>
            <w:tcBorders>
              <w:bottom w:val="single" w:sz="4" w:space="0" w:color="000000"/>
              <w:right w:val="single" w:sz="4" w:space="0" w:color="000000"/>
            </w:tcBorders>
            <w:shd w:val="clear" w:color="auto" w:fill="auto"/>
            <w:vAlign w:val="center"/>
          </w:tcPr>
          <w:p w14:paraId="29E49ADB" w14:textId="77777777" w:rsidR="00BF1AE2" w:rsidRPr="00BF1AE2" w:rsidRDefault="00BF1AE2" w:rsidP="00BF1AE2">
            <w:pPr>
              <w:widowControl w:val="0"/>
              <w:suppressAutoHyphens/>
              <w:spacing w:after="0" w:line="240" w:lineRule="auto"/>
              <w:jc w:val="center"/>
              <w:rPr>
                <w:rFonts w:eastAsia="Times New Roman" w:cstheme="minorHAnsi"/>
              </w:rPr>
            </w:pPr>
            <w:r w:rsidRPr="00BF1AE2">
              <w:rPr>
                <w:rFonts w:eastAsia="Times New Roman" w:cstheme="minorHAnsi"/>
              </w:rPr>
              <w:t>0</w:t>
            </w:r>
          </w:p>
        </w:tc>
        <w:tc>
          <w:tcPr>
            <w:tcW w:w="1322" w:type="dxa"/>
            <w:tcBorders>
              <w:bottom w:val="single" w:sz="4" w:space="0" w:color="000000"/>
              <w:right w:val="single" w:sz="4" w:space="0" w:color="000000"/>
            </w:tcBorders>
            <w:shd w:val="clear" w:color="auto" w:fill="auto"/>
            <w:vAlign w:val="center"/>
          </w:tcPr>
          <w:p w14:paraId="42159F92" w14:textId="77777777" w:rsidR="00BF1AE2" w:rsidRPr="00BF1AE2" w:rsidRDefault="00BF1AE2" w:rsidP="00BF1AE2">
            <w:pPr>
              <w:widowControl w:val="0"/>
              <w:suppressAutoHyphens/>
              <w:spacing w:after="0" w:line="240" w:lineRule="auto"/>
              <w:jc w:val="center"/>
              <w:rPr>
                <w:rFonts w:eastAsia="Times New Roman" w:cstheme="minorHAnsi"/>
              </w:rPr>
            </w:pPr>
            <w:r w:rsidRPr="00BF1AE2">
              <w:rPr>
                <w:rFonts w:eastAsia="Times New Roman" w:cstheme="minorHAnsi"/>
              </w:rPr>
              <w:t>0</w:t>
            </w:r>
          </w:p>
        </w:tc>
      </w:tr>
      <w:tr w:rsidR="00BF1AE2" w:rsidRPr="00BF1AE2" w14:paraId="7DB62378" w14:textId="77777777" w:rsidTr="000C4BC5">
        <w:trPr>
          <w:trHeight w:val="149"/>
        </w:trPr>
        <w:tc>
          <w:tcPr>
            <w:tcW w:w="2265" w:type="dxa"/>
            <w:tcBorders>
              <w:left w:val="single" w:sz="4" w:space="0" w:color="000000"/>
              <w:bottom w:val="single" w:sz="4" w:space="0" w:color="000000"/>
              <w:right w:val="single" w:sz="4" w:space="0" w:color="000000"/>
            </w:tcBorders>
            <w:shd w:val="clear" w:color="000000" w:fill="E7E6E6"/>
            <w:vAlign w:val="center"/>
          </w:tcPr>
          <w:p w14:paraId="19156ECB" w14:textId="77777777" w:rsidR="00BF1AE2" w:rsidRPr="00BF1AE2" w:rsidRDefault="00BF1AE2" w:rsidP="00BF1AE2">
            <w:pPr>
              <w:widowControl w:val="0"/>
              <w:suppressAutoHyphens/>
              <w:spacing w:after="0" w:line="240" w:lineRule="auto"/>
              <w:jc w:val="center"/>
              <w:rPr>
                <w:rFonts w:eastAsia="Times New Roman" w:cstheme="minorHAnsi"/>
                <w:b/>
                <w:bCs/>
                <w:color w:val="000000"/>
              </w:rPr>
            </w:pPr>
            <w:r w:rsidRPr="00BF1AE2">
              <w:rPr>
                <w:rFonts w:eastAsia="Times New Roman" w:cstheme="minorHAnsi"/>
                <w:b/>
                <w:bCs/>
                <w:color w:val="000000"/>
              </w:rPr>
              <w:t>Total</w:t>
            </w:r>
          </w:p>
        </w:tc>
        <w:tc>
          <w:tcPr>
            <w:tcW w:w="1932" w:type="dxa"/>
            <w:tcBorders>
              <w:bottom w:val="single" w:sz="4" w:space="0" w:color="000000"/>
              <w:right w:val="single" w:sz="4" w:space="0" w:color="000000"/>
            </w:tcBorders>
            <w:shd w:val="clear" w:color="000000" w:fill="E7E6E6"/>
            <w:vAlign w:val="center"/>
          </w:tcPr>
          <w:p w14:paraId="66481478" w14:textId="77777777" w:rsidR="00BF1AE2" w:rsidRPr="00BF1AE2" w:rsidRDefault="00BF1AE2" w:rsidP="00BF1AE2">
            <w:pPr>
              <w:widowControl w:val="0"/>
              <w:suppressAutoHyphens/>
              <w:spacing w:after="0" w:line="240" w:lineRule="auto"/>
              <w:rPr>
                <w:rFonts w:eastAsia="Times New Roman" w:cstheme="minorHAnsi"/>
                <w:color w:val="000000"/>
              </w:rPr>
            </w:pPr>
            <w:r w:rsidRPr="00BF1AE2">
              <w:rPr>
                <w:rFonts w:eastAsia="Times New Roman" w:cstheme="minorHAnsi"/>
                <w:color w:val="000000"/>
              </w:rPr>
              <w:t> </w:t>
            </w:r>
          </w:p>
        </w:tc>
        <w:tc>
          <w:tcPr>
            <w:tcW w:w="1326" w:type="dxa"/>
            <w:tcBorders>
              <w:bottom w:val="single" w:sz="4" w:space="0" w:color="000000"/>
              <w:right w:val="single" w:sz="4" w:space="0" w:color="000000"/>
            </w:tcBorders>
            <w:shd w:val="clear" w:color="000000" w:fill="E7E6E6"/>
            <w:vAlign w:val="center"/>
          </w:tcPr>
          <w:p w14:paraId="76463EAB" w14:textId="77777777" w:rsidR="00BF1AE2" w:rsidRPr="00BF1AE2" w:rsidRDefault="00BF1AE2" w:rsidP="00BF1AE2">
            <w:pPr>
              <w:widowControl w:val="0"/>
              <w:suppressAutoHyphens/>
              <w:spacing w:after="0" w:line="240" w:lineRule="auto"/>
              <w:jc w:val="center"/>
              <w:rPr>
                <w:rFonts w:eastAsia="Times New Roman" w:cstheme="minorHAnsi"/>
                <w:b/>
                <w:bCs/>
                <w:color w:val="000000"/>
              </w:rPr>
            </w:pPr>
            <w:r w:rsidRPr="00BF1AE2">
              <w:rPr>
                <w:rFonts w:eastAsia="Times New Roman" w:cstheme="minorHAnsi"/>
                <w:b/>
                <w:bCs/>
                <w:color w:val="000000"/>
              </w:rPr>
              <w:t>574</w:t>
            </w:r>
          </w:p>
        </w:tc>
        <w:tc>
          <w:tcPr>
            <w:tcW w:w="1325" w:type="dxa"/>
            <w:tcBorders>
              <w:bottom w:val="single" w:sz="4" w:space="0" w:color="000000"/>
              <w:right w:val="single" w:sz="4" w:space="0" w:color="000000"/>
            </w:tcBorders>
            <w:shd w:val="clear" w:color="000000" w:fill="F2F2F2"/>
            <w:vAlign w:val="center"/>
          </w:tcPr>
          <w:p w14:paraId="7FDF28B8" w14:textId="77777777" w:rsidR="00BF1AE2" w:rsidRPr="00BF1AE2" w:rsidRDefault="00BF1AE2" w:rsidP="00BF1AE2">
            <w:pPr>
              <w:widowControl w:val="0"/>
              <w:suppressAutoHyphens/>
              <w:spacing w:after="0" w:line="240" w:lineRule="auto"/>
              <w:jc w:val="center"/>
              <w:rPr>
                <w:rFonts w:eastAsia="Times New Roman" w:cstheme="minorHAnsi"/>
                <w:b/>
                <w:bCs/>
                <w:color w:val="000000"/>
              </w:rPr>
            </w:pPr>
            <w:r w:rsidRPr="00BF1AE2">
              <w:rPr>
                <w:rFonts w:eastAsia="Times New Roman" w:cstheme="minorHAnsi"/>
                <w:b/>
                <w:bCs/>
                <w:color w:val="000000"/>
              </w:rPr>
              <w:t>67</w:t>
            </w:r>
          </w:p>
        </w:tc>
        <w:tc>
          <w:tcPr>
            <w:tcW w:w="1359" w:type="dxa"/>
            <w:tcBorders>
              <w:bottom w:val="single" w:sz="4" w:space="0" w:color="000000"/>
              <w:right w:val="single" w:sz="4" w:space="0" w:color="000000"/>
            </w:tcBorders>
            <w:shd w:val="clear" w:color="000000" w:fill="F2F2F2"/>
            <w:vAlign w:val="center"/>
          </w:tcPr>
          <w:p w14:paraId="2F2A0BC3" w14:textId="77777777" w:rsidR="00BF1AE2" w:rsidRPr="00BF1AE2" w:rsidRDefault="00BF1AE2" w:rsidP="00BF1AE2">
            <w:pPr>
              <w:widowControl w:val="0"/>
              <w:suppressAutoHyphens/>
              <w:spacing w:after="0" w:line="240" w:lineRule="auto"/>
              <w:jc w:val="center"/>
              <w:rPr>
                <w:rFonts w:eastAsia="Times New Roman" w:cstheme="minorHAnsi"/>
                <w:b/>
                <w:bCs/>
                <w:color w:val="000000"/>
              </w:rPr>
            </w:pPr>
            <w:r w:rsidRPr="00BF1AE2">
              <w:rPr>
                <w:rFonts w:eastAsia="Times New Roman" w:cstheme="minorHAnsi"/>
                <w:b/>
                <w:bCs/>
                <w:color w:val="000000"/>
              </w:rPr>
              <w:t>42</w:t>
            </w:r>
          </w:p>
        </w:tc>
        <w:tc>
          <w:tcPr>
            <w:tcW w:w="1322" w:type="dxa"/>
            <w:tcBorders>
              <w:bottom w:val="single" w:sz="4" w:space="0" w:color="000000"/>
              <w:right w:val="single" w:sz="4" w:space="0" w:color="000000"/>
            </w:tcBorders>
            <w:shd w:val="clear" w:color="000000" w:fill="F2F2F2"/>
            <w:vAlign w:val="center"/>
          </w:tcPr>
          <w:p w14:paraId="7B12077C" w14:textId="77777777" w:rsidR="00BF1AE2" w:rsidRPr="00BF1AE2" w:rsidRDefault="00BF1AE2" w:rsidP="00BF1AE2">
            <w:pPr>
              <w:widowControl w:val="0"/>
              <w:suppressAutoHyphens/>
              <w:spacing w:after="0" w:line="240" w:lineRule="auto"/>
              <w:jc w:val="center"/>
              <w:rPr>
                <w:rFonts w:eastAsia="Times New Roman" w:cstheme="minorHAnsi"/>
                <w:b/>
                <w:bCs/>
                <w:color w:val="000000"/>
              </w:rPr>
            </w:pPr>
            <w:r w:rsidRPr="00BF1AE2">
              <w:rPr>
                <w:rFonts w:eastAsia="Times New Roman" w:cstheme="minorHAnsi"/>
                <w:b/>
                <w:bCs/>
                <w:color w:val="000000"/>
              </w:rPr>
              <w:t>11</w:t>
            </w:r>
          </w:p>
        </w:tc>
      </w:tr>
    </w:tbl>
    <w:p w14:paraId="4F7BA383" w14:textId="77777777" w:rsidR="00BF1AE2" w:rsidRPr="00BF1AE2" w:rsidRDefault="00BF1AE2" w:rsidP="00BF1AE2">
      <w:pPr>
        <w:suppressAutoHyphens/>
        <w:spacing w:after="0" w:line="240" w:lineRule="auto"/>
        <w:rPr>
          <w:rFonts w:cstheme="minorHAnsi"/>
          <w:highlight w:val="yellow"/>
          <w:lang w:val="nl-NL"/>
        </w:rPr>
      </w:pPr>
    </w:p>
    <w:p w14:paraId="2A2C058D" w14:textId="77777777" w:rsidR="00144E32" w:rsidRDefault="00144E32" w:rsidP="00BF1AE2">
      <w:pPr>
        <w:suppressAutoHyphens/>
        <w:spacing w:after="0" w:line="240" w:lineRule="auto"/>
        <w:jc w:val="both"/>
        <w:rPr>
          <w:rFonts w:cstheme="minorHAnsi"/>
          <w:b/>
          <w:lang w:val="nl-NL"/>
        </w:rPr>
      </w:pPr>
    </w:p>
    <w:p w14:paraId="5466C779" w14:textId="77777777" w:rsidR="00144E32" w:rsidRDefault="00144E32" w:rsidP="00BF1AE2">
      <w:pPr>
        <w:suppressAutoHyphens/>
        <w:spacing w:after="0" w:line="240" w:lineRule="auto"/>
        <w:jc w:val="both"/>
        <w:rPr>
          <w:rFonts w:cstheme="minorHAnsi"/>
          <w:b/>
          <w:lang w:val="nl-NL"/>
        </w:rPr>
      </w:pPr>
    </w:p>
    <w:p w14:paraId="2E48C667" w14:textId="77777777" w:rsidR="00144E32" w:rsidRDefault="00144E32" w:rsidP="00BF1AE2">
      <w:pPr>
        <w:suppressAutoHyphens/>
        <w:spacing w:after="0" w:line="240" w:lineRule="auto"/>
        <w:jc w:val="both"/>
        <w:rPr>
          <w:rFonts w:cstheme="minorHAnsi"/>
          <w:b/>
          <w:lang w:val="nl-NL"/>
        </w:rPr>
      </w:pPr>
    </w:p>
    <w:p w14:paraId="6FD88F6D" w14:textId="77777777" w:rsidR="00144E32" w:rsidRDefault="00144E32" w:rsidP="00BF1AE2">
      <w:pPr>
        <w:suppressAutoHyphens/>
        <w:spacing w:after="0" w:line="240" w:lineRule="auto"/>
        <w:jc w:val="both"/>
        <w:rPr>
          <w:rFonts w:cstheme="minorHAnsi"/>
          <w:b/>
          <w:lang w:val="nl-NL"/>
        </w:rPr>
      </w:pPr>
    </w:p>
    <w:p w14:paraId="307D4FB5" w14:textId="77777777" w:rsidR="00144E32" w:rsidRDefault="00144E32" w:rsidP="00BF1AE2">
      <w:pPr>
        <w:suppressAutoHyphens/>
        <w:spacing w:after="0" w:line="240" w:lineRule="auto"/>
        <w:jc w:val="both"/>
        <w:rPr>
          <w:rFonts w:cstheme="minorHAnsi"/>
          <w:b/>
          <w:lang w:val="nl-NL"/>
        </w:rPr>
      </w:pPr>
    </w:p>
    <w:p w14:paraId="6C63CB43" w14:textId="77777777" w:rsidR="00144E32" w:rsidRDefault="00144E32" w:rsidP="00BF1AE2">
      <w:pPr>
        <w:suppressAutoHyphens/>
        <w:spacing w:after="0" w:line="240" w:lineRule="auto"/>
        <w:jc w:val="both"/>
        <w:rPr>
          <w:rFonts w:cstheme="minorHAnsi"/>
          <w:b/>
          <w:lang w:val="nl-NL"/>
        </w:rPr>
      </w:pPr>
    </w:p>
    <w:p w14:paraId="17C0277E" w14:textId="77777777" w:rsidR="00144E32" w:rsidRDefault="00144E32" w:rsidP="00BF1AE2">
      <w:pPr>
        <w:suppressAutoHyphens/>
        <w:spacing w:after="0" w:line="240" w:lineRule="auto"/>
        <w:jc w:val="both"/>
        <w:rPr>
          <w:rFonts w:cstheme="minorHAnsi"/>
          <w:b/>
          <w:lang w:val="nl-NL"/>
        </w:rPr>
      </w:pPr>
    </w:p>
    <w:p w14:paraId="444B26E9" w14:textId="77777777" w:rsidR="00144E32" w:rsidRDefault="00144E32" w:rsidP="00BF1AE2">
      <w:pPr>
        <w:suppressAutoHyphens/>
        <w:spacing w:after="0" w:line="240" w:lineRule="auto"/>
        <w:jc w:val="both"/>
        <w:rPr>
          <w:rFonts w:cstheme="minorHAnsi"/>
          <w:b/>
          <w:lang w:val="nl-NL"/>
        </w:rPr>
      </w:pPr>
    </w:p>
    <w:p w14:paraId="051C622E" w14:textId="77777777" w:rsidR="00144E32" w:rsidRDefault="00144E32" w:rsidP="00BF1AE2">
      <w:pPr>
        <w:suppressAutoHyphens/>
        <w:spacing w:after="0" w:line="240" w:lineRule="auto"/>
        <w:jc w:val="both"/>
        <w:rPr>
          <w:rFonts w:cstheme="minorHAnsi"/>
          <w:b/>
          <w:lang w:val="nl-NL"/>
        </w:rPr>
      </w:pPr>
    </w:p>
    <w:p w14:paraId="7236ACA5" w14:textId="77777777" w:rsidR="00144E32" w:rsidRDefault="00144E32" w:rsidP="00BF1AE2">
      <w:pPr>
        <w:suppressAutoHyphens/>
        <w:spacing w:after="0" w:line="240" w:lineRule="auto"/>
        <w:jc w:val="both"/>
        <w:rPr>
          <w:rFonts w:cstheme="minorHAnsi"/>
          <w:b/>
          <w:lang w:val="nl-NL"/>
        </w:rPr>
      </w:pPr>
    </w:p>
    <w:p w14:paraId="6F71596E" w14:textId="77777777" w:rsidR="00144E32" w:rsidRDefault="00144E32" w:rsidP="00BF1AE2">
      <w:pPr>
        <w:suppressAutoHyphens/>
        <w:spacing w:after="0" w:line="240" w:lineRule="auto"/>
        <w:jc w:val="both"/>
        <w:rPr>
          <w:rFonts w:cstheme="minorHAnsi"/>
          <w:b/>
          <w:lang w:val="nl-NL"/>
        </w:rPr>
      </w:pPr>
    </w:p>
    <w:p w14:paraId="688C451B" w14:textId="77777777" w:rsidR="00144E32" w:rsidRDefault="00144E32" w:rsidP="00BF1AE2">
      <w:pPr>
        <w:suppressAutoHyphens/>
        <w:spacing w:after="0" w:line="240" w:lineRule="auto"/>
        <w:jc w:val="both"/>
        <w:rPr>
          <w:rFonts w:cstheme="minorHAnsi"/>
          <w:b/>
          <w:lang w:val="nl-NL"/>
        </w:rPr>
      </w:pPr>
    </w:p>
    <w:p w14:paraId="16F77AD4" w14:textId="77777777" w:rsidR="00144E32" w:rsidRDefault="00144E32" w:rsidP="00BF1AE2">
      <w:pPr>
        <w:suppressAutoHyphens/>
        <w:spacing w:after="0" w:line="240" w:lineRule="auto"/>
        <w:jc w:val="both"/>
        <w:rPr>
          <w:rFonts w:cstheme="minorHAnsi"/>
          <w:b/>
          <w:lang w:val="nl-NL"/>
        </w:rPr>
      </w:pPr>
    </w:p>
    <w:p w14:paraId="5689802E" w14:textId="77777777" w:rsidR="00144E32" w:rsidRDefault="00144E32" w:rsidP="00BF1AE2">
      <w:pPr>
        <w:suppressAutoHyphens/>
        <w:spacing w:after="0" w:line="240" w:lineRule="auto"/>
        <w:jc w:val="both"/>
        <w:rPr>
          <w:rFonts w:cstheme="minorHAnsi"/>
          <w:b/>
          <w:lang w:val="nl-NL"/>
        </w:rPr>
      </w:pPr>
    </w:p>
    <w:p w14:paraId="546A9F3B" w14:textId="77777777" w:rsidR="00144E32" w:rsidRDefault="00144E32" w:rsidP="00BF1AE2">
      <w:pPr>
        <w:suppressAutoHyphens/>
        <w:spacing w:after="0" w:line="240" w:lineRule="auto"/>
        <w:jc w:val="both"/>
        <w:rPr>
          <w:rFonts w:cstheme="minorHAnsi"/>
          <w:b/>
          <w:lang w:val="nl-NL"/>
        </w:rPr>
      </w:pPr>
    </w:p>
    <w:p w14:paraId="4BCE224A" w14:textId="77777777" w:rsidR="00144E32" w:rsidRDefault="00144E32" w:rsidP="00BF1AE2">
      <w:pPr>
        <w:suppressAutoHyphens/>
        <w:spacing w:after="0" w:line="240" w:lineRule="auto"/>
        <w:jc w:val="both"/>
        <w:rPr>
          <w:rFonts w:cstheme="minorHAnsi"/>
          <w:b/>
          <w:lang w:val="nl-NL"/>
        </w:rPr>
      </w:pPr>
    </w:p>
    <w:p w14:paraId="128FEB54" w14:textId="77777777" w:rsidR="00144E32" w:rsidRDefault="00144E32" w:rsidP="00BF1AE2">
      <w:pPr>
        <w:suppressAutoHyphens/>
        <w:spacing w:after="0" w:line="240" w:lineRule="auto"/>
        <w:jc w:val="both"/>
        <w:rPr>
          <w:rFonts w:cstheme="minorHAnsi"/>
          <w:b/>
          <w:lang w:val="nl-NL"/>
        </w:rPr>
      </w:pPr>
    </w:p>
    <w:p w14:paraId="60BBFBA5" w14:textId="77777777" w:rsidR="00144E32" w:rsidRDefault="00144E32" w:rsidP="00BF1AE2">
      <w:pPr>
        <w:suppressAutoHyphens/>
        <w:spacing w:after="0" w:line="240" w:lineRule="auto"/>
        <w:jc w:val="both"/>
        <w:rPr>
          <w:rFonts w:cstheme="minorHAnsi"/>
          <w:b/>
          <w:lang w:val="nl-NL"/>
        </w:rPr>
      </w:pPr>
    </w:p>
    <w:p w14:paraId="0F982128" w14:textId="77777777" w:rsidR="00144E32" w:rsidRDefault="00144E32" w:rsidP="00BF1AE2">
      <w:pPr>
        <w:suppressAutoHyphens/>
        <w:spacing w:after="0" w:line="240" w:lineRule="auto"/>
        <w:jc w:val="both"/>
        <w:rPr>
          <w:rFonts w:cstheme="minorHAnsi"/>
          <w:b/>
          <w:lang w:val="nl-NL"/>
        </w:rPr>
      </w:pPr>
    </w:p>
    <w:p w14:paraId="63BF80A8" w14:textId="77777777" w:rsidR="00144E32" w:rsidRDefault="00144E32" w:rsidP="00BF1AE2">
      <w:pPr>
        <w:suppressAutoHyphens/>
        <w:spacing w:after="0" w:line="240" w:lineRule="auto"/>
        <w:jc w:val="both"/>
        <w:rPr>
          <w:rFonts w:cstheme="minorHAnsi"/>
          <w:b/>
          <w:lang w:val="nl-NL"/>
        </w:rPr>
      </w:pPr>
    </w:p>
    <w:p w14:paraId="553CA83D" w14:textId="5A3CA62A" w:rsidR="00BF1AE2" w:rsidRDefault="00BF1AE2" w:rsidP="00BF1AE2">
      <w:pPr>
        <w:suppressAutoHyphens/>
        <w:spacing w:after="0" w:line="240" w:lineRule="auto"/>
        <w:jc w:val="both"/>
        <w:rPr>
          <w:rFonts w:cs="Times New Roman"/>
          <w:noProof/>
        </w:rPr>
      </w:pPr>
      <w:r w:rsidRPr="00BF1AE2">
        <w:rPr>
          <w:rFonts w:cstheme="minorHAnsi"/>
          <w:b/>
          <w:lang w:val="nl-NL"/>
        </w:rPr>
        <w:lastRenderedPageBreak/>
        <w:t xml:space="preserve">Table </w:t>
      </w:r>
      <w:r w:rsidRPr="00BF1AE2">
        <w:rPr>
          <w:rFonts w:cstheme="minorHAnsi"/>
          <w:b/>
          <w:bCs/>
          <w:lang w:val="nl-NL"/>
        </w:rPr>
        <w:t>S4.</w:t>
      </w:r>
      <w:r w:rsidRPr="00BF1AE2">
        <w:rPr>
          <w:rFonts w:cstheme="minorHAnsi"/>
          <w:b/>
        </w:rPr>
        <w:t xml:space="preserve"> </w:t>
      </w:r>
      <w:r w:rsidRPr="00BF1AE2">
        <w:rPr>
          <w:rFonts w:cstheme="minorHAnsi"/>
          <w:b/>
          <w:lang w:val="nl-NL"/>
        </w:rPr>
        <w:t xml:space="preserve">Adult mosquitoes collected in the case control and expanded surveys in Dire Dawa </w:t>
      </w:r>
    </w:p>
    <w:p w14:paraId="2E0E5CF1" w14:textId="2852035C" w:rsidR="00846B9B" w:rsidRDefault="00846B9B" w:rsidP="00BF1AE2">
      <w:pPr>
        <w:suppressAutoHyphens/>
        <w:spacing w:after="0" w:line="240" w:lineRule="auto"/>
        <w:jc w:val="both"/>
        <w:rPr>
          <w:rFonts w:cs="Times New Roman"/>
          <w:noProof/>
        </w:rPr>
      </w:pPr>
      <w:r w:rsidRPr="00FA1706">
        <w:rPr>
          <w:rFonts w:cstheme="minorHAnsi"/>
          <w:b/>
          <w:noProof/>
        </w:rPr>
        <w:drawing>
          <wp:inline distT="0" distB="0" distL="0" distR="0" wp14:anchorId="6D57A4FB" wp14:editId="06DC71A3">
            <wp:extent cx="5829300" cy="3735199"/>
            <wp:effectExtent l="0" t="0" r="0" b="0"/>
            <wp:docPr id="4" name="Picture 4" descr="C:\Users\HP PC\Downloads\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 PC\Downloads\image.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54483" cy="3751336"/>
                    </a:xfrm>
                    <a:prstGeom prst="rect">
                      <a:avLst/>
                    </a:prstGeom>
                    <a:noFill/>
                    <a:ln>
                      <a:noFill/>
                    </a:ln>
                  </pic:spPr>
                </pic:pic>
              </a:graphicData>
            </a:graphic>
          </wp:inline>
        </w:drawing>
      </w:r>
    </w:p>
    <w:p w14:paraId="42E19A1C" w14:textId="77777777" w:rsidR="00BF1AE2" w:rsidRPr="00BF1AE2" w:rsidRDefault="00BF1AE2" w:rsidP="00BF1AE2">
      <w:pPr>
        <w:suppressAutoHyphens/>
        <w:spacing w:after="0" w:line="240" w:lineRule="auto"/>
        <w:jc w:val="both"/>
        <w:rPr>
          <w:rFonts w:cstheme="minorHAnsi"/>
          <w:lang w:val="nl-NL"/>
        </w:rPr>
      </w:pPr>
      <w:r w:rsidRPr="00BF1AE2">
        <w:rPr>
          <w:rFonts w:cstheme="minorHAnsi"/>
          <w:lang w:val="nl-NL"/>
        </w:rPr>
        <w:t>* Adult mosquitos collected from outside of houses involved in the case control study in Goro and Dire dawa university; **The expanded survey in the city was done in three rounds for each collection place; ***The expanded survey at DDU included an adult mosquito survey in four buildings that were fortnightly sampled .</w:t>
      </w:r>
    </w:p>
    <w:p w14:paraId="63E20C2C" w14:textId="77777777" w:rsidR="00BF1AE2" w:rsidRPr="00BF1AE2" w:rsidRDefault="00BF1AE2" w:rsidP="00BF1AE2">
      <w:pPr>
        <w:suppressAutoHyphens/>
        <w:spacing w:after="0" w:line="240" w:lineRule="auto"/>
        <w:jc w:val="both"/>
        <w:rPr>
          <w:rFonts w:cstheme="minorHAnsi"/>
          <w:lang w:val="nl-NL"/>
        </w:rPr>
      </w:pPr>
    </w:p>
    <w:p w14:paraId="71F9D251" w14:textId="77777777" w:rsidR="00BF1AE2" w:rsidRPr="00BF1AE2" w:rsidRDefault="00BF1AE2" w:rsidP="00BF1AE2">
      <w:pPr>
        <w:keepNext/>
        <w:keepLines/>
        <w:suppressAutoHyphens/>
        <w:spacing w:after="0" w:line="240" w:lineRule="auto"/>
        <w:ind w:left="576" w:hanging="576"/>
        <w:jc w:val="both"/>
        <w:outlineLvl w:val="1"/>
        <w:rPr>
          <w:rFonts w:eastAsia="Times New Roman" w:cstheme="minorHAnsi"/>
          <w:b/>
          <w:bCs/>
          <w:color w:val="365F91"/>
        </w:rPr>
      </w:pPr>
      <w:r w:rsidRPr="00BF1AE2">
        <w:rPr>
          <w:rFonts w:eastAsia="Times New Roman" w:cstheme="minorHAnsi"/>
          <w:b/>
          <w:bCs/>
          <w:color w:val="365F91"/>
        </w:rPr>
        <w:t>Laboratory procedures</w:t>
      </w:r>
    </w:p>
    <w:p w14:paraId="18066191" w14:textId="77777777" w:rsidR="00BF1AE2" w:rsidRPr="00BF1AE2" w:rsidRDefault="00BF1AE2" w:rsidP="00BF1AE2">
      <w:pPr>
        <w:shd w:val="clear" w:color="auto" w:fill="FFFFFF" w:themeFill="background1"/>
        <w:suppressAutoHyphens/>
        <w:spacing w:after="0" w:line="240" w:lineRule="auto"/>
        <w:jc w:val="both"/>
        <w:rPr>
          <w:rFonts w:cstheme="minorHAnsi"/>
        </w:rPr>
      </w:pPr>
      <w:r w:rsidRPr="00BF1AE2">
        <w:rPr>
          <w:rFonts w:cstheme="minorHAnsi"/>
          <w:bCs/>
        </w:rPr>
        <w:t>G</w:t>
      </w:r>
      <w:proofErr w:type="spellStart"/>
      <w:r w:rsidRPr="00BF1AE2">
        <w:rPr>
          <w:rFonts w:cstheme="minorHAnsi"/>
          <w:shd w:val="clear" w:color="auto" w:fill="FFFFFF"/>
          <w:lang w:val="en-GB"/>
        </w:rPr>
        <w:t>enomic</w:t>
      </w:r>
      <w:proofErr w:type="spellEnd"/>
      <w:r w:rsidRPr="00BF1AE2">
        <w:rPr>
          <w:rFonts w:cstheme="minorHAnsi"/>
          <w:shd w:val="clear" w:color="auto" w:fill="FFFFFF"/>
          <w:lang w:val="en-GB"/>
        </w:rPr>
        <w:t xml:space="preserve"> DNA was extracted from b</w:t>
      </w:r>
      <w:proofErr w:type="spellStart"/>
      <w:r w:rsidRPr="00BF1AE2">
        <w:rPr>
          <w:rFonts w:cstheme="minorHAnsi"/>
          <w:shd w:val="clear" w:color="auto" w:fill="FFFFFF"/>
        </w:rPr>
        <w:t>lood</w:t>
      </w:r>
      <w:proofErr w:type="spellEnd"/>
      <w:r w:rsidRPr="00BF1AE2">
        <w:rPr>
          <w:rFonts w:cstheme="minorHAnsi"/>
          <w:shd w:val="clear" w:color="auto" w:fill="FFFFFF"/>
        </w:rPr>
        <w:t xml:space="preserve"> </w:t>
      </w:r>
      <w:r w:rsidRPr="00BF1AE2">
        <w:rPr>
          <w:rFonts w:cstheme="minorHAnsi"/>
          <w:shd w:val="clear" w:color="auto" w:fill="FFFFFF"/>
          <w:lang w:val="en-GB"/>
        </w:rPr>
        <w:t xml:space="preserve">samples in EDTA tubes using the </w:t>
      </w:r>
      <w:proofErr w:type="spellStart"/>
      <w:r w:rsidRPr="00BF1AE2">
        <w:rPr>
          <w:rFonts w:cstheme="minorHAnsi"/>
          <w:shd w:val="clear" w:color="auto" w:fill="FFFFFF"/>
        </w:rPr>
        <w:t>MagMAX</w:t>
      </w:r>
      <w:proofErr w:type="spellEnd"/>
      <w:r w:rsidRPr="00BF1AE2">
        <w:rPr>
          <w:rFonts w:cstheme="minorHAnsi"/>
          <w:shd w:val="clear" w:color="auto" w:fill="FFFFFF"/>
        </w:rPr>
        <w:t xml:space="preserve">™ </w:t>
      </w:r>
      <w:r w:rsidRPr="00BF1AE2">
        <w:rPr>
          <w:rFonts w:cstheme="minorHAnsi"/>
        </w:rPr>
        <w:t xml:space="preserve">magnetic bead technology DNA multi-sample kit on the </w:t>
      </w:r>
      <w:proofErr w:type="spellStart"/>
      <w:r w:rsidRPr="00BF1AE2">
        <w:rPr>
          <w:rFonts w:cstheme="minorHAnsi"/>
        </w:rPr>
        <w:t>KingFisher</w:t>
      </w:r>
      <w:proofErr w:type="spellEnd"/>
      <w:r w:rsidRPr="00BF1AE2">
        <w:rPr>
          <w:rFonts w:cstheme="minorHAnsi"/>
        </w:rPr>
        <w:t> Flex robotic extractor machine (</w:t>
      </w:r>
      <w:proofErr w:type="spellStart"/>
      <w:r w:rsidRPr="00BF1AE2">
        <w:rPr>
          <w:rFonts w:cstheme="minorHAnsi"/>
        </w:rPr>
        <w:t>Thermo</w:t>
      </w:r>
      <w:proofErr w:type="spellEnd"/>
      <w:r w:rsidRPr="00BF1AE2">
        <w:rPr>
          <w:rFonts w:cstheme="minorHAnsi"/>
        </w:rPr>
        <w:t xml:space="preserve"> Fisher Scientific</w:t>
      </w:r>
      <w:r w:rsidRPr="00BF1AE2">
        <w:rPr>
          <w:rFonts w:cstheme="minorHAnsi"/>
          <w:shd w:val="clear" w:color="auto" w:fill="FFFFFF"/>
        </w:rPr>
        <w:t>™</w:t>
      </w:r>
      <w:r w:rsidRPr="00BF1AE2">
        <w:rPr>
          <w:rFonts w:cstheme="minorHAnsi"/>
          <w:shd w:val="clear" w:color="auto" w:fill="FFFFFF"/>
          <w:lang w:val="en-GB"/>
        </w:rPr>
        <w:t xml:space="preserve">).  </w:t>
      </w:r>
      <w:r w:rsidRPr="00BF1AE2">
        <w:rPr>
          <w:rFonts w:cstheme="minorHAnsi"/>
          <w:i/>
        </w:rPr>
        <w:t>P. falciparum</w:t>
      </w:r>
      <w:r w:rsidRPr="00BF1AE2">
        <w:rPr>
          <w:rFonts w:cstheme="minorHAnsi"/>
        </w:rPr>
        <w:t xml:space="preserve"> and </w:t>
      </w:r>
      <w:r w:rsidRPr="00BF1AE2">
        <w:rPr>
          <w:rFonts w:cstheme="minorHAnsi"/>
          <w:i/>
        </w:rPr>
        <w:t>P. vivax</w:t>
      </w:r>
      <w:r w:rsidRPr="00BF1AE2">
        <w:rPr>
          <w:rFonts w:cstheme="minorHAnsi"/>
        </w:rPr>
        <w:t xml:space="preserve"> gene copies were quantified using a m</w:t>
      </w:r>
      <w:r w:rsidRPr="00BF1AE2">
        <w:rPr>
          <w:rFonts w:cstheme="minorHAnsi"/>
          <w:shd w:val="clear" w:color="auto" w:fill="FFFFFF"/>
        </w:rPr>
        <w:t>ultiplex q</w:t>
      </w:r>
      <w:r w:rsidRPr="00BF1AE2">
        <w:rPr>
          <w:rFonts w:cstheme="minorHAnsi"/>
        </w:rPr>
        <w:t>uantitative PCR (qPCR) targeting the 18S rRNA small subunit gene as described before</w:t>
      </w:r>
      <w:r w:rsidRPr="00BF1AE2">
        <w:rPr>
          <w:rFonts w:cs="Times New Roman"/>
          <w:lang w:val="nl-NL"/>
        </w:rPr>
        <w:fldChar w:fldCharType="begin"/>
      </w:r>
      <w:r w:rsidRPr="00BF1AE2">
        <w:rPr>
          <w:rFonts w:cs="Calibri"/>
        </w:rPr>
        <w:instrText>ADDIN EN.CITE</w:instrText>
      </w:r>
      <w:r w:rsidRPr="00BF1AE2">
        <w:rPr>
          <w:rFonts w:cs="Times New Roman"/>
          <w:lang w:val="nl-NL"/>
        </w:rPr>
        <w:fldChar w:fldCharType="begin"/>
      </w:r>
      <w:r w:rsidRPr="00BF1AE2">
        <w:rPr>
          <w:rFonts w:cs="Calibri"/>
        </w:rPr>
        <w:instrText>ADDIN EN.CITE.DATA</w:instrText>
      </w:r>
      <w:r w:rsidRPr="00BF1AE2">
        <w:rPr>
          <w:rFonts w:cs="Calibri"/>
        </w:rPr>
        <w:fldChar w:fldCharType="end"/>
      </w:r>
      <w:r w:rsidRPr="00BF1AE2">
        <w:rPr>
          <w:rFonts w:cs="Calibri"/>
        </w:rPr>
        <w:fldChar w:fldCharType="separate"/>
      </w:r>
      <w:r w:rsidRPr="00BF1AE2">
        <w:rPr>
          <w:rFonts w:cstheme="minorHAnsi"/>
          <w:vertAlign w:val="superscript"/>
          <w:lang w:val="nl-NL"/>
        </w:rPr>
        <w:t>5,6</w:t>
      </w:r>
      <w:r w:rsidRPr="00BF1AE2">
        <w:rPr>
          <w:rFonts w:cs="Calibri"/>
        </w:rPr>
        <w:fldChar w:fldCharType="end"/>
      </w:r>
      <w:r w:rsidRPr="00BF1AE2">
        <w:rPr>
          <w:rFonts w:cstheme="minorHAnsi"/>
        </w:rPr>
        <w:t xml:space="preserve">. </w:t>
      </w:r>
    </w:p>
    <w:p w14:paraId="47D9C022" w14:textId="77777777" w:rsidR="00BF1AE2" w:rsidRPr="00BF1AE2" w:rsidRDefault="00BF1AE2" w:rsidP="00BF1AE2">
      <w:pPr>
        <w:suppressAutoHyphens/>
        <w:spacing w:after="0" w:line="240" w:lineRule="auto"/>
        <w:jc w:val="both"/>
        <w:rPr>
          <w:rFonts w:cstheme="minorHAnsi"/>
        </w:rPr>
      </w:pPr>
      <w:r w:rsidRPr="00BF1AE2">
        <w:rPr>
          <w:rFonts w:cstheme="minorHAnsi"/>
        </w:rPr>
        <w:t xml:space="preserve">Multiplexed amplicon sequencing was performed on qPCR positive samples with reagents and protocol as in </w:t>
      </w:r>
      <w:proofErr w:type="spellStart"/>
      <w:r w:rsidRPr="00BF1AE2">
        <w:rPr>
          <w:rFonts w:cstheme="minorHAnsi"/>
        </w:rPr>
        <w:t>Tessema</w:t>
      </w:r>
      <w:proofErr w:type="spellEnd"/>
      <w:r w:rsidRPr="00BF1AE2">
        <w:rPr>
          <w:rFonts w:cstheme="minorHAnsi"/>
        </w:rPr>
        <w:t xml:space="preserve"> et a. DNA was amplified for 15 or 20 cycles during multiplexed PCR, depending on parasitemia and ability to amplify, and for 15 cycles for indexing PCR. The primer pools used in this study comprised high-diversity microhaplotype targets (n=162), polymorphisms associated with drug resistance, and targets in and adjacent to </w:t>
      </w:r>
      <w:r w:rsidRPr="00BF1AE2">
        <w:rPr>
          <w:rFonts w:cstheme="minorHAnsi"/>
          <w:i/>
          <w:iCs/>
        </w:rPr>
        <w:t>pfhrp2</w:t>
      </w:r>
      <w:r w:rsidRPr="00BF1AE2">
        <w:rPr>
          <w:rFonts w:cstheme="minorHAnsi"/>
        </w:rPr>
        <w:t xml:space="preserve"> and </w:t>
      </w:r>
      <w:r w:rsidRPr="00BF1AE2">
        <w:rPr>
          <w:rFonts w:cstheme="minorHAnsi"/>
          <w:i/>
          <w:iCs/>
        </w:rPr>
        <w:t>pfhrp3</w:t>
      </w:r>
      <w:r w:rsidRPr="00BF1AE2">
        <w:rPr>
          <w:rFonts w:cstheme="minorHAnsi"/>
        </w:rPr>
        <w:t xml:space="preserve"> to assess for gene deletion (Primer pools 1A and 5 as described here)</w:t>
      </w:r>
      <w:r w:rsidRPr="00BF1AE2">
        <w:rPr>
          <w:rFonts w:cs="Times New Roman"/>
          <w:lang w:val="nl-NL"/>
        </w:rPr>
        <w:fldChar w:fldCharType="begin"/>
      </w:r>
      <w:r w:rsidRPr="00BF1AE2">
        <w:rPr>
          <w:rFonts w:cs="Calibri"/>
        </w:rPr>
        <w:instrText>ADDIN EN.CITE</w:instrText>
      </w:r>
      <w:r w:rsidRPr="00BF1AE2">
        <w:rPr>
          <w:rFonts w:cs="Times New Roman"/>
          <w:lang w:val="nl-NL"/>
        </w:rPr>
        <w:fldChar w:fldCharType="begin"/>
      </w:r>
      <w:r w:rsidRPr="00BF1AE2">
        <w:rPr>
          <w:rFonts w:cs="Calibri"/>
        </w:rPr>
        <w:instrText>ADDIN EN.CITE.DATA</w:instrText>
      </w:r>
      <w:r w:rsidRPr="00BF1AE2">
        <w:rPr>
          <w:rFonts w:cs="Calibri"/>
        </w:rPr>
        <w:fldChar w:fldCharType="end"/>
      </w:r>
      <w:r w:rsidRPr="00BF1AE2">
        <w:rPr>
          <w:rFonts w:cs="Calibri"/>
        </w:rPr>
        <w:fldChar w:fldCharType="separate"/>
      </w:r>
      <w:r w:rsidRPr="00BF1AE2">
        <w:rPr>
          <w:rFonts w:cstheme="minorHAnsi"/>
          <w:vertAlign w:val="superscript"/>
          <w:lang w:val="nl-NL"/>
        </w:rPr>
        <w:t>7,8</w:t>
      </w:r>
      <w:r w:rsidRPr="00BF1AE2">
        <w:rPr>
          <w:rFonts w:cs="Calibri"/>
        </w:rPr>
        <w:fldChar w:fldCharType="end"/>
      </w:r>
      <w:r w:rsidRPr="00BF1AE2">
        <w:rPr>
          <w:rFonts w:cstheme="minorHAnsi"/>
        </w:rPr>
        <w:t xml:space="preserve">. Amplified libraries were sequenced in a </w:t>
      </w:r>
      <w:proofErr w:type="spellStart"/>
      <w:r w:rsidRPr="00BF1AE2">
        <w:rPr>
          <w:rFonts w:cstheme="minorHAnsi"/>
        </w:rPr>
        <w:t>NextSeq</w:t>
      </w:r>
      <w:proofErr w:type="spellEnd"/>
      <w:r w:rsidRPr="00BF1AE2">
        <w:rPr>
          <w:rFonts w:cstheme="minorHAnsi"/>
        </w:rPr>
        <w:t xml:space="preserve"> 2000 or a </w:t>
      </w:r>
      <w:proofErr w:type="spellStart"/>
      <w:r w:rsidRPr="00BF1AE2">
        <w:rPr>
          <w:rFonts w:cstheme="minorHAnsi"/>
        </w:rPr>
        <w:t>MiniSeq</w:t>
      </w:r>
      <w:proofErr w:type="spellEnd"/>
      <w:r w:rsidRPr="00BF1AE2">
        <w:rPr>
          <w:rFonts w:cstheme="minorHAnsi"/>
        </w:rPr>
        <w:t xml:space="preserve"> instrument using 150PE reads with 10% </w:t>
      </w:r>
      <w:proofErr w:type="spellStart"/>
      <w:r w:rsidRPr="00BF1AE2">
        <w:rPr>
          <w:rFonts w:cstheme="minorHAnsi"/>
        </w:rPr>
        <w:t>PhiX</w:t>
      </w:r>
      <w:proofErr w:type="spellEnd"/>
      <w:r w:rsidRPr="00BF1AE2">
        <w:rPr>
          <w:rFonts w:cstheme="minorHAnsi"/>
        </w:rPr>
        <w:t>.</w:t>
      </w:r>
    </w:p>
    <w:p w14:paraId="07ACA4A2" w14:textId="77777777" w:rsidR="00BF1AE2" w:rsidRPr="00BF1AE2" w:rsidRDefault="00BF1AE2" w:rsidP="00BF1AE2">
      <w:pPr>
        <w:shd w:val="clear" w:color="auto" w:fill="FFFFFF" w:themeFill="background1"/>
        <w:suppressAutoHyphens/>
        <w:spacing w:after="0" w:line="240" w:lineRule="auto"/>
        <w:jc w:val="both"/>
        <w:rPr>
          <w:rFonts w:cstheme="minorHAnsi"/>
        </w:rPr>
      </w:pPr>
      <w:r w:rsidRPr="00BF1AE2">
        <w:rPr>
          <w:rFonts w:cstheme="minorHAnsi"/>
        </w:rPr>
        <w:t>The heads and thoraces of wild caught adult mosquitoes bisected on the second and third leg under a stereo microscope</w:t>
      </w:r>
      <w:r w:rsidRPr="00BF1AE2">
        <w:rPr>
          <w:rFonts w:cs="Times New Roman"/>
          <w:lang w:val="nl-NL"/>
        </w:rPr>
        <w:fldChar w:fldCharType="begin"/>
      </w:r>
      <w:r w:rsidRPr="00BF1AE2">
        <w:rPr>
          <w:rFonts w:cs="Calibri"/>
        </w:rPr>
        <w:instrText>ADDIN EN.CITE &lt;EndNote&gt;&lt;Cite&gt;&lt;Author&gt;Foley&lt;/Author&gt;&lt;Year&gt;2012&lt;/Year&gt;&lt;RecNum&gt;8116&lt;/RecNum&gt;&lt;DisplayText&gt;&lt;style face="superscript"&gt;9&lt;/style&gt;&lt;/DisplayText&gt;&lt;record&gt;&lt;rec-number&gt;8116&lt;/rec-number&gt;&lt;foreign-keys&gt;&lt;key app="EN" db-id="xs0v9w9z9e9a2te9re8va926zefw2fet5avf" timestamp="1672101619"&gt;8116&lt;/key&gt;&lt;/foreign-keys&gt;&lt;ref-type name="Journal Article"&gt;17&lt;/ref-type&gt;&lt;contributors&gt;&lt;authors&gt;&lt;author&gt;Foley, D. H.&lt;/author&gt;&lt;author&gt;Harrison, G.&lt;/author&gt;&lt;author&gt;Murphy, J. R.&lt;/author&gt;&lt;author&gt;Dowler, M.&lt;/author&gt;&lt;author&gt;Rueda, L. M.&lt;/author&gt;&lt;author&gt;Wilkerson, R. C.&lt;/author&gt;&lt;/authors&gt;&lt;/contributors&gt;&lt;auth-address&gt;Entomology Branch, Walter Reed Army Institute of Research, Silver Spring, MD 20910, USA. foleydes@si.edu&lt;/auth-address&gt;&lt;titles&gt;&lt;title&gt;Mosquito bisection as a variable in estimates of PCR-derived malaria sporozoite rates&lt;/title&gt;&lt;secondary-title&gt;Malar J&lt;/secondary-title&gt;&lt;alt-title&gt;Malaria journal&lt;/alt-title&gt;&lt;/titles&gt;&lt;periodical&gt;&lt;full-title&gt;Malaria Journal&lt;/full-title&gt;&lt;abbr-1&gt;Malar. J.&lt;/abbr-1&gt;&lt;abbr-2&gt;Malar J&lt;/abbr-2&gt;&lt;/periodical&gt;&lt;alt-periodical&gt;&lt;full-title&gt;Malaria Journal&lt;/full-title&gt;&lt;abbr-1&gt;Malar. J.&lt;/abbr-1&gt;&lt;abbr-2&gt;Malar J&lt;/abbr-2&gt;&lt;/alt-periodical&gt;&lt;pages&gt;145&lt;/pages&gt;&lt;volume&gt;11&lt;/volume&gt;&lt;edition&gt;2012/05/04&lt;/edition&gt;&lt;keywords&gt;&lt;keyword&gt;Animal Structures/parasitology&lt;/keyword&gt;&lt;keyword&gt;Animals&lt;/keyword&gt;&lt;keyword&gt;Anopheles/*parasitology&lt;/keyword&gt;&lt;keyword&gt;Entomology/*methods&lt;/keyword&gt;&lt;keyword&gt;Female&lt;/keyword&gt;&lt;keyword&gt;Humans&lt;/keyword&gt;&lt;keyword&gt;Oocysts&lt;/keyword&gt;&lt;keyword&gt;Parasitology/*methods&lt;/keyword&gt;&lt;keyword&gt;Plasmodium falciparum/genetics/*isolation &amp;amp; purification&lt;/keyword&gt;&lt;keyword&gt;Polymerase Chain Reaction/*methods&lt;/keyword&gt;&lt;keyword&gt;*Sporozoites&lt;/keyword&gt;&lt;/keywords&gt;&lt;dates&gt;&lt;year&gt;2012&lt;/year&gt;&lt;pub-dates&gt;&lt;date&gt;May 2&lt;/date&gt;&lt;/pub-dates&gt;&lt;/dates&gt;&lt;isbn&gt;1475-2875&lt;/isbn&gt;&lt;accession-num&gt;22551078&lt;/accession-num&gt;&lt;urls&gt;&lt;/urls&gt;&lt;custom2&gt;PMC3411414&lt;/custom2&gt;&lt;electronic-resource-num&gt;10.1186/1475-2875-11-145&lt;/electronic-resource-num&gt;&lt;remote-database-provider&gt;NLM&lt;/remote-database-provider&gt;&lt;language&gt;eng&lt;/language&gt;&lt;/record&gt;&lt;/Cite&gt;&lt;/EndNote&gt;</w:instrText>
      </w:r>
      <w:r w:rsidRPr="00BF1AE2">
        <w:rPr>
          <w:rFonts w:cs="Calibri"/>
        </w:rPr>
        <w:fldChar w:fldCharType="separate"/>
      </w:r>
      <w:r w:rsidRPr="00BF1AE2">
        <w:rPr>
          <w:rFonts w:cstheme="minorHAnsi"/>
          <w:vertAlign w:val="superscript"/>
          <w:lang w:val="nl-NL"/>
        </w:rPr>
        <w:t>9</w:t>
      </w:r>
      <w:r w:rsidRPr="00BF1AE2">
        <w:rPr>
          <w:rFonts w:cs="Calibri"/>
        </w:rPr>
        <w:fldChar w:fldCharType="end"/>
      </w:r>
      <w:r w:rsidRPr="00BF1AE2">
        <w:rPr>
          <w:rFonts w:cstheme="minorHAnsi"/>
        </w:rPr>
        <w:t xml:space="preserve"> were homogenized using 1mm </w:t>
      </w:r>
      <w:r w:rsidRPr="00BF1AE2">
        <w:rPr>
          <w:rFonts w:cstheme="minorHAnsi"/>
          <w:color w:val="000000"/>
          <w:shd w:val="clear" w:color="auto" w:fill="FFFFFF"/>
          <w:lang w:val="nl-NL"/>
        </w:rPr>
        <w:t>Zirconium</w:t>
      </w:r>
      <w:r w:rsidRPr="00BF1AE2">
        <w:rPr>
          <w:rFonts w:cstheme="minorHAnsi"/>
        </w:rPr>
        <w:t xml:space="preserve"> beads and a Mini-Bead Beater 96 (Bartlesville, OK, USA)</w:t>
      </w:r>
      <w:r w:rsidRPr="00BF1AE2">
        <w:rPr>
          <w:rFonts w:cs="Times New Roman"/>
          <w:lang w:val="nl-NL"/>
        </w:rPr>
        <w:fldChar w:fldCharType="begin"/>
      </w:r>
      <w:r w:rsidRPr="00BF1AE2">
        <w:rPr>
          <w:rFonts w:cs="Calibri"/>
        </w:rPr>
        <w:instrText>ADDIN EN.CITE &lt;EndNote&gt;&lt;Cite&gt;&lt;Author&gt;Graumans&lt;/Author&gt;&lt;Year&gt;2017&lt;/Year&gt;&lt;RecNum&gt;5245&lt;/RecNum&gt;&lt;DisplayText&gt;&lt;style face="superscript"&gt;10&lt;/style&gt;&lt;/DisplayText&gt;&lt;record&gt;&lt;rec-number&gt;5245&lt;/rec-number&gt;&lt;foreign-keys&gt;&lt;key app="EN" db-id="xs0v9w9z9e9a2te9re8va926zefw2fet5avf" timestamp="1504886884"&gt;5245&lt;/key&gt;&lt;/foreign-keys&gt;&lt;ref-type name="Journal Article"&gt;17&lt;/ref-type&gt;&lt;contributors&gt;&lt;authors&gt;&lt;author&gt;Graumans, Wouter&lt;/author&gt;&lt;author&gt;Tadesse, Fitsum G.&lt;/author&gt;&lt;author&gt;Andolina, Chiara&lt;/author&gt;&lt;author&gt;van Gemert, Geert-Jan&lt;/author&gt;&lt;author&gt;Teelen, Karina&lt;/author&gt;&lt;author&gt;Lanke, Kjerstin&lt;/author&gt;&lt;author&gt;Gadisa, Endalamaw&lt;/author&gt;&lt;author&gt;Yewhalaw, Delenasaw&lt;/author&gt;&lt;author&gt;van de Vegte-Bolmer, Marga&lt;/author&gt;&lt;author&gt;Siebelink-Stoter, Rianne&lt;/author&gt;&lt;author&gt;Reuling, Isaïe&lt;/author&gt;&lt;author&gt;Sauerwein, Robert&lt;/author&gt;&lt;author&gt;Bousema, Teun&lt;/author&gt;&lt;/authors&gt;&lt;/contributors&gt;&lt;titles&gt;&lt;title&gt;Semi-high-throughput detection of Plasmodium falciparum and Plasmodium vivax oocysts in mosquitoes using bead-beating followed by circumsporozoite ELISA and quantitative PCR&lt;/title&gt;&lt;secondary-title&gt;Malaria Journal&lt;/secondary-title&gt;&lt;/titles&gt;&lt;periodical&gt;&lt;full-title&gt;Malaria Journal&lt;/full-title&gt;&lt;abbr-1&gt;Malar. J.&lt;/abbr-1&gt;&lt;abbr-2&gt;Malar J&lt;/abbr-2&gt;&lt;/periodical&gt;&lt;pages&gt;356&lt;/pages&gt;&lt;volume&gt;16&lt;/volume&gt;&lt;number&gt;1&lt;/number&gt;&lt;dates&gt;&lt;year&gt;2017&lt;/year&gt;&lt;pub-dates&gt;&lt;date&gt;September 06&lt;/date&gt;&lt;/pub-dates&gt;&lt;/dates&gt;&lt;isbn&gt;1475-2875&lt;/isbn&gt;&lt;label&gt;Graumans2017&lt;/label&gt;&lt;work-type&gt;journal article&lt;/work-type&gt;&lt;urls&gt;&lt;related-urls&gt;&lt;url&gt;https://doi.org/10.1186/s12936-017-2011-9&lt;/url&gt;&lt;url&gt;https://malariajournal.biomedcentral.com/track/pdf/10.1186/s12936-017-2011-9?site=malariajournal.biomedcentral.com&lt;/url&gt;&lt;/related-urls&gt;&lt;/urls&gt;&lt;electronic-resource-num&gt;10.1186/s12936-017-2011-9&lt;/electronic-resource-num&gt;&lt;/record&gt;&lt;/Cite&gt;&lt;/EndNote&gt;</w:instrText>
      </w:r>
      <w:r w:rsidRPr="00BF1AE2">
        <w:rPr>
          <w:rFonts w:cs="Calibri"/>
        </w:rPr>
        <w:fldChar w:fldCharType="separate"/>
      </w:r>
      <w:r w:rsidRPr="00BF1AE2">
        <w:rPr>
          <w:rFonts w:cstheme="minorHAnsi"/>
          <w:vertAlign w:val="superscript"/>
          <w:lang w:val="nl-NL"/>
        </w:rPr>
        <w:t>10</w:t>
      </w:r>
      <w:r w:rsidRPr="00BF1AE2">
        <w:rPr>
          <w:rFonts w:cs="Calibri"/>
        </w:rPr>
        <w:fldChar w:fldCharType="end"/>
      </w:r>
      <w:r w:rsidRPr="00BF1AE2">
        <w:rPr>
          <w:rFonts w:cstheme="minorHAnsi"/>
        </w:rPr>
        <w:t xml:space="preserve">. The homogenate was used for DNA extraction and tested for </w:t>
      </w:r>
      <w:r w:rsidRPr="00BF1AE2">
        <w:rPr>
          <w:rFonts w:cstheme="minorHAnsi"/>
          <w:i/>
          <w:iCs/>
        </w:rPr>
        <w:t>Plasmodium</w:t>
      </w:r>
      <w:r w:rsidRPr="00BF1AE2">
        <w:rPr>
          <w:rFonts w:cstheme="minorHAnsi"/>
        </w:rPr>
        <w:t xml:space="preserve"> infection using  </w:t>
      </w:r>
      <w:proofErr w:type="spellStart"/>
      <w:r w:rsidRPr="00BF1AE2">
        <w:rPr>
          <w:rFonts w:cstheme="minorHAnsi"/>
        </w:rPr>
        <w:t>circumsporozoite</w:t>
      </w:r>
      <w:proofErr w:type="spellEnd"/>
      <w:r w:rsidRPr="00BF1AE2">
        <w:rPr>
          <w:rFonts w:cstheme="minorHAnsi"/>
        </w:rPr>
        <w:t xml:space="preserve"> (CSP) multiplex bead assay (targeting </w:t>
      </w:r>
      <w:r w:rsidRPr="00BF1AE2">
        <w:rPr>
          <w:rFonts w:cstheme="minorHAnsi"/>
          <w:i/>
        </w:rPr>
        <w:t>P. falciparum</w:t>
      </w:r>
      <w:r w:rsidRPr="00BF1AE2">
        <w:rPr>
          <w:rFonts w:cstheme="minorHAnsi"/>
        </w:rPr>
        <w:t xml:space="preserve">, </w:t>
      </w:r>
      <w:r w:rsidRPr="00BF1AE2">
        <w:rPr>
          <w:rFonts w:cstheme="minorHAnsi"/>
          <w:i/>
        </w:rPr>
        <w:t>P. vivax</w:t>
      </w:r>
      <w:r w:rsidRPr="00BF1AE2">
        <w:rPr>
          <w:rFonts w:cstheme="minorHAnsi"/>
        </w:rPr>
        <w:t xml:space="preserve"> 210, and </w:t>
      </w:r>
      <w:r w:rsidRPr="00BF1AE2">
        <w:rPr>
          <w:rFonts w:cstheme="minorHAnsi"/>
          <w:i/>
        </w:rPr>
        <w:t>P. vivax</w:t>
      </w:r>
      <w:r w:rsidRPr="00BF1AE2">
        <w:rPr>
          <w:rFonts w:cstheme="minorHAnsi"/>
        </w:rPr>
        <w:t xml:space="preserve"> 247)</w:t>
      </w:r>
      <w:r w:rsidRPr="00BF1AE2">
        <w:rPr>
          <w:rFonts w:cs="Times New Roman"/>
          <w:lang w:val="nl-NL"/>
        </w:rPr>
        <w:fldChar w:fldCharType="begin"/>
      </w:r>
      <w:r w:rsidRPr="00BF1AE2">
        <w:rPr>
          <w:rFonts w:cs="Calibri"/>
        </w:rPr>
        <w:instrText>ADDIN EN.CITE &lt;EndNote&gt;&lt;Cite&gt;&lt;Author&gt;Sutcliffe&lt;/Author&gt;&lt;Year&gt;2021&lt;/Year&gt;&lt;RecNum&gt;8117&lt;/RecNum&gt;&lt;DisplayText&gt;&lt;style face="superscript"&gt;11&lt;/style&gt;&lt;/DisplayText&gt;&lt;record&gt;&lt;rec-number&gt;8117&lt;/rec-number&gt;&lt;foreign-keys&gt;&lt;key app="EN" db-id="xs0v9w9z9e9a2te9re8va926zefw2fet5avf" timestamp="1672102035"&gt;8117&lt;/key&gt;&lt;/foreign-keys&gt;&lt;ref-type name="Journal Article"&gt;17&lt;/ref-type&gt;&lt;contributors&gt;&lt;authors&gt;&lt;author&gt;Sutcliffe, Alice C&lt;/author&gt;&lt;author&gt;Irish, Seth R&lt;/author&gt;&lt;author&gt;Rogier, Eric&lt;/author&gt;&lt;author&gt;Finney, Micaela&lt;/author&gt;&lt;author&gt;Zohdy, Sarah&lt;/author&gt;&lt;author&gt;Dotson, Ellen M&lt;/author&gt;&lt;/authors&gt;&lt;/contributors&gt;&lt;titles&gt;&lt;title&gt;Adaptation of ELISA detection of Plasmodium falciparum and Plasmodium vivax circumsporozoite proteins in mosquitoes to a multiplex bead-based immunoassay&lt;/title&gt;&lt;secondary-title&gt;Malaria journal&lt;/secondary-title&gt;&lt;/titles&gt;&lt;periodical&gt;&lt;full-title&gt;Malaria Journal&lt;/full-title&gt;&lt;abbr-1&gt;Malar. J.&lt;/abbr-1&gt;&lt;abbr-2&gt;Malar J&lt;/abbr-2&gt;&lt;/periodical&gt;&lt;pages&gt;1-13&lt;/pages&gt;&lt;volume&gt;20&lt;/volume&gt;&lt;number&gt;1&lt;/number&gt;&lt;dates&gt;&lt;year&gt;2021&lt;/year&gt;&lt;/dates&gt;&lt;isbn&gt;1475-2875&lt;/isbn&gt;&lt;urls&gt;&lt;/urls&gt;&lt;/record&gt;&lt;/Cite&gt;&lt;/EndNote&gt;</w:instrText>
      </w:r>
      <w:r w:rsidRPr="00BF1AE2">
        <w:rPr>
          <w:rFonts w:cs="Calibri"/>
        </w:rPr>
        <w:fldChar w:fldCharType="separate"/>
      </w:r>
      <w:r w:rsidRPr="00BF1AE2">
        <w:rPr>
          <w:rFonts w:cstheme="minorHAnsi"/>
          <w:vertAlign w:val="superscript"/>
          <w:lang w:val="nl-NL"/>
        </w:rPr>
        <w:t>11</w:t>
      </w:r>
      <w:r w:rsidRPr="00BF1AE2">
        <w:rPr>
          <w:rFonts w:cs="Calibri"/>
        </w:rPr>
        <w:fldChar w:fldCharType="end"/>
      </w:r>
      <w:r w:rsidRPr="00BF1AE2">
        <w:rPr>
          <w:rFonts w:cstheme="minorHAnsi"/>
        </w:rPr>
        <w:t xml:space="preserve"> after boiling at 100</w:t>
      </w:r>
      <w:r w:rsidRPr="00BF1AE2">
        <w:rPr>
          <w:rFonts w:cstheme="minorHAnsi"/>
          <w:vertAlign w:val="superscript"/>
        </w:rPr>
        <w:t>o</w:t>
      </w:r>
      <w:r w:rsidRPr="00BF1AE2">
        <w:rPr>
          <w:rFonts w:cstheme="minorHAnsi"/>
        </w:rPr>
        <w:t>C on a thermocycler. Samples with higher mean fluorescence intensity (MFI) signal than the negative controls plus 3 standard deviations were re-run to confirm the observations. A PCR targeting the mitochondrial cytochrome oxidase I</w:t>
      </w:r>
      <w:r w:rsidRPr="00BF1AE2">
        <w:rPr>
          <w:rFonts w:cs="Times New Roman"/>
          <w:lang w:val="nl-NL"/>
        </w:rPr>
        <w:fldChar w:fldCharType="begin"/>
      </w:r>
      <w:r w:rsidRPr="00BF1AE2">
        <w:rPr>
          <w:rFonts w:cs="Calibri"/>
        </w:rPr>
        <w:instrText>ADDIN EN.CITE</w:instrText>
      </w:r>
      <w:r w:rsidRPr="00BF1AE2">
        <w:rPr>
          <w:rFonts w:cs="Times New Roman"/>
          <w:lang w:val="nl-NL"/>
        </w:rPr>
        <w:fldChar w:fldCharType="begin"/>
      </w:r>
      <w:r w:rsidRPr="00BF1AE2">
        <w:rPr>
          <w:rFonts w:cs="Calibri"/>
        </w:rPr>
        <w:instrText>ADDIN EN.CITE.DATA</w:instrText>
      </w:r>
      <w:r w:rsidRPr="00BF1AE2">
        <w:rPr>
          <w:rFonts w:cs="Calibri"/>
        </w:rPr>
        <w:fldChar w:fldCharType="end"/>
      </w:r>
      <w:r w:rsidRPr="00BF1AE2">
        <w:rPr>
          <w:rFonts w:cs="Calibri"/>
        </w:rPr>
        <w:fldChar w:fldCharType="separate"/>
      </w:r>
      <w:r w:rsidRPr="00BF1AE2">
        <w:rPr>
          <w:rFonts w:cstheme="minorHAnsi"/>
          <w:vertAlign w:val="superscript"/>
          <w:lang w:val="nl-NL"/>
        </w:rPr>
        <w:t>12</w:t>
      </w:r>
      <w:r w:rsidRPr="00BF1AE2">
        <w:rPr>
          <w:rFonts w:cs="Calibri"/>
        </w:rPr>
        <w:fldChar w:fldCharType="end"/>
      </w:r>
      <w:r w:rsidRPr="00BF1AE2">
        <w:rPr>
          <w:rFonts w:cstheme="minorHAnsi"/>
        </w:rPr>
        <w:t xml:space="preserve"> and species specific 18S small ribosomal subunit</w:t>
      </w:r>
      <w:r w:rsidRPr="00BF1AE2">
        <w:rPr>
          <w:rFonts w:cs="Times New Roman"/>
          <w:lang w:val="nl-NL"/>
        </w:rPr>
        <w:fldChar w:fldCharType="begin"/>
      </w:r>
      <w:r w:rsidRPr="00BF1AE2">
        <w:rPr>
          <w:rFonts w:cs="Calibri"/>
        </w:rPr>
        <w:instrText>ADDIN EN.CITE &lt;EndNote&gt;&lt;Cite&gt;&lt;Author&gt;Graumans&lt;/Author&gt;&lt;Year&gt;2017&lt;/Year&gt;&lt;RecNum&gt;5245&lt;/RecNum&gt;&lt;DisplayText&gt;&lt;style face="superscript"&gt;10&lt;/style&gt;&lt;/DisplayText&gt;&lt;record&gt;&lt;rec-number&gt;5245&lt;/rec-number&gt;&lt;foreign-keys&gt;&lt;key app="EN" db-id="xs0v9w9z9e9a2te9re8va926zefw2fet5avf" timestamp="1504886884"&gt;5245&lt;/key&gt;&lt;/foreign-keys&gt;&lt;ref-type name="Journal Article"&gt;17&lt;/ref-type&gt;&lt;contributors&gt;&lt;authors&gt;&lt;author&gt;Graumans, Wouter&lt;/author&gt;&lt;author&gt;Tadesse, Fitsum G.&lt;/author&gt;&lt;author&gt;Andolina, Chiara&lt;/author&gt;&lt;author&gt;van Gemert, Geert-Jan&lt;/author&gt;&lt;author&gt;Teelen, Karina&lt;/author&gt;&lt;author&gt;Lanke, Kjerstin&lt;/author&gt;&lt;author&gt;Gadisa, Endalamaw&lt;/author&gt;&lt;author&gt;Yewhalaw, Delenasaw&lt;/author&gt;&lt;author&gt;van de Vegte-Bolmer, Marga&lt;/author&gt;&lt;author&gt;Siebelink-Stoter, Rianne&lt;/author&gt;&lt;author&gt;Reuling, Isaïe&lt;/author&gt;&lt;author&gt;Sauerwein, Robert&lt;/author&gt;&lt;author&gt;Bousema, Teun&lt;/author&gt;&lt;/authors&gt;&lt;/contributors&gt;&lt;titles&gt;&lt;title&gt;Semi-high-throughput detection of Plasmodium falciparum and Plasmodium vivax oocysts in mosquitoes using bead-beating followed by circumsporozoite ELISA and quantitative PCR&lt;/title&gt;&lt;secondary-title&gt;Malaria Journal&lt;/secondary-title&gt;&lt;/titles&gt;&lt;periodical&gt;&lt;full-title&gt;Malaria Journal&lt;/full-title&gt;&lt;abbr-1&gt;Malar. J.&lt;/abbr-1&gt;&lt;abbr-2&gt;Malar J&lt;/abbr-2&gt;&lt;/periodical&gt;&lt;pages&gt;356&lt;/pages&gt;&lt;volume&gt;16&lt;/volume&gt;&lt;number&gt;1&lt;/number&gt;&lt;dates&gt;&lt;year&gt;2017&lt;/year&gt;&lt;pub-dates&gt;&lt;date&gt;September 06&lt;/date&gt;&lt;/pub-dates&gt;&lt;/dates&gt;&lt;isbn&gt;1475-2875&lt;/isbn&gt;&lt;label&gt;Graumans2017&lt;/label&gt;&lt;work-type&gt;journal article&lt;/work-type&gt;&lt;urls&gt;&lt;related-urls&gt;&lt;url&gt;https://doi.org/10.1186/s12936-017-2011-9&lt;/url&gt;&lt;url&gt;https://malariajournal.biomedcentral.com/track/pdf/10.1186/s12936-017-2011-9?site=malariajournal.biomedcentral.com&lt;/url&gt;&lt;/related-urls&gt;&lt;/urls&gt;&lt;electronic-resource-num&gt;10.1186/s12936-017-2011-9&lt;/electronic-resource-num&gt;&lt;/record&gt;&lt;/Cite&gt;&lt;/EndNote&gt;</w:instrText>
      </w:r>
      <w:r w:rsidRPr="00BF1AE2">
        <w:rPr>
          <w:rFonts w:cs="Calibri"/>
        </w:rPr>
        <w:fldChar w:fldCharType="separate"/>
      </w:r>
      <w:r w:rsidRPr="00BF1AE2">
        <w:rPr>
          <w:rFonts w:cstheme="minorHAnsi"/>
          <w:vertAlign w:val="superscript"/>
          <w:lang w:val="nl-NL"/>
        </w:rPr>
        <w:t>10</w:t>
      </w:r>
      <w:r w:rsidRPr="00BF1AE2">
        <w:rPr>
          <w:rFonts w:cs="Calibri"/>
        </w:rPr>
        <w:fldChar w:fldCharType="end"/>
      </w:r>
      <w:r w:rsidRPr="00BF1AE2">
        <w:rPr>
          <w:rFonts w:cstheme="minorHAnsi"/>
        </w:rPr>
        <w:t xml:space="preserve"> genes were used for confirmation. </w:t>
      </w:r>
      <w:r w:rsidRPr="00BF1AE2">
        <w:rPr>
          <w:rFonts w:cs="Times New Roman"/>
          <w:lang w:val="nl-NL"/>
        </w:rPr>
        <w:fldChar w:fldCharType="begin"/>
      </w:r>
      <w:r w:rsidRPr="00BF1AE2">
        <w:rPr>
          <w:rFonts w:cs="Calibri"/>
        </w:rPr>
        <w:instrText>ADDIN EN.CITE &lt;EndNote&gt;&lt;Cite ExcludeAuth="1" ExcludeYear="1" Hidden="1"&gt;&lt;Author&gt;Foley&lt;/Author&gt;&lt;Year&gt;2012&lt;/Year&gt;&lt;RecNum&gt;159&lt;/RecNum&gt;&lt;record&gt;&lt;rec-number&gt;159&lt;/rec-number&gt;&lt;foreign-keys&gt;&lt;key app="EN" db-id="stz52vfaleffsnedez6p0dvp52wrzet0twtp"&gt;159&lt;/key&gt;&lt;/foreign-keys&gt;&lt;ref-type name="Journal Article"&gt;17&lt;/ref-type&gt;&lt;contributors&gt;&lt;authors&gt;&lt;author&gt;Foley, Desmond H.&lt;/author&gt;&lt;author&gt;Harrison, Genelle&lt;/author&gt;&lt;author&gt;Murphy, Jittawadee R.&lt;/author&gt;&lt;author&gt;Dowler, Megan&lt;/author&gt;&lt;author&gt;Rueda, Leopoldo M.&lt;/author&gt;&lt;author&gt;Wilkerson, Richard C.&lt;/author&gt;&lt;/authors&gt;&lt;/contributors&gt;&lt;titles&gt;&lt;title&gt;Mosquito bisection as a variable in estimates of PCR-derived malaria sporozoite rates&lt;/title&gt;&lt;secondary-title&gt;Malaria Journal&lt;/secondary-title&gt;&lt;/titles&gt;&lt;periodical&gt;&lt;full-title&gt;Malaria Journal&lt;/full-title&gt;&lt;/periodical&gt;&lt;pages&gt;145&lt;/pages&gt;&lt;volume&gt;11&lt;/volume&gt;&lt;number&gt;1&lt;/number&gt;&lt;dates&gt;&lt;year&gt;2012&lt;/year&gt;&lt;pub-dates&gt;&lt;date&gt;2012/05/02&lt;/date&gt;&lt;/pub-dates&gt;&lt;/dates&gt;&lt;isbn&gt;1475-2875&lt;/isbn&gt;&lt;urls&gt;&lt;related-urls&gt;&lt;url&gt;https://doi.org/10.1186/1475-2875-11-145&lt;/url&gt;&lt;/related-urls&gt;&lt;/urls&gt;&lt;electronic-resource-num&gt;10.1186/1475-2875-11-145&lt;/electronic-resource-num&gt;&lt;/record&gt;&lt;/Cite&gt;&lt;/EndNote&gt;</w:instrText>
      </w:r>
      <w:r w:rsidRPr="00BF1AE2">
        <w:rPr>
          <w:rFonts w:cs="Calibri"/>
        </w:rPr>
        <w:fldChar w:fldCharType="end"/>
      </w:r>
      <w:r w:rsidRPr="00BF1AE2">
        <w:rPr>
          <w:rFonts w:cstheme="minorHAnsi"/>
        </w:rPr>
        <w:t>A single-step multiplexed PCR, based on cytochrome b gene, was used to identify the blood-meal sources (included in the assay were dog, cow, goat, pig, or human) in the midgut of the mosquitoes</w:t>
      </w:r>
      <w:r w:rsidRPr="00BF1AE2">
        <w:rPr>
          <w:rFonts w:cs="Times New Roman"/>
          <w:lang w:val="nl-NL"/>
        </w:rPr>
        <w:fldChar w:fldCharType="begin"/>
      </w:r>
      <w:r w:rsidRPr="00BF1AE2">
        <w:rPr>
          <w:rFonts w:cs="Calibri"/>
        </w:rPr>
        <w:instrText>ADDIN EN.CITE</w:instrText>
      </w:r>
      <w:r w:rsidRPr="00BF1AE2">
        <w:rPr>
          <w:rFonts w:cs="Times New Roman"/>
          <w:lang w:val="nl-NL"/>
        </w:rPr>
        <w:fldChar w:fldCharType="begin"/>
      </w:r>
      <w:r w:rsidRPr="00BF1AE2">
        <w:rPr>
          <w:rFonts w:cs="Calibri"/>
        </w:rPr>
        <w:instrText>ADDIN EN.CITE.DATA</w:instrText>
      </w:r>
      <w:r w:rsidRPr="00BF1AE2">
        <w:rPr>
          <w:rFonts w:cs="Calibri"/>
        </w:rPr>
        <w:fldChar w:fldCharType="end"/>
      </w:r>
      <w:r w:rsidRPr="00BF1AE2">
        <w:rPr>
          <w:rFonts w:cs="Calibri"/>
        </w:rPr>
        <w:fldChar w:fldCharType="separate"/>
      </w:r>
      <w:r w:rsidRPr="00BF1AE2">
        <w:rPr>
          <w:rFonts w:cstheme="minorHAnsi"/>
          <w:vertAlign w:val="superscript"/>
          <w:lang w:val="nl-NL"/>
        </w:rPr>
        <w:t>14</w:t>
      </w:r>
      <w:r w:rsidRPr="00BF1AE2">
        <w:rPr>
          <w:rFonts w:cs="Calibri"/>
        </w:rPr>
        <w:fldChar w:fldCharType="end"/>
      </w:r>
      <w:r w:rsidRPr="00BF1AE2">
        <w:rPr>
          <w:rFonts w:cstheme="minorHAnsi"/>
        </w:rPr>
        <w:t xml:space="preserve">. </w:t>
      </w:r>
    </w:p>
    <w:p w14:paraId="05348AE2" w14:textId="77777777" w:rsidR="00BF1AE2" w:rsidRPr="00BF1AE2" w:rsidRDefault="00BF1AE2" w:rsidP="00BF1AE2">
      <w:pPr>
        <w:suppressAutoHyphens/>
        <w:spacing w:after="0" w:line="240" w:lineRule="auto"/>
        <w:jc w:val="both"/>
        <w:rPr>
          <w:rFonts w:eastAsia="Times New Roman" w:cstheme="minorHAnsi"/>
          <w:color w:val="000000"/>
        </w:rPr>
      </w:pPr>
    </w:p>
    <w:p w14:paraId="4BC0C423" w14:textId="77777777" w:rsidR="00BF1AE2" w:rsidRPr="00BF1AE2" w:rsidRDefault="00BF1AE2" w:rsidP="00BF1AE2">
      <w:pPr>
        <w:keepNext/>
        <w:keepLines/>
        <w:suppressAutoHyphens/>
        <w:spacing w:after="0" w:line="240" w:lineRule="auto"/>
        <w:ind w:left="576" w:hanging="576"/>
        <w:jc w:val="both"/>
        <w:outlineLvl w:val="1"/>
        <w:rPr>
          <w:rFonts w:eastAsia="Times New Roman" w:cstheme="minorHAnsi"/>
          <w:b/>
          <w:bCs/>
          <w:color w:val="365F91"/>
        </w:rPr>
      </w:pPr>
      <w:r w:rsidRPr="00BF1AE2">
        <w:rPr>
          <w:rFonts w:eastAsia="Times New Roman" w:cstheme="minorHAnsi"/>
          <w:b/>
          <w:bCs/>
          <w:color w:val="365F91"/>
        </w:rPr>
        <w:lastRenderedPageBreak/>
        <w:t>Data management</w:t>
      </w:r>
    </w:p>
    <w:p w14:paraId="3D3149DB" w14:textId="77777777" w:rsidR="00BF1AE2" w:rsidRPr="00BF1AE2" w:rsidRDefault="00BF1AE2" w:rsidP="00BF1AE2">
      <w:pPr>
        <w:shd w:val="clear" w:color="auto" w:fill="FFFFFF" w:themeFill="background1"/>
        <w:suppressAutoHyphens/>
        <w:spacing w:after="0" w:line="240" w:lineRule="auto"/>
        <w:jc w:val="both"/>
        <w:rPr>
          <w:rFonts w:cstheme="minorHAnsi"/>
          <w:lang w:val="nl-NL"/>
        </w:rPr>
      </w:pPr>
      <w:r w:rsidRPr="00BF1AE2">
        <w:rPr>
          <w:rFonts w:eastAsia="Arial" w:cstheme="minorHAnsi"/>
          <w:b/>
          <w:lang w:val="en-GB" w:eastAsia="en-GB" w:bidi="en-GB"/>
        </w:rPr>
        <w:t>Data management</w:t>
      </w:r>
      <w:r w:rsidRPr="00BF1AE2">
        <w:rPr>
          <w:rFonts w:cstheme="minorHAnsi"/>
          <w:bCs/>
        </w:rPr>
        <w:t>: Study data collection tools (</w:t>
      </w:r>
      <w:r w:rsidRPr="00BF1AE2">
        <w:rPr>
          <w:rFonts w:cstheme="minorHAnsi"/>
        </w:rPr>
        <w:t xml:space="preserve">mobile application version 5.20.11) </w:t>
      </w:r>
      <w:r w:rsidRPr="00BF1AE2">
        <w:rPr>
          <w:rFonts w:cstheme="minorHAnsi"/>
          <w:bCs/>
        </w:rPr>
        <w:t xml:space="preserve">were prepared and managed using </w:t>
      </w:r>
      <w:proofErr w:type="spellStart"/>
      <w:r w:rsidRPr="00BF1AE2">
        <w:rPr>
          <w:rFonts w:cstheme="minorHAnsi"/>
          <w:bCs/>
        </w:rPr>
        <w:t>REDCap</w:t>
      </w:r>
      <w:proofErr w:type="spellEnd"/>
      <w:r w:rsidRPr="00BF1AE2">
        <w:rPr>
          <w:rFonts w:cstheme="minorHAnsi"/>
          <w:bCs/>
        </w:rPr>
        <w:t xml:space="preserve"> electronic </w:t>
      </w:r>
      <w:r w:rsidRPr="00BF1AE2">
        <w:rPr>
          <w:rFonts w:cstheme="minorHAnsi"/>
        </w:rPr>
        <w:t>data</w:t>
      </w:r>
      <w:r w:rsidRPr="00BF1AE2">
        <w:rPr>
          <w:rFonts w:cstheme="minorHAnsi"/>
          <w:bCs/>
        </w:rPr>
        <w:t xml:space="preserve"> capture tools hosted at AHRI</w:t>
      </w:r>
      <w:r w:rsidRPr="00BF1AE2">
        <w:rPr>
          <w:rFonts w:cs="Times New Roman"/>
          <w:lang w:val="nl-NL"/>
        </w:rPr>
        <w:fldChar w:fldCharType="begin"/>
      </w:r>
      <w:r w:rsidRPr="00BF1AE2">
        <w:rPr>
          <w:rFonts w:cs="Calibri"/>
          <w:bCs/>
        </w:rPr>
        <w:instrText>ADDIN EN.CITE</w:instrText>
      </w:r>
      <w:r w:rsidRPr="00BF1AE2">
        <w:rPr>
          <w:rFonts w:cs="Times New Roman"/>
          <w:lang w:val="nl-NL"/>
        </w:rPr>
        <w:fldChar w:fldCharType="begin"/>
      </w:r>
      <w:r w:rsidRPr="00BF1AE2">
        <w:rPr>
          <w:rFonts w:cs="Calibri"/>
          <w:bCs/>
        </w:rPr>
        <w:instrText>ADDIN EN.CITE.DATA</w:instrText>
      </w:r>
      <w:r w:rsidRPr="00BF1AE2">
        <w:rPr>
          <w:rFonts w:cs="Calibri"/>
          <w:bCs/>
        </w:rPr>
        <w:fldChar w:fldCharType="end"/>
      </w:r>
      <w:r w:rsidRPr="00BF1AE2">
        <w:rPr>
          <w:rFonts w:cs="Calibri"/>
          <w:bCs/>
        </w:rPr>
        <w:fldChar w:fldCharType="separate"/>
      </w:r>
      <w:r w:rsidRPr="00BF1AE2">
        <w:rPr>
          <w:rFonts w:cstheme="minorHAnsi"/>
          <w:bCs/>
          <w:vertAlign w:val="superscript"/>
          <w:lang w:val="nl-NL"/>
        </w:rPr>
        <w:t>15,16</w:t>
      </w:r>
      <w:r w:rsidRPr="00BF1AE2">
        <w:rPr>
          <w:rFonts w:cs="Calibri"/>
          <w:bCs/>
        </w:rPr>
        <w:fldChar w:fldCharType="end"/>
      </w:r>
      <w:r w:rsidRPr="00BF1AE2">
        <w:rPr>
          <w:rFonts w:cstheme="minorHAnsi"/>
          <w:bCs/>
        </w:rPr>
        <w:t xml:space="preserve">. CSV </w:t>
      </w:r>
      <w:r w:rsidRPr="00BF1AE2">
        <w:rPr>
          <w:rFonts w:cstheme="minorHAnsi"/>
          <w:shd w:val="clear" w:color="auto" w:fill="FFFFFF"/>
        </w:rPr>
        <w:t xml:space="preserve">files exported from </w:t>
      </w:r>
      <w:proofErr w:type="spellStart"/>
      <w:r w:rsidRPr="00BF1AE2">
        <w:rPr>
          <w:rFonts w:cstheme="minorHAnsi"/>
          <w:shd w:val="clear" w:color="auto" w:fill="FFFFFF"/>
        </w:rPr>
        <w:t>REDCap</w:t>
      </w:r>
      <w:proofErr w:type="spellEnd"/>
      <w:r w:rsidRPr="00BF1AE2">
        <w:rPr>
          <w:rFonts w:cstheme="minorHAnsi"/>
          <w:shd w:val="clear" w:color="auto" w:fill="FFFFFF"/>
        </w:rPr>
        <w:t xml:space="preserve"> were </w:t>
      </w:r>
      <w:r w:rsidRPr="00BF1AE2">
        <w:rPr>
          <w:rFonts w:cstheme="minorHAnsi"/>
        </w:rPr>
        <w:t>analyzed using STATA 17 (</w:t>
      </w:r>
      <w:proofErr w:type="spellStart"/>
      <w:r w:rsidRPr="00BF1AE2">
        <w:rPr>
          <w:rFonts w:cstheme="minorHAnsi"/>
        </w:rPr>
        <w:t>StataCorp</w:t>
      </w:r>
      <w:proofErr w:type="spellEnd"/>
      <w:r w:rsidRPr="00BF1AE2">
        <w:rPr>
          <w:rFonts w:cstheme="minorHAnsi"/>
        </w:rPr>
        <w:t xml:space="preserve">., TX, USA), RStudio v.2022.12.0.353, QGIS </w:t>
      </w:r>
      <w:r w:rsidRPr="00BF1AE2">
        <w:rPr>
          <w:rFonts w:eastAsia="Times New Roman" w:cstheme="minorHAnsi"/>
          <w:color w:val="000000"/>
        </w:rPr>
        <w:t xml:space="preserve">v.3.22.16 </w:t>
      </w:r>
      <w:r w:rsidRPr="00BF1AE2">
        <w:rPr>
          <w:rFonts w:cstheme="minorHAnsi"/>
        </w:rPr>
        <w:t>(QGIS Development Team, 2023. QGIS Geographic Information System. Open Source Geospatial Foundation Project), and GraphPad Prism 5.03 (Graph Pad Software Inc., CA, USA).</w:t>
      </w:r>
      <w:r w:rsidRPr="00BF1AE2">
        <w:rPr>
          <w:rFonts w:cstheme="minorHAnsi"/>
          <w:shd w:val="clear" w:color="auto" w:fill="FFFFFF"/>
        </w:rPr>
        <w:t xml:space="preserve"> </w:t>
      </w:r>
      <w:r w:rsidRPr="00BF1AE2">
        <w:rPr>
          <w:rFonts w:cstheme="minorHAnsi"/>
          <w:lang w:val="nl-NL"/>
        </w:rPr>
        <w:t>All statistical analyses were performed in Rsoftware (4.12) with packages lme4 (generalized linear mixed models) and dcifer.</w:t>
      </w:r>
    </w:p>
    <w:p w14:paraId="26EB39EA" w14:textId="77777777" w:rsidR="00BF1AE2" w:rsidRPr="00BF1AE2" w:rsidRDefault="00BF1AE2" w:rsidP="00BF1AE2">
      <w:pPr>
        <w:tabs>
          <w:tab w:val="left" w:pos="720"/>
        </w:tabs>
        <w:suppressAutoHyphens/>
        <w:spacing w:after="0" w:line="240" w:lineRule="auto"/>
        <w:jc w:val="both"/>
        <w:rPr>
          <w:rFonts w:cstheme="minorHAnsi"/>
          <w:shd w:val="clear" w:color="auto" w:fill="FFFFFF"/>
        </w:rPr>
      </w:pPr>
    </w:p>
    <w:p w14:paraId="29199A4E" w14:textId="77777777" w:rsidR="00BF1AE2" w:rsidRPr="00BF1AE2" w:rsidRDefault="00BF1AE2" w:rsidP="00BF1AE2">
      <w:pPr>
        <w:tabs>
          <w:tab w:val="left" w:pos="720"/>
        </w:tabs>
        <w:suppressAutoHyphens/>
        <w:spacing w:after="0" w:line="240" w:lineRule="auto"/>
        <w:jc w:val="both"/>
        <w:rPr>
          <w:rFonts w:cstheme="minorHAnsi"/>
        </w:rPr>
      </w:pPr>
      <w:r w:rsidRPr="00BF1AE2">
        <w:rPr>
          <w:rFonts w:cstheme="minorHAnsi"/>
          <w:b/>
          <w:bCs/>
        </w:rPr>
        <w:t xml:space="preserve">Bioinformatic analysis: </w:t>
      </w:r>
      <w:proofErr w:type="spellStart"/>
      <w:r w:rsidRPr="00BF1AE2">
        <w:rPr>
          <w:rFonts w:cstheme="minorHAnsi"/>
        </w:rPr>
        <w:t>Fastq</w:t>
      </w:r>
      <w:proofErr w:type="spellEnd"/>
      <w:r w:rsidRPr="00BF1AE2">
        <w:rPr>
          <w:rFonts w:cstheme="minorHAnsi"/>
        </w:rPr>
        <w:t xml:space="preserve"> files were subjected to filtering, demultiplexing and allele inference using a </w:t>
      </w:r>
      <w:proofErr w:type="spellStart"/>
      <w:r w:rsidRPr="00BF1AE2">
        <w:rPr>
          <w:rFonts w:cstheme="minorHAnsi"/>
        </w:rPr>
        <w:t>Nextflow</w:t>
      </w:r>
      <w:proofErr w:type="spellEnd"/>
      <w:r w:rsidRPr="00BF1AE2">
        <w:rPr>
          <w:rFonts w:cstheme="minorHAnsi"/>
        </w:rPr>
        <w:t xml:space="preserve">-based pipeline. We used </w:t>
      </w:r>
      <w:proofErr w:type="spellStart"/>
      <w:r w:rsidRPr="00BF1AE2">
        <w:rPr>
          <w:rFonts w:cstheme="minorHAnsi"/>
        </w:rPr>
        <w:t>cutadapt</w:t>
      </w:r>
      <w:proofErr w:type="spellEnd"/>
      <w:r w:rsidRPr="00BF1AE2">
        <w:rPr>
          <w:rFonts w:cstheme="minorHAnsi"/>
        </w:rPr>
        <w:t xml:space="preserve"> to demultiplex reads for each locus based on the locus primer sequences (no mismatches or indels allowed), filter reads by length (100 base pairs) and quality (default </w:t>
      </w:r>
      <w:proofErr w:type="spellStart"/>
      <w:r w:rsidRPr="00BF1AE2">
        <w:rPr>
          <w:rFonts w:cstheme="minorHAnsi"/>
        </w:rPr>
        <w:t>NextSeq</w:t>
      </w:r>
      <w:proofErr w:type="spellEnd"/>
      <w:r w:rsidRPr="00BF1AE2">
        <w:rPr>
          <w:rFonts w:cstheme="minorHAnsi"/>
        </w:rPr>
        <w:t xml:space="preserve"> quality trimming). We used dada2 to infer variants and remove chimeras. Reads with a PHRED quality score of less than 5 were truncated. The leftmost base was trimmed and trimmed reads of less than 75 base pairs were filtered out. Default values were used for all other parameters. We then aligned alleles to their reference sequence and filtered out reads with low alignment. We masked homopolymers and tandem repeats to avoid false positives. </w:t>
      </w:r>
    </w:p>
    <w:p w14:paraId="56416313" w14:textId="77777777" w:rsidR="00BF1AE2" w:rsidRPr="00BF1AE2" w:rsidRDefault="00BF1AE2" w:rsidP="00BF1AE2">
      <w:pPr>
        <w:tabs>
          <w:tab w:val="left" w:pos="720"/>
        </w:tabs>
        <w:suppressAutoHyphens/>
        <w:spacing w:after="0" w:line="240" w:lineRule="auto"/>
        <w:jc w:val="both"/>
        <w:rPr>
          <w:rFonts w:cstheme="minorHAnsi"/>
          <w:b/>
          <w:bCs/>
        </w:rPr>
      </w:pPr>
    </w:p>
    <w:p w14:paraId="2582A758" w14:textId="77777777" w:rsidR="00BF1AE2" w:rsidRPr="00BF1AE2" w:rsidRDefault="00BF1AE2" w:rsidP="00BF1AE2">
      <w:pPr>
        <w:tabs>
          <w:tab w:val="left" w:pos="720"/>
        </w:tabs>
        <w:suppressAutoHyphens/>
        <w:spacing w:after="0" w:line="240" w:lineRule="auto"/>
        <w:jc w:val="both"/>
        <w:rPr>
          <w:rFonts w:cstheme="minorHAnsi"/>
        </w:rPr>
      </w:pPr>
      <w:r w:rsidRPr="00BF1AE2">
        <w:rPr>
          <w:rFonts w:cstheme="minorHAnsi"/>
          <w:b/>
          <w:bCs/>
        </w:rPr>
        <w:t>Genetic analysis</w:t>
      </w:r>
      <w:r w:rsidRPr="00BF1AE2">
        <w:rPr>
          <w:rFonts w:cstheme="minorHAnsi"/>
        </w:rPr>
        <w:t xml:space="preserve">: Pairwise relatedness analysis was performed on genotypes in diverse loci using </w:t>
      </w:r>
      <w:proofErr w:type="spellStart"/>
      <w:r w:rsidRPr="00BF1AE2">
        <w:rPr>
          <w:rFonts w:cstheme="minorHAnsi"/>
        </w:rPr>
        <w:t>Dcifer</w:t>
      </w:r>
      <w:proofErr w:type="spellEnd"/>
      <w:r w:rsidRPr="00BF1AE2">
        <w:rPr>
          <w:rFonts w:cs="Times New Roman"/>
          <w:lang w:val="nl-NL"/>
        </w:rPr>
        <w:fldChar w:fldCharType="begin"/>
      </w:r>
      <w:r w:rsidRPr="00BF1AE2">
        <w:rPr>
          <w:rFonts w:cs="Calibri"/>
        </w:rPr>
        <w:instrText>ADDIN EN.CITE &lt;EndNote&gt;&lt;Cite&gt;&lt;Author&gt;Gerlovina&lt;/Author&gt;&lt;Year&gt;2022&lt;/Year&gt;&lt;RecNum&gt;8114&lt;/RecNum&gt;&lt;DisplayText&gt;&lt;style face="superscript"&gt;17&lt;/style&gt;&lt;/DisplayText&gt;&lt;record&gt;&lt;rec-number&gt;8114&lt;/rec-number&gt;&lt;foreign-keys&gt;&lt;key app="EN" db-id="xs0v9w9z9e9a2te9re8va926zefw2fet5avf" timestamp="1671680537"&gt;8114&lt;/key&gt;&lt;/foreign-keys&gt;&lt;ref-type name="Journal Article"&gt;17&lt;/ref-type&gt;&lt;contributors&gt;&lt;authors&gt;&lt;author&gt;Gerlovina, Inna&lt;/author&gt;&lt;author&gt;Gerlovin, Boris&lt;/author&gt;&lt;author&gt;Rodríguez-Barraquer, Isabel&lt;/author&gt;&lt;author&gt;Greenhouse, Bryan&lt;/author&gt;&lt;/authors&gt;&lt;/contributors&gt;&lt;titles&gt;&lt;title&gt;Dcifer: an IBD-based method to calculate genetic distance between polyclonal infections&lt;/title&gt;&lt;secondary-title&gt;Genetics&lt;/secondary-title&gt;&lt;/titles&gt;&lt;periodical&gt;&lt;full-title&gt;Genetics&lt;/full-title&gt;&lt;abbr-1&gt;Genetics&lt;/abbr-1&gt;&lt;abbr-2&gt;Genetics&lt;/abbr-2&gt;&lt;/periodical&gt;&lt;volume&gt;222&lt;/volume&gt;&lt;number&gt;2&lt;/number&gt;&lt;dates&gt;&lt;year&gt;2022&lt;/year&gt;&lt;/dates&gt;&lt;isbn&gt;1943-2631&lt;/isbn&gt;&lt;urls&gt;&lt;related-urls&gt;&lt;url&gt;https://doi.org/10.1093/genetics/iyac126&lt;/url&gt;&lt;/related-urls&gt;&lt;/urls&gt;&lt;custom1&gt;iyac126&lt;/custom1&gt;&lt;electronic-resource-num&gt;10.1093/genetics/iyac126&lt;/electronic-resource-num&gt;&lt;access-date&gt;12/22/2022&lt;/access-date&gt;&lt;/record&gt;&lt;/Cite&gt;&lt;/EndNote&gt;</w:instrText>
      </w:r>
      <w:r w:rsidRPr="00BF1AE2">
        <w:rPr>
          <w:rFonts w:cs="Calibri"/>
        </w:rPr>
        <w:fldChar w:fldCharType="separate"/>
      </w:r>
      <w:r w:rsidRPr="00BF1AE2">
        <w:rPr>
          <w:rFonts w:cstheme="minorHAnsi"/>
          <w:vertAlign w:val="superscript"/>
          <w:lang w:val="nl-NL"/>
        </w:rPr>
        <w:t>17</w:t>
      </w:r>
      <w:r w:rsidRPr="00BF1AE2">
        <w:rPr>
          <w:rFonts w:cs="Calibri"/>
        </w:rPr>
        <w:fldChar w:fldCharType="end"/>
      </w:r>
      <w:r w:rsidRPr="00BF1AE2">
        <w:rPr>
          <w:rFonts w:cstheme="minorHAnsi"/>
        </w:rPr>
        <w:t xml:space="preserve"> with default settings. Pairwise relatedness was only considered between samples where the lower confidence interval of estimated relatedness was greater than .1.  Point estimates of pairwise relatedness that satisfied this threshold were then binned into low, medium, and high relatedness at greater than .2, .5, and .9 respectively. Samples were then clustered based on pairwise relatedness.   Drug resistance marker genotypes were extracted from loci of interest. Diagnostic resistance (</w:t>
      </w:r>
      <w:r w:rsidRPr="00BF1AE2">
        <w:rPr>
          <w:rFonts w:cstheme="minorHAnsi"/>
          <w:i/>
          <w:iCs/>
        </w:rPr>
        <w:t>pfhrp2</w:t>
      </w:r>
      <w:r w:rsidRPr="00BF1AE2">
        <w:rPr>
          <w:rFonts w:cstheme="minorHAnsi"/>
        </w:rPr>
        <w:t xml:space="preserve"> deletions) flagged from drop in coverage in loci around </w:t>
      </w:r>
      <w:r w:rsidRPr="00BF1AE2">
        <w:rPr>
          <w:rFonts w:cstheme="minorHAnsi"/>
          <w:i/>
          <w:iCs/>
        </w:rPr>
        <w:t>pfhrp2</w:t>
      </w:r>
      <w:r w:rsidRPr="00BF1AE2">
        <w:rPr>
          <w:rFonts w:cstheme="minorHAnsi"/>
        </w:rPr>
        <w:t xml:space="preserve"> gene was extracted.</w:t>
      </w:r>
    </w:p>
    <w:p w14:paraId="205AB3D6" w14:textId="77777777" w:rsidR="00BF1AE2" w:rsidRPr="00BF1AE2" w:rsidRDefault="00BF1AE2" w:rsidP="00BF1AE2">
      <w:pPr>
        <w:tabs>
          <w:tab w:val="left" w:pos="720"/>
        </w:tabs>
        <w:suppressAutoHyphens/>
        <w:spacing w:after="0" w:line="240" w:lineRule="auto"/>
        <w:jc w:val="both"/>
        <w:rPr>
          <w:rFonts w:cstheme="minorHAnsi"/>
        </w:rPr>
      </w:pPr>
    </w:p>
    <w:p w14:paraId="52B1DC8D" w14:textId="77777777" w:rsidR="00BF1AE2" w:rsidRPr="00BF1AE2" w:rsidRDefault="00BF1AE2" w:rsidP="00BF1AE2">
      <w:pPr>
        <w:suppressAutoHyphens/>
        <w:spacing w:after="0" w:line="240" w:lineRule="auto"/>
        <w:jc w:val="both"/>
        <w:rPr>
          <w:rFonts w:cstheme="minorHAnsi"/>
          <w:color w:val="000000"/>
          <w:lang w:val="nl-NL"/>
        </w:rPr>
      </w:pPr>
      <w:r w:rsidRPr="00BF1AE2">
        <w:rPr>
          <w:rFonts w:cstheme="minorHAnsi"/>
          <w:b/>
          <w:bCs/>
        </w:rPr>
        <w:t xml:space="preserve">Epidemiological analysis: </w:t>
      </w:r>
      <w:r w:rsidRPr="00BF1AE2">
        <w:rPr>
          <w:rFonts w:cstheme="minorHAnsi"/>
        </w:rPr>
        <w:t xml:space="preserve">Continuous variables were </w:t>
      </w:r>
      <w:r w:rsidRPr="00BF1AE2">
        <w:rPr>
          <w:rFonts w:eastAsia="Times New Roman" w:cstheme="minorHAnsi"/>
          <w:color w:val="000000"/>
        </w:rPr>
        <w:t>presented</w:t>
      </w:r>
      <w:r w:rsidRPr="00BF1AE2">
        <w:rPr>
          <w:rFonts w:cstheme="minorHAnsi"/>
        </w:rPr>
        <w:t xml:space="preserve"> as median and interquartile range (IQR). Tests of association between two categorical variables were performed using contingency tables. </w:t>
      </w:r>
      <w:r w:rsidRPr="00BF1AE2">
        <w:rPr>
          <w:rFonts w:cstheme="minorHAnsi"/>
          <w:color w:val="000000"/>
          <w:lang w:val="nl-NL"/>
        </w:rPr>
        <w:t>Mann-Kendall test was used</w:t>
      </w:r>
      <w:r w:rsidRPr="00BF1AE2">
        <w:rPr>
          <w:rFonts w:cstheme="minorHAnsi"/>
        </w:rPr>
        <w:t xml:space="preserve"> </w:t>
      </w:r>
      <w:r w:rsidRPr="00BF1AE2">
        <w:rPr>
          <w:rFonts w:cstheme="minorHAnsi"/>
          <w:color w:val="000000"/>
          <w:lang w:val="nl-NL"/>
        </w:rPr>
        <w:t>to test for monotonic (increasing or decreasing) trends of malaria cases using the secondary data obtained from the private and public health facilities at the city and University.</w:t>
      </w:r>
    </w:p>
    <w:p w14:paraId="0C66F5D3" w14:textId="14B9D607" w:rsidR="00BF1AE2" w:rsidRPr="00BF1AE2" w:rsidRDefault="00F33548" w:rsidP="00F33548">
      <w:pPr>
        <w:tabs>
          <w:tab w:val="right" w:pos="9072"/>
        </w:tabs>
        <w:suppressAutoHyphens/>
        <w:spacing w:after="0" w:line="240" w:lineRule="auto"/>
        <w:jc w:val="both"/>
        <w:rPr>
          <w:rFonts w:cstheme="minorHAnsi"/>
          <w:shd w:val="clear" w:color="auto" w:fill="FFFFFF"/>
        </w:rPr>
      </w:pPr>
      <w:r>
        <w:rPr>
          <w:noProof/>
        </w:rPr>
        <mc:AlternateContent>
          <mc:Choice Requires="wps">
            <w:drawing>
              <wp:inline distT="0" distB="0" distL="0" distR="0" wp14:anchorId="2EBA4680" wp14:editId="3B2F731E">
                <wp:extent cx="304800" cy="304800"/>
                <wp:effectExtent l="0" t="0" r="0" b="0"/>
                <wp:docPr id="6" name="AutoShape 4" descr="http://127.0.0.1:11743/graphics/f0e3bcd2-0411-4482-8ef3-6d1821dc2951.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51A56A7" id="AutoShape 4" o:spid="_x0000_s1026" alt="http://127.0.0.1:11743/graphics/f0e3bcd2-0411-4482-8ef3-6d1821dc2951.pn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" filled="f" stroked="f">
                <o:lock v:ext="edit" aspectratio="t"/>
                <w10:anchorlock/>
              </v:rect>
            </w:pict>
          </mc:Fallback>
        </mc:AlternateContent>
      </w:r>
      <w:r w:rsidRPr="00F33548">
        <w:rPr>
          <w:rFonts w:cstheme="minorHAnsi"/>
          <w:noProof/>
          <w:shd w:val="clear" w:color="auto" w:fill="FFFFFF"/>
        </w:rPr>
        <w:drawing>
          <wp:inline distT="0" distB="0" distL="0" distR="0" wp14:anchorId="13037107" wp14:editId="39BFF8D5">
            <wp:extent cx="5221224" cy="3026664"/>
            <wp:effectExtent l="0" t="0" r="0" b="2540"/>
            <wp:docPr id="8" name="Picture 8" descr="C:\Users\HP PC\Desktop\ts_plot_d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P PC\Desktop\ts_plot_dd.png"/>
                    <pic:cNvPicPr>
                      <a:picLocks noChangeAspect="1" noChangeArrowheads="1"/>
                    </pic:cNvPicPr>
                  </pic:nvPicPr>
                  <pic:blipFill rotWithShape="1">
                    <a:blip r:embed="rId8">
                      <a:extLst>
                        <a:ext uri="{28A0092B-C50C-407E-A947-70E740481C1C}">
                          <a14:useLocalDpi xmlns:a14="http://schemas.microsoft.com/office/drawing/2010/main" val="0"/>
                        </a:ext>
                      </a:extLst>
                    </a:blip>
                    <a:srcRect t="14416" r="4751" b="2564"/>
                    <a:stretch/>
                  </pic:blipFill>
                  <pic:spPr bwMode="auto">
                    <a:xfrm>
                      <a:off x="0" y="0"/>
                      <a:ext cx="5221224" cy="3026664"/>
                    </a:xfrm>
                    <a:prstGeom prst="rect">
                      <a:avLst/>
                    </a:prstGeom>
                    <a:noFill/>
                    <a:ln>
                      <a:noFill/>
                    </a:ln>
                    <a:extLst>
                      <a:ext uri="{53640926-AAD7-44D8-BBD7-CCE9431645EC}">
                        <a14:shadowObscured xmlns:a14="http://schemas.microsoft.com/office/drawing/2010/main"/>
                      </a:ext>
                    </a:extLst>
                  </pic:spPr>
                </pic:pic>
              </a:graphicData>
            </a:graphic>
          </wp:inline>
        </w:drawing>
      </w:r>
      <w:r>
        <w:rPr>
          <w:rFonts w:cstheme="minorHAnsi"/>
          <w:shd w:val="clear" w:color="auto" w:fill="FFFFFF"/>
        </w:rPr>
        <w:tab/>
      </w:r>
    </w:p>
    <w:p w14:paraId="1C5644E6" w14:textId="77777777" w:rsidR="00BF1AE2" w:rsidRPr="00BF1AE2" w:rsidRDefault="00BF1AE2" w:rsidP="00BF1AE2">
      <w:pPr>
        <w:suppressAutoHyphens/>
        <w:spacing w:after="0" w:line="240" w:lineRule="auto"/>
        <w:jc w:val="both"/>
        <w:rPr>
          <w:rFonts w:cstheme="minorHAnsi"/>
          <w:color w:val="000000"/>
          <w:lang w:val="nl-NL"/>
        </w:rPr>
      </w:pPr>
      <w:r w:rsidRPr="00BF1AE2">
        <w:rPr>
          <w:rFonts w:cstheme="minorHAnsi"/>
          <w:color w:val="000000"/>
          <w:lang w:val="nl-NL"/>
        </w:rPr>
        <w:t>Figure S2. Monthly malaria positive case in Dire Dawa city from 2019-2022. The analysis was based on data collected from 34 private and public health facilities located in Dire Dawa. The data in 2022 included only up to May.</w:t>
      </w:r>
    </w:p>
    <w:p w14:paraId="349DF6DC" w14:textId="77777777" w:rsidR="00BF1AE2" w:rsidRPr="00BF1AE2" w:rsidRDefault="00BF1AE2" w:rsidP="00BF1AE2">
      <w:pPr>
        <w:suppressAutoHyphens/>
        <w:spacing w:after="0" w:line="240" w:lineRule="auto"/>
        <w:jc w:val="both"/>
        <w:rPr>
          <w:rFonts w:cstheme="minorHAnsi"/>
          <w:color w:val="000000"/>
          <w:lang w:val="nl-NL"/>
        </w:rPr>
      </w:pPr>
    </w:p>
    <w:p w14:paraId="2B141E74" w14:textId="77777777" w:rsidR="00BF1AE2" w:rsidRPr="00BF1AE2" w:rsidRDefault="00BF1AE2" w:rsidP="00BF1AE2">
      <w:pPr>
        <w:suppressAutoHyphens/>
        <w:spacing w:after="0" w:line="240" w:lineRule="auto"/>
        <w:ind w:left="10" w:hanging="10"/>
        <w:jc w:val="both"/>
        <w:rPr>
          <w:rFonts w:cstheme="minorHAnsi"/>
          <w:lang w:val="nl-NL"/>
        </w:rPr>
      </w:pPr>
      <w:r w:rsidRPr="00BF1AE2">
        <w:rPr>
          <w:rFonts w:cstheme="minorHAnsi"/>
          <w:b/>
          <w:bCs/>
        </w:rPr>
        <w:lastRenderedPageBreak/>
        <w:t xml:space="preserve">Analyses of case control study: </w:t>
      </w:r>
      <w:r w:rsidRPr="00BF1AE2">
        <w:rPr>
          <w:rFonts w:cstheme="minorHAnsi"/>
          <w:lang w:val="nl-NL"/>
        </w:rPr>
        <w:t xml:space="preserve">The exposure histories of cases and controls were compared to examine the association between exposure and malaria infection (Table S5). </w:t>
      </w:r>
      <w:r w:rsidRPr="00BF1AE2">
        <w:rPr>
          <w:rFonts w:cstheme="minorHAnsi"/>
          <w:color w:val="000000" w:themeColor="text1"/>
          <w:lang w:val="nl-NL"/>
        </w:rPr>
        <w:t xml:space="preserve">The results demonstrated that members of the index cases and controls had different levels of exposure. Living closer to </w:t>
      </w:r>
      <w:r w:rsidRPr="00BF1AE2">
        <w:rPr>
          <w:rFonts w:cstheme="minorHAnsi"/>
          <w:i/>
          <w:color w:val="000000" w:themeColor="text1"/>
          <w:lang w:val="nl-NL"/>
        </w:rPr>
        <w:t>An. stephensi</w:t>
      </w:r>
      <w:r w:rsidRPr="00BF1AE2">
        <w:rPr>
          <w:rFonts w:cstheme="minorHAnsi"/>
          <w:color w:val="000000" w:themeColor="text1"/>
          <w:lang w:val="nl-NL"/>
        </w:rPr>
        <w:t xml:space="preserve"> positive sites defined as larvae within 100m radius to the household and/or adult mosquitoes and </w:t>
      </w:r>
      <w:r w:rsidRPr="00BF1AE2">
        <w:rPr>
          <w:rFonts w:ascii="TimesNewRomanPSMT" w:hAnsi="TimesNewRomanPSMT" w:cstheme="minorHAnsi"/>
          <w:color w:val="000000"/>
          <w:sz w:val="24"/>
          <w:szCs w:val="24"/>
          <w:lang w:val="nl-NL"/>
        </w:rPr>
        <w:t xml:space="preserve">waterbodies (both natural or manmade) were found as risk factors that strongly associated with being a member of the case household/dormitory. </w:t>
      </w:r>
      <w:r w:rsidRPr="00BF1AE2">
        <w:rPr>
          <w:rFonts w:cstheme="minorHAnsi"/>
          <w:lang w:val="nl-NL"/>
        </w:rPr>
        <w:t xml:space="preserve">The odds of usage of spray among members of malaria cases were 58% lower than the odds of usage of spray among controls </w:t>
      </w:r>
      <w:r w:rsidRPr="00BF1AE2">
        <w:rPr>
          <w:rFonts w:cstheme="minorHAnsi"/>
          <w:color w:val="000000" w:themeColor="text1"/>
          <w:lang w:val="nl-NL"/>
        </w:rPr>
        <w:t xml:space="preserve">(ORs 0.42, 95% CI: 0.23-0.72 </w:t>
      </w:r>
      <w:r w:rsidRPr="00BF1AE2">
        <w:rPr>
          <w:rFonts w:cstheme="minorHAnsi"/>
          <w:i/>
          <w:color w:val="000000" w:themeColor="text1"/>
          <w:lang w:val="nl-NL"/>
        </w:rPr>
        <w:t>p</w:t>
      </w:r>
      <w:r w:rsidRPr="00BF1AE2">
        <w:rPr>
          <w:rFonts w:cstheme="minorHAnsi"/>
          <w:color w:val="000000" w:themeColor="text1"/>
          <w:lang w:val="nl-NL"/>
        </w:rPr>
        <w:t>&lt;0.001)</w:t>
      </w:r>
      <w:r w:rsidRPr="00BF1AE2">
        <w:rPr>
          <w:rFonts w:cstheme="minorHAnsi"/>
          <w:lang w:val="nl-NL"/>
        </w:rPr>
        <w:t>. None of the other interventions were associated.</w:t>
      </w:r>
    </w:p>
    <w:p w14:paraId="3DE11B63" w14:textId="77777777" w:rsidR="00BF1AE2" w:rsidRPr="00BF1AE2" w:rsidRDefault="00BF1AE2" w:rsidP="00BF1AE2">
      <w:pPr>
        <w:suppressAutoHyphens/>
        <w:spacing w:after="0" w:line="240" w:lineRule="auto"/>
        <w:jc w:val="both"/>
        <w:rPr>
          <w:rFonts w:cstheme="minorHAnsi"/>
          <w:lang w:val="nl-NL"/>
        </w:rPr>
      </w:pPr>
    </w:p>
    <w:p w14:paraId="7FE4773C" w14:textId="77777777" w:rsidR="00BF1AE2" w:rsidRPr="00BF1AE2" w:rsidRDefault="00BF1AE2" w:rsidP="00BF1AE2">
      <w:pPr>
        <w:tabs>
          <w:tab w:val="left" w:pos="3075"/>
        </w:tabs>
        <w:suppressAutoHyphens/>
        <w:spacing w:after="0" w:line="240" w:lineRule="auto"/>
        <w:rPr>
          <w:rFonts w:cstheme="minorHAnsi"/>
          <w:b/>
          <w:lang w:val="nl-NL"/>
        </w:rPr>
      </w:pPr>
      <w:r w:rsidRPr="00BF1AE2">
        <w:rPr>
          <w:rFonts w:cstheme="minorHAnsi"/>
          <w:b/>
          <w:lang w:val="nl-NL"/>
        </w:rPr>
        <w:t xml:space="preserve">Table </w:t>
      </w:r>
      <w:r w:rsidRPr="00BF1AE2">
        <w:rPr>
          <w:rFonts w:cstheme="minorHAnsi"/>
          <w:b/>
          <w:bCs/>
          <w:lang w:val="nl-NL"/>
        </w:rPr>
        <w:t>S5</w:t>
      </w:r>
      <w:r w:rsidRPr="00BF1AE2">
        <w:rPr>
          <w:rFonts w:cstheme="minorHAnsi"/>
          <w:b/>
          <w:lang w:val="nl-NL"/>
        </w:rPr>
        <w:t>:  Risk factors associated with malaria infection, case control analysis by chi-square test on malaria/exposure contingency tables.</w:t>
      </w:r>
    </w:p>
    <w:tbl>
      <w:tblPr>
        <w:tblStyle w:val="PlainTable2"/>
        <w:tblW w:w="8093" w:type="dxa"/>
        <w:tblLayout w:type="fixed"/>
        <w:tblLook w:val="04A0" w:firstRow="1" w:lastRow="0" w:firstColumn="1" w:lastColumn="0" w:noHBand="0" w:noVBand="1"/>
      </w:tblPr>
      <w:tblGrid>
        <w:gridCol w:w="3700"/>
        <w:gridCol w:w="1361"/>
        <w:gridCol w:w="1778"/>
        <w:gridCol w:w="1254"/>
      </w:tblGrid>
      <w:tr w:rsidR="00BF1AE2" w:rsidRPr="00BF1AE2" w14:paraId="7042F642" w14:textId="77777777" w:rsidTr="00144E32">
        <w:trPr>
          <w:cnfStyle w:val="100000000000" w:firstRow="1" w:lastRow="0" w:firstColumn="0" w:lastColumn="0" w:oddVBand="0" w:evenVBand="0" w:oddHBand="0"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3700" w:type="dxa"/>
            <w:tcBorders>
              <w:right w:val="single" w:sz="4" w:space="0" w:color="000000"/>
            </w:tcBorders>
          </w:tcPr>
          <w:p w14:paraId="7ABF2391" w14:textId="77777777" w:rsidR="00BF1AE2" w:rsidRPr="00BF1AE2" w:rsidRDefault="00BF1AE2" w:rsidP="00BF1AE2">
            <w:pPr>
              <w:rPr>
                <w:rFonts w:eastAsia="Times New Roman" w:cstheme="minorHAnsi"/>
                <w:color w:val="000000"/>
                <w:lang w:val="nl-NL"/>
              </w:rPr>
            </w:pPr>
            <w:r w:rsidRPr="00BF1AE2">
              <w:rPr>
                <w:rFonts w:eastAsia="Times New Roman" w:cstheme="minorHAnsi"/>
                <w:color w:val="000000"/>
                <w:lang w:val="nl-NL"/>
              </w:rPr>
              <w:t xml:space="preserve">Exposure </w:t>
            </w:r>
          </w:p>
        </w:tc>
        <w:tc>
          <w:tcPr>
            <w:tcW w:w="1361" w:type="dxa"/>
            <w:tcBorders>
              <w:left w:val="single" w:sz="4" w:space="0" w:color="000000"/>
              <w:right w:val="single" w:sz="4" w:space="0" w:color="000000"/>
            </w:tcBorders>
          </w:tcPr>
          <w:p w14:paraId="11C46BBD" w14:textId="77777777" w:rsidR="00BF1AE2" w:rsidRPr="00BF1AE2" w:rsidRDefault="00BF1AE2" w:rsidP="00BF1AE2">
            <w:pP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lang w:val="nl-NL"/>
              </w:rPr>
            </w:pPr>
            <w:r w:rsidRPr="00BF1AE2">
              <w:rPr>
                <w:rFonts w:eastAsia="Times New Roman" w:cstheme="minorHAnsi"/>
                <w:color w:val="000000"/>
                <w:lang w:val="nl-NL"/>
              </w:rPr>
              <w:t>Category</w:t>
            </w:r>
          </w:p>
        </w:tc>
        <w:tc>
          <w:tcPr>
            <w:tcW w:w="1778" w:type="dxa"/>
            <w:tcBorders>
              <w:left w:val="single" w:sz="4" w:space="0" w:color="000000"/>
              <w:right w:val="single" w:sz="4" w:space="0" w:color="000000"/>
            </w:tcBorders>
          </w:tcPr>
          <w:p w14:paraId="3765E117" w14:textId="77777777" w:rsidR="00BF1AE2" w:rsidRPr="00BF1AE2" w:rsidRDefault="00BF1AE2" w:rsidP="00BF1AE2">
            <w:pPr>
              <w:jc w:val="right"/>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lang w:val="nl-NL"/>
              </w:rPr>
            </w:pPr>
            <w:r w:rsidRPr="00BF1AE2">
              <w:rPr>
                <w:rFonts w:eastAsia="Times New Roman" w:cstheme="minorHAnsi"/>
                <w:color w:val="000000"/>
                <w:lang w:val="nl-NL"/>
              </w:rPr>
              <w:t>OR (95% CI)</w:t>
            </w:r>
          </w:p>
        </w:tc>
        <w:tc>
          <w:tcPr>
            <w:tcW w:w="1254" w:type="dxa"/>
            <w:tcBorders>
              <w:left w:val="single" w:sz="4" w:space="0" w:color="000000"/>
            </w:tcBorders>
          </w:tcPr>
          <w:p w14:paraId="5A79085E" w14:textId="77777777" w:rsidR="00BF1AE2" w:rsidRPr="00BF1AE2" w:rsidRDefault="00BF1AE2" w:rsidP="00BF1AE2">
            <w:pPr>
              <w:jc w:val="right"/>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lang w:val="nl-NL"/>
              </w:rPr>
            </w:pPr>
            <w:r w:rsidRPr="00BF1AE2">
              <w:rPr>
                <w:rFonts w:eastAsia="Times New Roman" w:cstheme="minorHAnsi"/>
                <w:color w:val="000000"/>
                <w:lang w:val="nl-NL"/>
              </w:rPr>
              <w:t>P value</w:t>
            </w:r>
          </w:p>
        </w:tc>
      </w:tr>
      <w:tr w:rsidR="00BF1AE2" w:rsidRPr="00BF1AE2" w14:paraId="34D1AC94" w14:textId="77777777" w:rsidTr="00144E32">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3700" w:type="dxa"/>
            <w:tcBorders>
              <w:right w:val="single" w:sz="4" w:space="0" w:color="000000"/>
            </w:tcBorders>
          </w:tcPr>
          <w:p w14:paraId="53EE2255" w14:textId="77777777" w:rsidR="00BF1AE2" w:rsidRPr="00BF1AE2" w:rsidRDefault="00BF1AE2" w:rsidP="00BF1AE2">
            <w:pPr>
              <w:rPr>
                <w:rFonts w:eastAsia="Times New Roman" w:cstheme="minorHAnsi"/>
                <w:color w:val="000000"/>
                <w:lang w:val="nl-NL"/>
              </w:rPr>
            </w:pPr>
            <w:r w:rsidRPr="00BF1AE2">
              <w:rPr>
                <w:rFonts w:eastAsia="Times New Roman" w:cstheme="minorHAnsi"/>
                <w:color w:val="000000"/>
                <w:lang w:val="nl-NL"/>
              </w:rPr>
              <w:t>Sex</w:t>
            </w:r>
          </w:p>
        </w:tc>
        <w:tc>
          <w:tcPr>
            <w:tcW w:w="1361" w:type="dxa"/>
            <w:tcBorders>
              <w:left w:val="single" w:sz="4" w:space="0" w:color="000000"/>
              <w:right w:val="single" w:sz="4" w:space="0" w:color="000000"/>
            </w:tcBorders>
          </w:tcPr>
          <w:p w14:paraId="71A8077E" w14:textId="77777777" w:rsidR="00BF1AE2" w:rsidRPr="00BF1AE2" w:rsidRDefault="00BF1AE2" w:rsidP="00BF1AE2">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nl-NL"/>
              </w:rPr>
            </w:pPr>
            <w:r w:rsidRPr="00BF1AE2">
              <w:rPr>
                <w:rFonts w:eastAsia="Times New Roman" w:cstheme="minorHAnsi"/>
                <w:color w:val="000000"/>
                <w:lang w:val="nl-NL"/>
              </w:rPr>
              <w:t>Male</w:t>
            </w:r>
          </w:p>
        </w:tc>
        <w:tc>
          <w:tcPr>
            <w:tcW w:w="1778" w:type="dxa"/>
            <w:tcBorders>
              <w:left w:val="single" w:sz="4" w:space="0" w:color="000000"/>
              <w:right w:val="single" w:sz="4" w:space="0" w:color="000000"/>
            </w:tcBorders>
          </w:tcPr>
          <w:p w14:paraId="56346D33" w14:textId="77777777" w:rsidR="00BF1AE2" w:rsidRPr="00BF1AE2" w:rsidRDefault="00BF1AE2" w:rsidP="00BF1AE2">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nl-NL"/>
              </w:rPr>
            </w:pPr>
            <w:r w:rsidRPr="00BF1AE2">
              <w:rPr>
                <w:rFonts w:eastAsia="Times New Roman" w:cstheme="minorHAnsi"/>
                <w:color w:val="000000"/>
                <w:lang w:val="nl-NL"/>
              </w:rPr>
              <w:t>2.2(1.43,3.39)</w:t>
            </w:r>
          </w:p>
        </w:tc>
        <w:tc>
          <w:tcPr>
            <w:tcW w:w="1254" w:type="dxa"/>
            <w:tcBorders>
              <w:left w:val="single" w:sz="4" w:space="0" w:color="000000"/>
            </w:tcBorders>
          </w:tcPr>
          <w:p w14:paraId="344E2441" w14:textId="77777777" w:rsidR="00BF1AE2" w:rsidRPr="00BF1AE2" w:rsidRDefault="00BF1AE2" w:rsidP="00BF1AE2">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nl-NL"/>
              </w:rPr>
            </w:pPr>
            <w:r w:rsidRPr="00BF1AE2">
              <w:rPr>
                <w:rFonts w:eastAsia="Times New Roman" w:cstheme="minorHAnsi"/>
                <w:color w:val="000000"/>
                <w:lang w:val="nl-NL"/>
              </w:rPr>
              <w:t>&lt;0.001</w:t>
            </w:r>
          </w:p>
        </w:tc>
      </w:tr>
      <w:tr w:rsidR="00BF1AE2" w:rsidRPr="00BF1AE2" w14:paraId="7836CAFD" w14:textId="77777777" w:rsidTr="00144E32">
        <w:trPr>
          <w:trHeight w:val="292"/>
        </w:trPr>
        <w:tc>
          <w:tcPr>
            <w:cnfStyle w:val="001000000000" w:firstRow="0" w:lastRow="0" w:firstColumn="1" w:lastColumn="0" w:oddVBand="0" w:evenVBand="0" w:oddHBand="0" w:evenHBand="0" w:firstRowFirstColumn="0" w:firstRowLastColumn="0" w:lastRowFirstColumn="0" w:lastRowLastColumn="0"/>
            <w:tcW w:w="3700" w:type="dxa"/>
            <w:tcBorders>
              <w:top w:val="nil"/>
              <w:bottom w:val="nil"/>
              <w:right w:val="single" w:sz="4" w:space="0" w:color="000000"/>
            </w:tcBorders>
          </w:tcPr>
          <w:p w14:paraId="6AD670DF" w14:textId="77777777" w:rsidR="00BF1AE2" w:rsidRPr="00BF1AE2" w:rsidRDefault="00BF1AE2" w:rsidP="00BF1AE2">
            <w:pPr>
              <w:rPr>
                <w:rFonts w:eastAsia="Times New Roman" w:cstheme="minorHAnsi"/>
                <w:color w:val="000000"/>
                <w:lang w:val="nl-NL"/>
              </w:rPr>
            </w:pPr>
            <w:r w:rsidRPr="00BF1AE2">
              <w:rPr>
                <w:rFonts w:eastAsia="Times New Roman" w:cstheme="minorHAnsi"/>
                <w:color w:val="000000"/>
                <w:lang w:val="nl-NL"/>
              </w:rPr>
              <w:t>Natural water body presence</w:t>
            </w:r>
          </w:p>
        </w:tc>
        <w:tc>
          <w:tcPr>
            <w:tcW w:w="1361" w:type="dxa"/>
            <w:tcBorders>
              <w:top w:val="nil"/>
              <w:left w:val="single" w:sz="4" w:space="0" w:color="000000"/>
              <w:bottom w:val="nil"/>
              <w:right w:val="single" w:sz="4" w:space="0" w:color="000000"/>
            </w:tcBorders>
          </w:tcPr>
          <w:p w14:paraId="3FB50350" w14:textId="77777777" w:rsidR="00BF1AE2" w:rsidRPr="00BF1AE2" w:rsidRDefault="00BF1AE2" w:rsidP="00BF1AE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nl-NL"/>
              </w:rPr>
            </w:pPr>
            <w:r w:rsidRPr="00BF1AE2">
              <w:rPr>
                <w:rFonts w:eastAsia="Times New Roman" w:cstheme="minorHAnsi"/>
                <w:color w:val="000000"/>
                <w:lang w:val="nl-NL"/>
              </w:rPr>
              <w:t>presence</w:t>
            </w:r>
          </w:p>
        </w:tc>
        <w:tc>
          <w:tcPr>
            <w:tcW w:w="1778" w:type="dxa"/>
            <w:tcBorders>
              <w:top w:val="nil"/>
              <w:left w:val="single" w:sz="4" w:space="0" w:color="000000"/>
              <w:bottom w:val="nil"/>
              <w:right w:val="single" w:sz="4" w:space="0" w:color="000000"/>
            </w:tcBorders>
          </w:tcPr>
          <w:p w14:paraId="1E4CE7E9" w14:textId="77777777" w:rsidR="00BF1AE2" w:rsidRPr="00BF1AE2" w:rsidRDefault="00BF1AE2" w:rsidP="00BF1AE2">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nl-NL"/>
              </w:rPr>
            </w:pPr>
            <w:r w:rsidRPr="00BF1AE2">
              <w:rPr>
                <w:rFonts w:eastAsia="Times New Roman" w:cstheme="minorHAnsi"/>
                <w:color w:val="000000"/>
                <w:lang w:val="nl-NL"/>
              </w:rPr>
              <w:t>1.6(1.18, 2.23)</w:t>
            </w:r>
          </w:p>
        </w:tc>
        <w:tc>
          <w:tcPr>
            <w:tcW w:w="1254" w:type="dxa"/>
            <w:tcBorders>
              <w:top w:val="nil"/>
              <w:left w:val="single" w:sz="4" w:space="0" w:color="000000"/>
              <w:bottom w:val="nil"/>
            </w:tcBorders>
          </w:tcPr>
          <w:p w14:paraId="076992F1" w14:textId="77777777" w:rsidR="00BF1AE2" w:rsidRPr="00BF1AE2" w:rsidRDefault="00BF1AE2" w:rsidP="00BF1AE2">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nl-NL"/>
              </w:rPr>
            </w:pPr>
            <w:r w:rsidRPr="00BF1AE2">
              <w:rPr>
                <w:rFonts w:eastAsia="Times New Roman" w:cstheme="minorHAnsi"/>
                <w:color w:val="000000"/>
                <w:lang w:val="nl-NL"/>
              </w:rPr>
              <w:t>0.002</w:t>
            </w:r>
          </w:p>
        </w:tc>
      </w:tr>
      <w:tr w:rsidR="00BF1AE2" w:rsidRPr="00BF1AE2" w14:paraId="1143F083" w14:textId="77777777" w:rsidTr="00144E32">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3700" w:type="dxa"/>
            <w:tcBorders>
              <w:right w:val="single" w:sz="4" w:space="0" w:color="000000"/>
            </w:tcBorders>
          </w:tcPr>
          <w:p w14:paraId="691648E3" w14:textId="77777777" w:rsidR="00BF1AE2" w:rsidRPr="00BF1AE2" w:rsidRDefault="00BF1AE2" w:rsidP="00BF1AE2">
            <w:pPr>
              <w:rPr>
                <w:rFonts w:eastAsia="Times New Roman" w:cstheme="minorHAnsi"/>
                <w:color w:val="000000"/>
                <w:lang w:val="nl-NL"/>
              </w:rPr>
            </w:pPr>
            <w:r w:rsidRPr="00BF1AE2">
              <w:rPr>
                <w:rFonts w:eastAsia="Times New Roman" w:cstheme="minorHAnsi"/>
                <w:color w:val="000000"/>
                <w:lang w:val="nl-NL"/>
              </w:rPr>
              <w:t>Spray use</w:t>
            </w:r>
          </w:p>
        </w:tc>
        <w:tc>
          <w:tcPr>
            <w:tcW w:w="1361" w:type="dxa"/>
            <w:tcBorders>
              <w:left w:val="single" w:sz="4" w:space="0" w:color="000000"/>
              <w:right w:val="single" w:sz="4" w:space="0" w:color="000000"/>
            </w:tcBorders>
          </w:tcPr>
          <w:p w14:paraId="16F72BC5" w14:textId="77777777" w:rsidR="00BF1AE2" w:rsidRPr="00BF1AE2" w:rsidRDefault="00BF1AE2" w:rsidP="00BF1AE2">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nl-NL"/>
              </w:rPr>
            </w:pPr>
            <w:r w:rsidRPr="00BF1AE2">
              <w:rPr>
                <w:rFonts w:eastAsia="Times New Roman" w:cstheme="minorHAnsi"/>
                <w:color w:val="000000"/>
                <w:lang w:val="nl-NL"/>
              </w:rPr>
              <w:t>yes</w:t>
            </w:r>
          </w:p>
        </w:tc>
        <w:tc>
          <w:tcPr>
            <w:tcW w:w="1778" w:type="dxa"/>
            <w:tcBorders>
              <w:left w:val="single" w:sz="4" w:space="0" w:color="000000"/>
              <w:right w:val="single" w:sz="4" w:space="0" w:color="000000"/>
            </w:tcBorders>
          </w:tcPr>
          <w:p w14:paraId="2356EF59" w14:textId="77777777" w:rsidR="00BF1AE2" w:rsidRPr="00BF1AE2" w:rsidRDefault="00BF1AE2" w:rsidP="00BF1AE2">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nl-NL"/>
              </w:rPr>
            </w:pPr>
            <w:r w:rsidRPr="00BF1AE2">
              <w:rPr>
                <w:rFonts w:eastAsia="Times New Roman" w:cstheme="minorHAnsi"/>
                <w:color w:val="000000"/>
                <w:lang w:val="nl-NL"/>
              </w:rPr>
              <w:t>0.4(0.23,0.72)</w:t>
            </w:r>
          </w:p>
        </w:tc>
        <w:tc>
          <w:tcPr>
            <w:tcW w:w="1254" w:type="dxa"/>
            <w:tcBorders>
              <w:left w:val="single" w:sz="4" w:space="0" w:color="000000"/>
            </w:tcBorders>
          </w:tcPr>
          <w:p w14:paraId="5928E772" w14:textId="77777777" w:rsidR="00BF1AE2" w:rsidRPr="00BF1AE2" w:rsidRDefault="00BF1AE2" w:rsidP="00BF1AE2">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nl-NL"/>
              </w:rPr>
            </w:pPr>
            <w:r w:rsidRPr="00BF1AE2">
              <w:rPr>
                <w:rFonts w:eastAsia="Times New Roman" w:cstheme="minorHAnsi"/>
                <w:color w:val="000000"/>
                <w:lang w:val="nl-NL"/>
              </w:rPr>
              <w:t>0.001</w:t>
            </w:r>
          </w:p>
        </w:tc>
      </w:tr>
      <w:tr w:rsidR="00BF1AE2" w:rsidRPr="00BF1AE2" w14:paraId="61D33253" w14:textId="77777777" w:rsidTr="00144E32">
        <w:trPr>
          <w:trHeight w:val="258"/>
        </w:trPr>
        <w:tc>
          <w:tcPr>
            <w:cnfStyle w:val="001000000000" w:firstRow="0" w:lastRow="0" w:firstColumn="1" w:lastColumn="0" w:oddVBand="0" w:evenVBand="0" w:oddHBand="0" w:evenHBand="0" w:firstRowFirstColumn="0" w:firstRowLastColumn="0" w:lastRowFirstColumn="0" w:lastRowLastColumn="0"/>
            <w:tcW w:w="3700" w:type="dxa"/>
            <w:tcBorders>
              <w:top w:val="nil"/>
              <w:bottom w:val="nil"/>
              <w:right w:val="single" w:sz="4" w:space="0" w:color="000000"/>
            </w:tcBorders>
          </w:tcPr>
          <w:p w14:paraId="766E7ADF" w14:textId="77777777" w:rsidR="00BF1AE2" w:rsidRPr="00BF1AE2" w:rsidRDefault="00BF1AE2" w:rsidP="00BF1AE2">
            <w:pPr>
              <w:rPr>
                <w:rFonts w:eastAsia="Times New Roman" w:cstheme="minorHAnsi"/>
                <w:color w:val="000000"/>
                <w:lang w:val="nl-NL"/>
              </w:rPr>
            </w:pPr>
            <w:r w:rsidRPr="00BF1AE2">
              <w:rPr>
                <w:rFonts w:eastAsia="Times New Roman" w:cstheme="minorHAnsi"/>
                <w:i/>
                <w:iCs/>
                <w:color w:val="000000"/>
                <w:lang w:val="nl-NL"/>
              </w:rPr>
              <w:t>An. stephensi</w:t>
            </w:r>
            <w:r w:rsidRPr="00BF1AE2">
              <w:rPr>
                <w:rFonts w:eastAsia="Times New Roman" w:cstheme="minorHAnsi"/>
                <w:color w:val="000000"/>
                <w:lang w:val="nl-NL"/>
              </w:rPr>
              <w:t xml:space="preserve"> larvae presence</w:t>
            </w:r>
          </w:p>
        </w:tc>
        <w:tc>
          <w:tcPr>
            <w:tcW w:w="1361" w:type="dxa"/>
            <w:tcBorders>
              <w:top w:val="nil"/>
              <w:left w:val="single" w:sz="4" w:space="0" w:color="000000"/>
              <w:bottom w:val="nil"/>
              <w:right w:val="single" w:sz="4" w:space="0" w:color="000000"/>
            </w:tcBorders>
          </w:tcPr>
          <w:p w14:paraId="076CC071" w14:textId="77777777" w:rsidR="00BF1AE2" w:rsidRPr="00BF1AE2" w:rsidRDefault="00BF1AE2" w:rsidP="00BF1AE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nl-NL"/>
              </w:rPr>
            </w:pPr>
            <w:r w:rsidRPr="00BF1AE2">
              <w:rPr>
                <w:rFonts w:eastAsia="Times New Roman" w:cstheme="minorHAnsi"/>
                <w:color w:val="000000"/>
                <w:lang w:val="nl-NL"/>
              </w:rPr>
              <w:t>presence</w:t>
            </w:r>
          </w:p>
        </w:tc>
        <w:tc>
          <w:tcPr>
            <w:tcW w:w="1778" w:type="dxa"/>
            <w:tcBorders>
              <w:top w:val="nil"/>
              <w:left w:val="single" w:sz="4" w:space="0" w:color="000000"/>
              <w:bottom w:val="nil"/>
              <w:right w:val="single" w:sz="4" w:space="0" w:color="000000"/>
            </w:tcBorders>
          </w:tcPr>
          <w:p w14:paraId="721F533D" w14:textId="77777777" w:rsidR="00BF1AE2" w:rsidRPr="00BF1AE2" w:rsidRDefault="00BF1AE2" w:rsidP="00BF1AE2">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nl-NL"/>
              </w:rPr>
            </w:pPr>
            <w:r w:rsidRPr="00BF1AE2">
              <w:rPr>
                <w:rFonts w:eastAsia="Times New Roman" w:cstheme="minorHAnsi"/>
                <w:color w:val="000000"/>
                <w:lang w:val="nl-NL"/>
              </w:rPr>
              <w:t>5.0(2.77,9.35)</w:t>
            </w:r>
          </w:p>
        </w:tc>
        <w:tc>
          <w:tcPr>
            <w:tcW w:w="1254" w:type="dxa"/>
            <w:tcBorders>
              <w:top w:val="nil"/>
              <w:left w:val="single" w:sz="4" w:space="0" w:color="000000"/>
              <w:bottom w:val="nil"/>
            </w:tcBorders>
          </w:tcPr>
          <w:p w14:paraId="36C94119" w14:textId="77777777" w:rsidR="00BF1AE2" w:rsidRPr="00BF1AE2" w:rsidRDefault="00BF1AE2" w:rsidP="00BF1AE2">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nl-NL"/>
              </w:rPr>
            </w:pPr>
            <w:r w:rsidRPr="00BF1AE2">
              <w:rPr>
                <w:rFonts w:eastAsia="Times New Roman" w:cstheme="minorHAnsi"/>
                <w:color w:val="000000"/>
                <w:lang w:val="nl-NL"/>
              </w:rPr>
              <w:t>&lt;0.001</w:t>
            </w:r>
          </w:p>
        </w:tc>
      </w:tr>
      <w:tr w:rsidR="00BF1AE2" w:rsidRPr="00BF1AE2" w14:paraId="77000EDE" w14:textId="77777777" w:rsidTr="00144E32">
        <w:trPr>
          <w:cnfStyle w:val="000000100000" w:firstRow="0" w:lastRow="0" w:firstColumn="0" w:lastColumn="0" w:oddVBand="0" w:evenVBand="0" w:oddHBand="1" w:evenHBand="0" w:firstRowFirstColumn="0" w:firstRowLastColumn="0" w:lastRowFirstColumn="0" w:lastRowLastColumn="0"/>
          <w:trHeight w:val="351"/>
        </w:trPr>
        <w:tc>
          <w:tcPr>
            <w:cnfStyle w:val="001000000000" w:firstRow="0" w:lastRow="0" w:firstColumn="1" w:lastColumn="0" w:oddVBand="0" w:evenVBand="0" w:oddHBand="0" w:evenHBand="0" w:firstRowFirstColumn="0" w:firstRowLastColumn="0" w:lastRowFirstColumn="0" w:lastRowLastColumn="0"/>
            <w:tcW w:w="3700" w:type="dxa"/>
            <w:tcBorders>
              <w:right w:val="single" w:sz="4" w:space="0" w:color="000000"/>
            </w:tcBorders>
          </w:tcPr>
          <w:p w14:paraId="7E3E769C" w14:textId="77777777" w:rsidR="00BF1AE2" w:rsidRPr="00BF1AE2" w:rsidRDefault="00BF1AE2" w:rsidP="00BF1AE2">
            <w:pPr>
              <w:rPr>
                <w:rFonts w:eastAsia="Times New Roman" w:cstheme="minorHAnsi"/>
                <w:color w:val="000000"/>
                <w:lang w:val="nl-NL"/>
              </w:rPr>
            </w:pPr>
            <w:r w:rsidRPr="00BF1AE2">
              <w:rPr>
                <w:rFonts w:eastAsia="Times New Roman" w:cstheme="minorHAnsi"/>
                <w:i/>
                <w:iCs/>
                <w:color w:val="000000"/>
                <w:lang w:val="nl-NL"/>
              </w:rPr>
              <w:t>An. stephensi</w:t>
            </w:r>
            <w:r w:rsidRPr="00BF1AE2">
              <w:rPr>
                <w:rFonts w:eastAsia="Times New Roman" w:cstheme="minorHAnsi"/>
                <w:color w:val="000000"/>
                <w:lang w:val="nl-NL"/>
              </w:rPr>
              <w:t xml:space="preserve"> adult presence</w:t>
            </w:r>
          </w:p>
        </w:tc>
        <w:tc>
          <w:tcPr>
            <w:tcW w:w="1361" w:type="dxa"/>
            <w:tcBorders>
              <w:left w:val="single" w:sz="4" w:space="0" w:color="000000"/>
              <w:right w:val="single" w:sz="4" w:space="0" w:color="000000"/>
            </w:tcBorders>
          </w:tcPr>
          <w:p w14:paraId="3D59446B" w14:textId="77777777" w:rsidR="00BF1AE2" w:rsidRPr="00BF1AE2" w:rsidRDefault="00BF1AE2" w:rsidP="00BF1AE2">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nl-NL"/>
              </w:rPr>
            </w:pPr>
            <w:r w:rsidRPr="00BF1AE2">
              <w:rPr>
                <w:rFonts w:eastAsia="Times New Roman" w:cstheme="minorHAnsi"/>
                <w:color w:val="000000"/>
                <w:lang w:val="nl-NL"/>
              </w:rPr>
              <w:t>presence</w:t>
            </w:r>
          </w:p>
        </w:tc>
        <w:tc>
          <w:tcPr>
            <w:tcW w:w="1778" w:type="dxa"/>
            <w:tcBorders>
              <w:left w:val="single" w:sz="4" w:space="0" w:color="000000"/>
              <w:right w:val="single" w:sz="4" w:space="0" w:color="000000"/>
            </w:tcBorders>
          </w:tcPr>
          <w:p w14:paraId="24A29F8E" w14:textId="77777777" w:rsidR="00BF1AE2" w:rsidRPr="00BF1AE2" w:rsidRDefault="00BF1AE2" w:rsidP="00BF1AE2">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nl-NL"/>
              </w:rPr>
            </w:pPr>
            <w:r w:rsidRPr="00BF1AE2">
              <w:rPr>
                <w:rFonts w:eastAsia="Times New Roman" w:cstheme="minorHAnsi"/>
                <w:color w:val="000000"/>
                <w:lang w:val="nl-NL"/>
              </w:rPr>
              <w:t>1.9(0.88,3.96)</w:t>
            </w:r>
          </w:p>
        </w:tc>
        <w:tc>
          <w:tcPr>
            <w:tcW w:w="1254" w:type="dxa"/>
            <w:tcBorders>
              <w:left w:val="single" w:sz="4" w:space="0" w:color="000000"/>
            </w:tcBorders>
          </w:tcPr>
          <w:p w14:paraId="0DCFC688" w14:textId="77777777" w:rsidR="00BF1AE2" w:rsidRPr="00BF1AE2" w:rsidRDefault="00BF1AE2" w:rsidP="00BF1AE2">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nl-NL"/>
              </w:rPr>
            </w:pPr>
            <w:r w:rsidRPr="00BF1AE2">
              <w:rPr>
                <w:rFonts w:eastAsia="Times New Roman" w:cstheme="minorHAnsi"/>
                <w:color w:val="000000"/>
                <w:lang w:val="nl-NL"/>
              </w:rPr>
              <w:t>0.068</w:t>
            </w:r>
          </w:p>
        </w:tc>
      </w:tr>
      <w:tr w:rsidR="00BF1AE2" w:rsidRPr="00BF1AE2" w14:paraId="289B09AB" w14:textId="77777777" w:rsidTr="00144E32">
        <w:trPr>
          <w:trHeight w:val="351"/>
        </w:trPr>
        <w:tc>
          <w:tcPr>
            <w:cnfStyle w:val="001000000000" w:firstRow="0" w:lastRow="0" w:firstColumn="1" w:lastColumn="0" w:oddVBand="0" w:evenVBand="0" w:oddHBand="0" w:evenHBand="0" w:firstRowFirstColumn="0" w:firstRowLastColumn="0" w:lastRowFirstColumn="0" w:lastRowLastColumn="0"/>
            <w:tcW w:w="3700" w:type="dxa"/>
            <w:tcBorders>
              <w:top w:val="nil"/>
              <w:bottom w:val="nil"/>
              <w:right w:val="single" w:sz="4" w:space="0" w:color="000000"/>
            </w:tcBorders>
          </w:tcPr>
          <w:p w14:paraId="58475515" w14:textId="77777777" w:rsidR="00BF1AE2" w:rsidRPr="00BF1AE2" w:rsidRDefault="00BF1AE2" w:rsidP="00BF1AE2">
            <w:pPr>
              <w:rPr>
                <w:rFonts w:cstheme="minorHAnsi"/>
                <w:color w:val="000000"/>
                <w:lang w:val="nl-NL"/>
              </w:rPr>
            </w:pPr>
            <w:r w:rsidRPr="00BF1AE2">
              <w:rPr>
                <w:rFonts w:cstheme="minorHAnsi"/>
                <w:i/>
                <w:color w:val="000000"/>
                <w:lang w:val="nl-NL"/>
              </w:rPr>
              <w:t>An. stephensi</w:t>
            </w:r>
            <w:r w:rsidRPr="00BF1AE2">
              <w:rPr>
                <w:rFonts w:cstheme="minorHAnsi"/>
                <w:color w:val="000000"/>
                <w:lang w:val="nl-NL"/>
              </w:rPr>
              <w:t xml:space="preserve"> larvae/adult presence</w:t>
            </w:r>
          </w:p>
        </w:tc>
        <w:tc>
          <w:tcPr>
            <w:tcW w:w="1361" w:type="dxa"/>
            <w:tcBorders>
              <w:top w:val="nil"/>
              <w:left w:val="single" w:sz="4" w:space="0" w:color="000000"/>
              <w:bottom w:val="nil"/>
              <w:right w:val="single" w:sz="4" w:space="0" w:color="000000"/>
            </w:tcBorders>
          </w:tcPr>
          <w:p w14:paraId="4397D8FA" w14:textId="77777777" w:rsidR="00BF1AE2" w:rsidRPr="00BF1AE2" w:rsidRDefault="00BF1AE2" w:rsidP="00BF1AE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nl-NL"/>
              </w:rPr>
            </w:pPr>
            <w:r w:rsidRPr="00BF1AE2">
              <w:rPr>
                <w:rFonts w:eastAsia="Times New Roman" w:cstheme="minorHAnsi"/>
                <w:color w:val="000000"/>
                <w:lang w:val="nl-NL"/>
              </w:rPr>
              <w:t>presence</w:t>
            </w:r>
          </w:p>
        </w:tc>
        <w:tc>
          <w:tcPr>
            <w:tcW w:w="1778" w:type="dxa"/>
            <w:tcBorders>
              <w:top w:val="nil"/>
              <w:left w:val="single" w:sz="4" w:space="0" w:color="000000"/>
              <w:bottom w:val="nil"/>
              <w:right w:val="single" w:sz="4" w:space="0" w:color="000000"/>
            </w:tcBorders>
          </w:tcPr>
          <w:p w14:paraId="336BBA33" w14:textId="77777777" w:rsidR="00BF1AE2" w:rsidRPr="00BF1AE2" w:rsidRDefault="00BF1AE2" w:rsidP="00BF1AE2">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nl-NL"/>
              </w:rPr>
            </w:pPr>
            <w:r w:rsidRPr="00BF1AE2">
              <w:rPr>
                <w:rFonts w:eastAsia="Times New Roman" w:cstheme="minorHAnsi"/>
                <w:color w:val="000000"/>
                <w:lang w:val="nl-NL"/>
              </w:rPr>
              <w:t>3.8(2.34,6.31)</w:t>
            </w:r>
          </w:p>
        </w:tc>
        <w:tc>
          <w:tcPr>
            <w:tcW w:w="1254" w:type="dxa"/>
            <w:tcBorders>
              <w:top w:val="nil"/>
              <w:left w:val="single" w:sz="4" w:space="0" w:color="000000"/>
              <w:bottom w:val="nil"/>
            </w:tcBorders>
          </w:tcPr>
          <w:p w14:paraId="46D30607" w14:textId="77777777" w:rsidR="00BF1AE2" w:rsidRPr="00BF1AE2" w:rsidRDefault="00BF1AE2" w:rsidP="00BF1AE2">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nl-NL"/>
              </w:rPr>
            </w:pPr>
            <w:r w:rsidRPr="00BF1AE2">
              <w:rPr>
                <w:rFonts w:eastAsia="Times New Roman" w:cstheme="minorHAnsi"/>
                <w:color w:val="000000"/>
                <w:lang w:val="nl-NL"/>
              </w:rPr>
              <w:t>&lt;0.001</w:t>
            </w:r>
          </w:p>
        </w:tc>
      </w:tr>
      <w:tr w:rsidR="00BF1AE2" w:rsidRPr="00BF1AE2" w14:paraId="23626C1D" w14:textId="77777777" w:rsidTr="00144E32">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3700" w:type="dxa"/>
            <w:tcBorders>
              <w:right w:val="single" w:sz="4" w:space="0" w:color="000000"/>
            </w:tcBorders>
          </w:tcPr>
          <w:p w14:paraId="5ECEB7C4" w14:textId="77777777" w:rsidR="00BF1AE2" w:rsidRPr="00BF1AE2" w:rsidRDefault="00BF1AE2" w:rsidP="00BF1AE2">
            <w:pPr>
              <w:rPr>
                <w:rFonts w:eastAsia="Times New Roman" w:cstheme="minorHAnsi"/>
                <w:color w:val="000000"/>
                <w:lang w:val="nl-NL"/>
              </w:rPr>
            </w:pPr>
            <w:r w:rsidRPr="00BF1AE2">
              <w:rPr>
                <w:rFonts w:eastAsia="Times New Roman" w:cstheme="minorHAnsi"/>
                <w:color w:val="000000"/>
                <w:lang w:val="nl-NL"/>
              </w:rPr>
              <w:t>LLIN use</w:t>
            </w:r>
          </w:p>
        </w:tc>
        <w:tc>
          <w:tcPr>
            <w:tcW w:w="1361" w:type="dxa"/>
            <w:tcBorders>
              <w:left w:val="single" w:sz="4" w:space="0" w:color="000000"/>
              <w:right w:val="single" w:sz="4" w:space="0" w:color="000000"/>
            </w:tcBorders>
          </w:tcPr>
          <w:p w14:paraId="3B6CC174" w14:textId="77777777" w:rsidR="00BF1AE2" w:rsidRPr="00BF1AE2" w:rsidRDefault="00BF1AE2" w:rsidP="00BF1AE2">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nl-NL"/>
              </w:rPr>
            </w:pPr>
            <w:r w:rsidRPr="00BF1AE2">
              <w:rPr>
                <w:rFonts w:eastAsia="Times New Roman" w:cstheme="minorHAnsi"/>
                <w:color w:val="000000"/>
                <w:lang w:val="nl-NL"/>
              </w:rPr>
              <w:t>yes</w:t>
            </w:r>
          </w:p>
        </w:tc>
        <w:tc>
          <w:tcPr>
            <w:tcW w:w="1778" w:type="dxa"/>
            <w:tcBorders>
              <w:left w:val="single" w:sz="4" w:space="0" w:color="000000"/>
              <w:right w:val="single" w:sz="4" w:space="0" w:color="000000"/>
            </w:tcBorders>
          </w:tcPr>
          <w:p w14:paraId="56466484" w14:textId="77777777" w:rsidR="00BF1AE2" w:rsidRPr="00BF1AE2" w:rsidRDefault="00BF1AE2" w:rsidP="00BF1AE2">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nl-NL"/>
              </w:rPr>
            </w:pPr>
            <w:r w:rsidRPr="00BF1AE2">
              <w:rPr>
                <w:rFonts w:eastAsia="Times New Roman" w:cstheme="minorHAnsi"/>
                <w:color w:val="000000"/>
                <w:lang w:val="nl-NL"/>
              </w:rPr>
              <w:t>0.8(0.61,1.07)</w:t>
            </w:r>
          </w:p>
        </w:tc>
        <w:tc>
          <w:tcPr>
            <w:tcW w:w="1254" w:type="dxa"/>
            <w:tcBorders>
              <w:left w:val="single" w:sz="4" w:space="0" w:color="000000"/>
            </w:tcBorders>
          </w:tcPr>
          <w:p w14:paraId="658B12F0" w14:textId="77777777" w:rsidR="00BF1AE2" w:rsidRPr="00BF1AE2" w:rsidRDefault="00BF1AE2" w:rsidP="00BF1AE2">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nl-NL"/>
              </w:rPr>
            </w:pPr>
            <w:r w:rsidRPr="00BF1AE2">
              <w:rPr>
                <w:rFonts w:eastAsia="Times New Roman" w:cstheme="minorHAnsi"/>
                <w:color w:val="000000"/>
                <w:lang w:val="nl-NL"/>
              </w:rPr>
              <w:t>0.125</w:t>
            </w:r>
          </w:p>
        </w:tc>
      </w:tr>
      <w:tr w:rsidR="00BF1AE2" w:rsidRPr="00BF1AE2" w14:paraId="7B18F526" w14:textId="77777777" w:rsidTr="00144E32">
        <w:trPr>
          <w:trHeight w:val="292"/>
        </w:trPr>
        <w:tc>
          <w:tcPr>
            <w:cnfStyle w:val="001000000000" w:firstRow="0" w:lastRow="0" w:firstColumn="1" w:lastColumn="0" w:oddVBand="0" w:evenVBand="0" w:oddHBand="0" w:evenHBand="0" w:firstRowFirstColumn="0" w:firstRowLastColumn="0" w:lastRowFirstColumn="0" w:lastRowLastColumn="0"/>
            <w:tcW w:w="3700" w:type="dxa"/>
            <w:tcBorders>
              <w:top w:val="nil"/>
              <w:bottom w:val="nil"/>
              <w:right w:val="single" w:sz="4" w:space="0" w:color="000000"/>
            </w:tcBorders>
          </w:tcPr>
          <w:p w14:paraId="11DA4FBB" w14:textId="77777777" w:rsidR="00BF1AE2" w:rsidRPr="00BF1AE2" w:rsidRDefault="00BF1AE2" w:rsidP="00BF1AE2">
            <w:pPr>
              <w:rPr>
                <w:rFonts w:eastAsia="Times New Roman" w:cstheme="minorHAnsi"/>
                <w:color w:val="000000"/>
                <w:lang w:val="nl-NL"/>
              </w:rPr>
            </w:pPr>
            <w:r w:rsidRPr="00BF1AE2">
              <w:rPr>
                <w:rFonts w:eastAsia="Times New Roman" w:cstheme="minorHAnsi"/>
                <w:color w:val="000000"/>
                <w:lang w:val="nl-NL"/>
              </w:rPr>
              <w:t>Travel history in the last month</w:t>
            </w:r>
          </w:p>
        </w:tc>
        <w:tc>
          <w:tcPr>
            <w:tcW w:w="1361" w:type="dxa"/>
            <w:tcBorders>
              <w:top w:val="nil"/>
              <w:left w:val="single" w:sz="4" w:space="0" w:color="000000"/>
              <w:bottom w:val="nil"/>
              <w:right w:val="single" w:sz="4" w:space="0" w:color="000000"/>
            </w:tcBorders>
          </w:tcPr>
          <w:p w14:paraId="7F317F70" w14:textId="77777777" w:rsidR="00BF1AE2" w:rsidRPr="00BF1AE2" w:rsidRDefault="00BF1AE2" w:rsidP="00BF1AE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nl-NL"/>
              </w:rPr>
            </w:pPr>
            <w:r w:rsidRPr="00BF1AE2">
              <w:rPr>
                <w:rFonts w:eastAsia="Times New Roman" w:cstheme="minorHAnsi"/>
                <w:color w:val="000000"/>
                <w:lang w:val="nl-NL"/>
              </w:rPr>
              <w:t>yes</w:t>
            </w:r>
          </w:p>
        </w:tc>
        <w:tc>
          <w:tcPr>
            <w:tcW w:w="1778" w:type="dxa"/>
            <w:tcBorders>
              <w:top w:val="nil"/>
              <w:left w:val="single" w:sz="4" w:space="0" w:color="000000"/>
              <w:bottom w:val="nil"/>
              <w:right w:val="single" w:sz="4" w:space="0" w:color="000000"/>
            </w:tcBorders>
          </w:tcPr>
          <w:p w14:paraId="28F2E8F8" w14:textId="77777777" w:rsidR="00BF1AE2" w:rsidRPr="00BF1AE2" w:rsidRDefault="00BF1AE2" w:rsidP="00BF1AE2">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nl-NL"/>
              </w:rPr>
            </w:pPr>
            <w:r w:rsidRPr="00BF1AE2">
              <w:rPr>
                <w:rFonts w:eastAsia="Times New Roman" w:cstheme="minorHAnsi"/>
                <w:color w:val="000000"/>
                <w:lang w:val="nl-NL"/>
              </w:rPr>
              <w:t>1.2(0.72,1.93)</w:t>
            </w:r>
          </w:p>
        </w:tc>
        <w:tc>
          <w:tcPr>
            <w:tcW w:w="1254" w:type="dxa"/>
            <w:tcBorders>
              <w:top w:val="nil"/>
              <w:left w:val="single" w:sz="4" w:space="0" w:color="000000"/>
              <w:bottom w:val="nil"/>
            </w:tcBorders>
          </w:tcPr>
          <w:p w14:paraId="09E0408C" w14:textId="77777777" w:rsidR="00BF1AE2" w:rsidRPr="00BF1AE2" w:rsidRDefault="00BF1AE2" w:rsidP="00BF1AE2">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nl-NL"/>
              </w:rPr>
            </w:pPr>
            <w:r w:rsidRPr="00BF1AE2">
              <w:rPr>
                <w:rFonts w:eastAsia="Times New Roman" w:cstheme="minorHAnsi"/>
                <w:color w:val="000000"/>
                <w:lang w:val="nl-NL"/>
              </w:rPr>
              <w:t>0.464</w:t>
            </w:r>
          </w:p>
        </w:tc>
      </w:tr>
      <w:tr w:rsidR="00BF1AE2" w:rsidRPr="00BF1AE2" w14:paraId="3691DB50" w14:textId="77777777" w:rsidTr="00144E32">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3700" w:type="dxa"/>
            <w:tcBorders>
              <w:right w:val="single" w:sz="4" w:space="0" w:color="000000"/>
            </w:tcBorders>
          </w:tcPr>
          <w:p w14:paraId="0781BF26" w14:textId="77777777" w:rsidR="00BF1AE2" w:rsidRPr="00BF1AE2" w:rsidRDefault="00BF1AE2" w:rsidP="00BF1AE2">
            <w:pPr>
              <w:rPr>
                <w:rFonts w:eastAsia="Times New Roman" w:cstheme="minorHAnsi"/>
                <w:color w:val="000000"/>
                <w:lang w:val="nl-NL"/>
              </w:rPr>
            </w:pPr>
            <w:r w:rsidRPr="00BF1AE2">
              <w:rPr>
                <w:rFonts w:eastAsia="Times New Roman" w:cstheme="minorHAnsi"/>
                <w:color w:val="000000"/>
                <w:lang w:val="nl-NL"/>
              </w:rPr>
              <w:t>Eave opened</w:t>
            </w:r>
          </w:p>
        </w:tc>
        <w:tc>
          <w:tcPr>
            <w:tcW w:w="1361" w:type="dxa"/>
            <w:tcBorders>
              <w:left w:val="single" w:sz="4" w:space="0" w:color="000000"/>
              <w:right w:val="single" w:sz="4" w:space="0" w:color="000000"/>
            </w:tcBorders>
          </w:tcPr>
          <w:p w14:paraId="178ED086" w14:textId="77777777" w:rsidR="00BF1AE2" w:rsidRPr="00BF1AE2" w:rsidRDefault="00BF1AE2" w:rsidP="00BF1AE2">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nl-NL"/>
              </w:rPr>
            </w:pPr>
            <w:r w:rsidRPr="00BF1AE2">
              <w:rPr>
                <w:rFonts w:eastAsia="Times New Roman" w:cstheme="minorHAnsi"/>
                <w:color w:val="000000"/>
                <w:lang w:val="nl-NL"/>
              </w:rPr>
              <w:t>yes</w:t>
            </w:r>
          </w:p>
        </w:tc>
        <w:tc>
          <w:tcPr>
            <w:tcW w:w="1778" w:type="dxa"/>
            <w:tcBorders>
              <w:left w:val="single" w:sz="4" w:space="0" w:color="000000"/>
              <w:right w:val="single" w:sz="4" w:space="0" w:color="000000"/>
            </w:tcBorders>
          </w:tcPr>
          <w:p w14:paraId="5CE2759A" w14:textId="77777777" w:rsidR="00BF1AE2" w:rsidRPr="00BF1AE2" w:rsidRDefault="00BF1AE2" w:rsidP="00BF1AE2">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nl-NL"/>
              </w:rPr>
            </w:pPr>
            <w:r w:rsidRPr="00BF1AE2">
              <w:rPr>
                <w:rFonts w:eastAsia="Times New Roman" w:cstheme="minorHAnsi"/>
                <w:color w:val="000000"/>
                <w:lang w:val="nl-NL"/>
              </w:rPr>
              <w:t>0.8(0.57,1.07)</w:t>
            </w:r>
          </w:p>
        </w:tc>
        <w:tc>
          <w:tcPr>
            <w:tcW w:w="1254" w:type="dxa"/>
            <w:tcBorders>
              <w:left w:val="single" w:sz="4" w:space="0" w:color="000000"/>
            </w:tcBorders>
          </w:tcPr>
          <w:p w14:paraId="76C67560" w14:textId="77777777" w:rsidR="00BF1AE2" w:rsidRPr="00BF1AE2" w:rsidRDefault="00BF1AE2" w:rsidP="00BF1AE2">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nl-NL"/>
              </w:rPr>
            </w:pPr>
            <w:r w:rsidRPr="00BF1AE2">
              <w:rPr>
                <w:rFonts w:eastAsia="Times New Roman" w:cstheme="minorHAnsi"/>
                <w:color w:val="000000"/>
                <w:lang w:val="nl-NL"/>
              </w:rPr>
              <w:t>0.118</w:t>
            </w:r>
          </w:p>
        </w:tc>
      </w:tr>
      <w:tr w:rsidR="00BF1AE2" w:rsidRPr="00BF1AE2" w14:paraId="1607E635" w14:textId="77777777" w:rsidTr="00144E32">
        <w:trPr>
          <w:trHeight w:val="292"/>
        </w:trPr>
        <w:tc>
          <w:tcPr>
            <w:cnfStyle w:val="001000000000" w:firstRow="0" w:lastRow="0" w:firstColumn="1" w:lastColumn="0" w:oddVBand="0" w:evenVBand="0" w:oddHBand="0" w:evenHBand="0" w:firstRowFirstColumn="0" w:firstRowLastColumn="0" w:lastRowFirstColumn="0" w:lastRowLastColumn="0"/>
            <w:tcW w:w="3700" w:type="dxa"/>
            <w:tcBorders>
              <w:top w:val="nil"/>
              <w:bottom w:val="nil"/>
              <w:right w:val="single" w:sz="4" w:space="0" w:color="000000"/>
            </w:tcBorders>
          </w:tcPr>
          <w:p w14:paraId="14975439" w14:textId="77777777" w:rsidR="00BF1AE2" w:rsidRPr="00BF1AE2" w:rsidRDefault="00BF1AE2" w:rsidP="00BF1AE2">
            <w:pPr>
              <w:rPr>
                <w:rFonts w:eastAsia="Times New Roman" w:cstheme="minorHAnsi"/>
                <w:color w:val="000000"/>
                <w:lang w:val="nl-NL"/>
              </w:rPr>
            </w:pPr>
            <w:r w:rsidRPr="00BF1AE2">
              <w:rPr>
                <w:rFonts w:eastAsia="Times New Roman" w:cstheme="minorHAnsi"/>
                <w:color w:val="000000"/>
                <w:lang w:val="nl-NL"/>
              </w:rPr>
              <w:t>Livestock presence</w:t>
            </w:r>
          </w:p>
        </w:tc>
        <w:tc>
          <w:tcPr>
            <w:tcW w:w="1361" w:type="dxa"/>
            <w:tcBorders>
              <w:top w:val="nil"/>
              <w:left w:val="single" w:sz="4" w:space="0" w:color="000000"/>
              <w:bottom w:val="nil"/>
              <w:right w:val="single" w:sz="4" w:space="0" w:color="000000"/>
            </w:tcBorders>
          </w:tcPr>
          <w:p w14:paraId="0C86BF1D" w14:textId="77777777" w:rsidR="00BF1AE2" w:rsidRPr="00BF1AE2" w:rsidRDefault="00BF1AE2" w:rsidP="00BF1AE2">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nl-NL"/>
              </w:rPr>
            </w:pPr>
            <w:r w:rsidRPr="00BF1AE2">
              <w:rPr>
                <w:rFonts w:eastAsia="Times New Roman" w:cstheme="minorHAnsi"/>
                <w:color w:val="000000"/>
                <w:lang w:val="nl-NL"/>
              </w:rPr>
              <w:t>presence</w:t>
            </w:r>
          </w:p>
        </w:tc>
        <w:tc>
          <w:tcPr>
            <w:tcW w:w="1778" w:type="dxa"/>
            <w:tcBorders>
              <w:top w:val="nil"/>
              <w:left w:val="single" w:sz="4" w:space="0" w:color="000000"/>
              <w:bottom w:val="nil"/>
              <w:right w:val="single" w:sz="4" w:space="0" w:color="000000"/>
            </w:tcBorders>
          </w:tcPr>
          <w:p w14:paraId="285E7C0D" w14:textId="77777777" w:rsidR="00BF1AE2" w:rsidRPr="00BF1AE2" w:rsidRDefault="00BF1AE2" w:rsidP="00BF1AE2">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nl-NL"/>
              </w:rPr>
            </w:pPr>
            <w:r w:rsidRPr="00BF1AE2">
              <w:rPr>
                <w:rFonts w:eastAsia="Times New Roman" w:cstheme="minorHAnsi"/>
                <w:color w:val="000000"/>
                <w:lang w:val="nl-NL"/>
              </w:rPr>
              <w:t>1.2(0.88,1.72)</w:t>
            </w:r>
          </w:p>
        </w:tc>
        <w:tc>
          <w:tcPr>
            <w:tcW w:w="1254" w:type="dxa"/>
            <w:tcBorders>
              <w:top w:val="nil"/>
              <w:left w:val="single" w:sz="4" w:space="0" w:color="000000"/>
              <w:bottom w:val="nil"/>
            </w:tcBorders>
          </w:tcPr>
          <w:p w14:paraId="4BC9C142" w14:textId="77777777" w:rsidR="00BF1AE2" w:rsidRPr="00BF1AE2" w:rsidRDefault="00BF1AE2" w:rsidP="00BF1AE2">
            <w:pPr>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val="nl-NL"/>
              </w:rPr>
            </w:pPr>
            <w:r w:rsidRPr="00BF1AE2">
              <w:rPr>
                <w:rFonts w:eastAsia="Times New Roman" w:cstheme="minorHAnsi"/>
                <w:color w:val="000000"/>
                <w:lang w:val="nl-NL"/>
              </w:rPr>
              <w:t>0.254</w:t>
            </w:r>
          </w:p>
        </w:tc>
      </w:tr>
      <w:tr w:rsidR="00BF1AE2" w:rsidRPr="00BF1AE2" w14:paraId="4F18BE46" w14:textId="77777777" w:rsidTr="00144E32">
        <w:trPr>
          <w:cnfStyle w:val="000000100000" w:firstRow="0" w:lastRow="0" w:firstColumn="0" w:lastColumn="0" w:oddVBand="0" w:evenVBand="0" w:oddHBand="1" w:evenHBand="0" w:firstRowFirstColumn="0" w:firstRowLastColumn="0" w:lastRowFirstColumn="0" w:lastRowLastColumn="0"/>
          <w:trHeight w:val="268"/>
        </w:trPr>
        <w:tc>
          <w:tcPr>
            <w:cnfStyle w:val="001000000000" w:firstRow="0" w:lastRow="0" w:firstColumn="1" w:lastColumn="0" w:oddVBand="0" w:evenVBand="0" w:oddHBand="0" w:evenHBand="0" w:firstRowFirstColumn="0" w:firstRowLastColumn="0" w:lastRowFirstColumn="0" w:lastRowLastColumn="0"/>
            <w:tcW w:w="3700" w:type="dxa"/>
            <w:tcBorders>
              <w:right w:val="single" w:sz="4" w:space="0" w:color="000000"/>
            </w:tcBorders>
          </w:tcPr>
          <w:p w14:paraId="481741F1" w14:textId="77777777" w:rsidR="00BF1AE2" w:rsidRPr="00BF1AE2" w:rsidRDefault="00BF1AE2" w:rsidP="00BF1AE2">
            <w:pPr>
              <w:rPr>
                <w:rFonts w:eastAsia="Times New Roman" w:cstheme="minorHAnsi"/>
                <w:color w:val="000000"/>
                <w:lang w:val="nl-NL"/>
              </w:rPr>
            </w:pPr>
            <w:r w:rsidRPr="00BF1AE2">
              <w:rPr>
                <w:rFonts w:eastAsia="Times New Roman" w:cstheme="minorHAnsi"/>
                <w:color w:val="000000"/>
                <w:lang w:val="nl-NL"/>
              </w:rPr>
              <w:t xml:space="preserve">Distance from manmade container </w:t>
            </w:r>
          </w:p>
        </w:tc>
        <w:tc>
          <w:tcPr>
            <w:tcW w:w="1361" w:type="dxa"/>
            <w:tcBorders>
              <w:left w:val="single" w:sz="4" w:space="0" w:color="000000"/>
              <w:right w:val="single" w:sz="4" w:space="0" w:color="000000"/>
            </w:tcBorders>
          </w:tcPr>
          <w:p w14:paraId="3F49875A" w14:textId="77777777" w:rsidR="00BF1AE2" w:rsidRPr="00BF1AE2" w:rsidRDefault="00BF1AE2" w:rsidP="00BF1AE2">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nl-NL"/>
              </w:rPr>
            </w:pPr>
            <w:r w:rsidRPr="00BF1AE2">
              <w:rPr>
                <w:rFonts w:eastAsia="Times New Roman" w:cstheme="minorHAnsi"/>
                <w:color w:val="000000"/>
                <w:lang w:val="nl-NL"/>
              </w:rPr>
              <w:t>&gt;100m</w:t>
            </w:r>
          </w:p>
        </w:tc>
        <w:tc>
          <w:tcPr>
            <w:tcW w:w="1778" w:type="dxa"/>
            <w:tcBorders>
              <w:left w:val="single" w:sz="4" w:space="0" w:color="000000"/>
              <w:right w:val="single" w:sz="4" w:space="0" w:color="000000"/>
            </w:tcBorders>
          </w:tcPr>
          <w:p w14:paraId="02DA6882" w14:textId="77777777" w:rsidR="00BF1AE2" w:rsidRPr="00BF1AE2" w:rsidRDefault="00BF1AE2" w:rsidP="00BF1AE2">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nl-NL"/>
              </w:rPr>
            </w:pPr>
            <w:r w:rsidRPr="00BF1AE2">
              <w:rPr>
                <w:rFonts w:eastAsia="Times New Roman" w:cstheme="minorHAnsi"/>
                <w:color w:val="000000"/>
                <w:lang w:val="nl-NL"/>
              </w:rPr>
              <w:t>0.7(0.53,0.95)</w:t>
            </w:r>
          </w:p>
        </w:tc>
        <w:tc>
          <w:tcPr>
            <w:tcW w:w="1254" w:type="dxa"/>
            <w:tcBorders>
              <w:left w:val="single" w:sz="4" w:space="0" w:color="000000"/>
            </w:tcBorders>
          </w:tcPr>
          <w:p w14:paraId="0FE7EA6B" w14:textId="77777777" w:rsidR="00BF1AE2" w:rsidRPr="00BF1AE2" w:rsidRDefault="00BF1AE2" w:rsidP="00BF1AE2">
            <w:pPr>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val="nl-NL"/>
              </w:rPr>
            </w:pPr>
            <w:r w:rsidRPr="00BF1AE2">
              <w:rPr>
                <w:rFonts w:eastAsia="Times New Roman" w:cstheme="minorHAnsi"/>
                <w:color w:val="000000"/>
                <w:lang w:val="nl-NL"/>
              </w:rPr>
              <w:t>0.018</w:t>
            </w:r>
          </w:p>
        </w:tc>
      </w:tr>
    </w:tbl>
    <w:p w14:paraId="03486524" w14:textId="77777777" w:rsidR="00BF1AE2" w:rsidRPr="00BF1AE2" w:rsidRDefault="00BF1AE2" w:rsidP="00BF1AE2">
      <w:pPr>
        <w:suppressAutoHyphens/>
        <w:spacing w:after="0" w:line="240" w:lineRule="auto"/>
        <w:jc w:val="both"/>
        <w:rPr>
          <w:rFonts w:cstheme="minorHAnsi"/>
        </w:rPr>
      </w:pPr>
    </w:p>
    <w:p w14:paraId="0B5CC42A" w14:textId="77777777" w:rsidR="00BF1AE2" w:rsidRPr="00BF1AE2" w:rsidRDefault="00BF1AE2" w:rsidP="00BF1AE2">
      <w:pPr>
        <w:tabs>
          <w:tab w:val="left" w:pos="720"/>
        </w:tabs>
        <w:suppressAutoHyphens/>
        <w:spacing w:after="0" w:line="240" w:lineRule="auto"/>
        <w:jc w:val="both"/>
        <w:rPr>
          <w:rFonts w:cstheme="minorHAnsi"/>
        </w:rPr>
      </w:pPr>
      <w:r w:rsidRPr="00BF1AE2">
        <w:rPr>
          <w:rFonts w:cstheme="minorHAnsi"/>
          <w:b/>
          <w:bCs/>
        </w:rPr>
        <w:t xml:space="preserve">Identification of household clusters of infection and impact of river and manmade water containers on malaria infections and </w:t>
      </w:r>
      <w:r w:rsidRPr="00BF1AE2">
        <w:rPr>
          <w:rFonts w:cstheme="minorHAnsi"/>
          <w:b/>
          <w:bCs/>
          <w:i/>
          <w:iCs/>
        </w:rPr>
        <w:t>An. stephensi</w:t>
      </w:r>
      <w:r w:rsidRPr="00BF1AE2">
        <w:rPr>
          <w:rFonts w:cstheme="minorHAnsi"/>
          <w:b/>
          <w:bCs/>
        </w:rPr>
        <w:t xml:space="preserve"> presence (Figure 2 main text)</w:t>
      </w:r>
      <w:r w:rsidRPr="00BF1AE2">
        <w:rPr>
          <w:rFonts w:cstheme="minorHAnsi"/>
        </w:rPr>
        <w:t>: As the dormitories within the university study site were located within a small area (20 buildings in 45,450m</w:t>
      </w:r>
      <w:r w:rsidRPr="00BF1AE2">
        <w:rPr>
          <w:rFonts w:cstheme="minorHAnsi"/>
          <w:vertAlign w:val="superscript"/>
        </w:rPr>
        <w:t>2</w:t>
      </w:r>
      <w:r w:rsidRPr="00BF1AE2">
        <w:rPr>
          <w:rFonts w:cstheme="minorHAnsi"/>
        </w:rPr>
        <w:t xml:space="preserve"> area), clustering of prevalence data was assessed in the community only. The prevalence of malaria by RDT and/or microscopy was calculated for each household. Global and local Moran’s </w:t>
      </w:r>
      <w:r w:rsidRPr="00BF1AE2">
        <w:rPr>
          <w:rFonts w:cstheme="minorHAnsi"/>
          <w:i/>
          <w:iCs/>
        </w:rPr>
        <w:t>I</w:t>
      </w:r>
      <w:r w:rsidRPr="00BF1AE2">
        <w:rPr>
          <w:rFonts w:cstheme="minorHAnsi"/>
        </w:rPr>
        <w:t xml:space="preserve"> calculations were used to find evidence of spatial autocorrelation within household prevalence data. Initially, neighborhood relationships were defined using distance-based weights, where it was assumed that areas further away are less influential than closer areas. At each pair of locations were applied a spatial weight. The statistical strength of association for global Moran’s </w:t>
      </w:r>
      <w:r w:rsidRPr="00BF1AE2">
        <w:rPr>
          <w:rFonts w:cstheme="minorHAnsi"/>
          <w:i/>
          <w:iCs/>
        </w:rPr>
        <w:t xml:space="preserve">I </w:t>
      </w:r>
      <w:r w:rsidRPr="00BF1AE2">
        <w:rPr>
          <w:rFonts w:cstheme="minorHAnsi"/>
        </w:rPr>
        <w:t xml:space="preserve">was calculated using Monte-Carlo methods, simulating a random distribution of the prevalence data 9,999 times. The Moran’s </w:t>
      </w:r>
      <w:r w:rsidRPr="00BF1AE2">
        <w:rPr>
          <w:rFonts w:cstheme="minorHAnsi"/>
          <w:i/>
          <w:iCs/>
        </w:rPr>
        <w:t xml:space="preserve">I </w:t>
      </w:r>
      <w:r w:rsidRPr="00BF1AE2">
        <w:rPr>
          <w:rFonts w:cstheme="minorHAnsi"/>
        </w:rPr>
        <w:t>from the real data was compared to the simulations and a pseudo-</w:t>
      </w:r>
      <w:r w:rsidRPr="00BF1AE2">
        <w:rPr>
          <w:rFonts w:cstheme="minorHAnsi"/>
          <w:i/>
          <w:iCs/>
        </w:rPr>
        <w:t>p</w:t>
      </w:r>
      <w:r w:rsidRPr="00BF1AE2">
        <w:rPr>
          <w:rFonts w:cstheme="minorHAnsi"/>
        </w:rPr>
        <w:t xml:space="preserve"> value was used to assess the probability that we incorrectly reject the null hypothesis.</w:t>
      </w:r>
      <w:r w:rsidRPr="00BF1AE2">
        <w:rPr>
          <w:rFonts w:cstheme="minorHAnsi"/>
          <w:b/>
          <w:bCs/>
        </w:rPr>
        <w:t xml:space="preserve"> </w:t>
      </w:r>
      <w:r w:rsidRPr="00BF1AE2">
        <w:rPr>
          <w:rFonts w:cstheme="minorHAnsi"/>
        </w:rPr>
        <w:t xml:space="preserve">The Euclidean distance from the river to every site where adult or larval </w:t>
      </w:r>
      <w:r w:rsidRPr="00BF1AE2">
        <w:rPr>
          <w:rFonts w:cstheme="minorHAnsi"/>
          <w:i/>
          <w:iCs/>
        </w:rPr>
        <w:t>An. stephensi</w:t>
      </w:r>
      <w:r w:rsidRPr="00BF1AE2">
        <w:rPr>
          <w:rFonts w:cstheme="minorHAnsi"/>
        </w:rPr>
        <w:t xml:space="preserve"> were located were calculated in meters. </w:t>
      </w:r>
    </w:p>
    <w:p w14:paraId="00DE2793" w14:textId="77777777" w:rsidR="00BF1AE2" w:rsidRPr="00BF1AE2" w:rsidRDefault="00BF1AE2" w:rsidP="00BF1AE2">
      <w:pPr>
        <w:tabs>
          <w:tab w:val="left" w:pos="720"/>
        </w:tabs>
        <w:suppressAutoHyphens/>
        <w:spacing w:after="0" w:line="240" w:lineRule="auto"/>
        <w:jc w:val="both"/>
        <w:rPr>
          <w:rFonts w:cstheme="minorHAnsi"/>
        </w:rPr>
      </w:pPr>
    </w:p>
    <w:p w14:paraId="65A0F23B" w14:textId="77777777" w:rsidR="00BF1AE2" w:rsidRPr="00BF1AE2" w:rsidRDefault="00BF1AE2" w:rsidP="00BF1AE2">
      <w:pPr>
        <w:suppressAutoHyphens/>
        <w:spacing w:after="0" w:line="240" w:lineRule="auto"/>
        <w:ind w:left="10" w:right="11" w:hanging="10"/>
        <w:jc w:val="both"/>
        <w:rPr>
          <w:rFonts w:cstheme="minorHAnsi"/>
          <w:lang w:val="nl-NL"/>
        </w:rPr>
      </w:pPr>
      <w:r w:rsidRPr="00BF1AE2">
        <w:rPr>
          <w:rFonts w:cstheme="minorHAnsi"/>
          <w:b/>
          <w:lang w:val="nl-NL"/>
        </w:rPr>
        <w:t xml:space="preserve">Multilevel logistic regression model for risk </w:t>
      </w:r>
      <w:r w:rsidRPr="00BF1AE2">
        <w:rPr>
          <w:rFonts w:cstheme="minorHAnsi"/>
          <w:b/>
          <w:bCs/>
        </w:rPr>
        <w:t>factors</w:t>
      </w:r>
      <w:r w:rsidRPr="00BF1AE2">
        <w:rPr>
          <w:rFonts w:cstheme="minorHAnsi"/>
          <w:b/>
          <w:lang w:val="nl-NL"/>
        </w:rPr>
        <w:t xml:space="preserve"> analysis (GLMM)</w:t>
      </w:r>
      <w:r w:rsidRPr="00BF1AE2">
        <w:rPr>
          <w:rFonts w:cstheme="minorHAnsi"/>
          <w:lang w:val="nl-NL"/>
        </w:rPr>
        <w:t xml:space="preserve">: To identify the association of </w:t>
      </w:r>
      <w:r w:rsidRPr="00BF1AE2">
        <w:rPr>
          <w:rFonts w:cstheme="minorHAnsi"/>
          <w:i/>
          <w:iCs/>
          <w:lang w:val="nl-NL"/>
        </w:rPr>
        <w:t>An. stephensi</w:t>
      </w:r>
      <w:r w:rsidRPr="00BF1AE2">
        <w:rPr>
          <w:rFonts w:cstheme="minorHAnsi"/>
          <w:lang w:val="nl-NL"/>
        </w:rPr>
        <w:t xml:space="preserve"> and other risk factors for malaria positivity in Dire Dawa, we employed a multilevel logistic regression model with nested random effects</w:t>
      </w:r>
      <w:r w:rsidRPr="00BF1AE2">
        <w:rPr>
          <w:rFonts w:cs="Times New Roman"/>
          <w:lang w:val="nl-NL"/>
        </w:rPr>
        <w:fldChar w:fldCharType="begin"/>
      </w:r>
      <w:r w:rsidRPr="00BF1AE2">
        <w:rPr>
          <w:rFonts w:cs="Calibri"/>
          <w:lang w:val="nl-NL"/>
        </w:rPr>
        <w:instrText>ADDIN EN.CITE &lt;EndNote&gt;&lt;Cite&gt;&lt;Author&gt;Austin&lt;/Author&gt;&lt;Year&gt;2001&lt;/Year&gt;&lt;RecNum&gt;8140&lt;/RecNum&gt;&lt;DisplayText&gt;&lt;style face="superscript"&gt;18&lt;/style&gt;&lt;/DisplayText&gt;&lt;record&gt;&lt;rec-number&gt;8140&lt;/rec-number&gt;&lt;foreign-keys&gt;&lt;key app="EN" db-id="xs0v9w9z9e9a2te9re8va926zefw2fet5avf" timestamp="1680813813"&gt;8140&lt;/key&gt;&lt;/foreign-keys&gt;&lt;ref-type name="Journal Article"&gt;17&lt;/ref-type&gt;&lt;contributors&gt;&lt;authors&gt;&lt;author&gt;Austin, Peter C&lt;/author&gt;&lt;author&gt;Goel, Vivek&lt;/author&gt;&lt;author&gt;van Walraven, Carl&lt;/author&gt;&lt;/authors&gt;&lt;/contributors&gt;&lt;titles&gt;&lt;title&gt;An introduction to multilevel regression models&lt;/title&gt;&lt;secondary-title&gt;Canadian journal of public health&lt;/secondary-title&gt;&lt;/titles&gt;&lt;periodical&gt;&lt;full-title&gt;Canadian journal of public health&lt;/full-title&gt;&lt;/periodical&gt;&lt;pages&gt;150-154&lt;/pages&gt;&lt;volume&gt;92&lt;/volume&gt;&lt;number&gt;2&lt;/number&gt;&lt;dates&gt;&lt;year&gt;2001&lt;/year&gt;&lt;/dates&gt;&lt;isbn&gt;0008-4263&lt;/isbn&gt;&lt;urls&gt;&lt;/urls&gt;&lt;/record&gt;&lt;/Cite&gt;&lt;/EndNote&gt;</w:instrText>
      </w:r>
      <w:r w:rsidRPr="00BF1AE2">
        <w:rPr>
          <w:rFonts w:cs="Calibri"/>
          <w:lang w:val="nl-NL"/>
        </w:rPr>
        <w:fldChar w:fldCharType="separate"/>
      </w:r>
      <w:r w:rsidRPr="00BF1AE2">
        <w:rPr>
          <w:rFonts w:cstheme="minorHAnsi"/>
          <w:vertAlign w:val="superscript"/>
          <w:lang w:val="nl-NL"/>
        </w:rPr>
        <w:t>18</w:t>
      </w:r>
      <w:r w:rsidRPr="00BF1AE2">
        <w:rPr>
          <w:rFonts w:cs="Calibri"/>
          <w:lang w:val="nl-NL"/>
        </w:rPr>
        <w:fldChar w:fldCharType="end"/>
      </w:r>
      <w:r w:rsidRPr="00BF1AE2">
        <w:rPr>
          <w:rFonts w:cstheme="minorHAnsi"/>
          <w:lang w:val="nl-NL"/>
        </w:rPr>
        <w:t xml:space="preserve"> to account for intra-class correlation (ICC) and quantify the variation in a parasite positive outcome that accounted for the household and case control group variances</w:t>
      </w:r>
      <w:r w:rsidRPr="00BF1AE2">
        <w:rPr>
          <w:rFonts w:cstheme="minorHAnsi"/>
          <w:vertAlign w:val="superscript"/>
          <w:lang w:val="nl-NL"/>
        </w:rPr>
        <w:t>19</w:t>
      </w:r>
      <w:r w:rsidRPr="00BF1AE2">
        <w:rPr>
          <w:rFonts w:cstheme="minorHAnsi"/>
          <w:lang w:val="nl-NL"/>
        </w:rPr>
        <w:t xml:space="preserve"> (nested random effects). The model has a </w:t>
      </w:r>
      <w:r w:rsidRPr="00BF1AE2">
        <w:rPr>
          <w:rFonts w:cstheme="minorHAnsi"/>
          <w:color w:val="000000"/>
          <w:lang w:val="nl-NL"/>
        </w:rPr>
        <w:t>binomial outcome represented by malaria positivity using RDT/microscopy.</w:t>
      </w:r>
      <w:r w:rsidRPr="00BF1AE2">
        <w:rPr>
          <w:rFonts w:cstheme="minorHAnsi"/>
          <w:lang w:val="nl-NL"/>
        </w:rPr>
        <w:t xml:space="preserve"> </w:t>
      </w:r>
      <w:r w:rsidRPr="00BF1AE2">
        <w:rPr>
          <w:rFonts w:cstheme="minorHAnsi"/>
          <w:color w:val="000000"/>
          <w:lang w:val="nl-NL"/>
        </w:rPr>
        <w:t>Geographic unit’s effects enable us to control for unknown variations by including them as random effects in the model</w:t>
      </w:r>
      <w:r w:rsidRPr="00BF1AE2">
        <w:rPr>
          <w:rFonts w:cs="Times New Roman"/>
          <w:lang w:val="nl-NL"/>
        </w:rPr>
        <w:fldChar w:fldCharType="begin"/>
      </w:r>
      <w:r w:rsidRPr="00BF1AE2">
        <w:rPr>
          <w:rFonts w:cs="Calibri"/>
          <w:color w:val="000000"/>
          <w:lang w:val="nl-NL"/>
        </w:rPr>
        <w:instrText>ADDIN EN.CITE &lt;EndNote&gt;&lt;Cite&gt;&lt;Author&gt;Goldstein&lt;/Author&gt;&lt;Year&gt;2003&lt;/Year&gt;&lt;RecNum&gt;8128&lt;/RecNum&gt;&lt;DisplayText&gt;&lt;style face="superscript"&gt;19&lt;/style&gt;&lt;/DisplayText&gt;&lt;record&gt;&lt;rec-number&gt;8128&lt;/rec-number&gt;&lt;foreign-keys&gt;&lt;key app="EN" db-id="xs0v9w9z9e9a2te9re8va926zefw2fet5avf" timestamp="1680449230"&gt;8128&lt;/key&gt;&lt;/foreign-keys&gt;&lt;ref-type name="Journal Article"&gt;17&lt;/ref-type&gt;&lt;contributors&gt;&lt;authors&gt;&lt;author&gt;Goldstein, Harvey&lt;/author&gt;&lt;author&gt;Browne, William&lt;/author&gt;&lt;/authors&gt;&lt;/contributors&gt;&lt;titles&gt;&lt;title&gt;Multilevel models&lt;/title&gt;&lt;/titles&gt;&lt;dates&gt;&lt;year&gt;2003&lt;/year&gt;&lt;/dates&gt;&lt;urls&gt;&lt;/urls&gt;&lt;/record&gt;&lt;/Cite&gt;&lt;/EndNote&gt;</w:instrText>
      </w:r>
      <w:r w:rsidRPr="00BF1AE2">
        <w:rPr>
          <w:rFonts w:cs="Calibri"/>
          <w:color w:val="000000"/>
          <w:lang w:val="nl-NL"/>
        </w:rPr>
        <w:fldChar w:fldCharType="separate"/>
      </w:r>
      <w:r w:rsidRPr="00BF1AE2">
        <w:rPr>
          <w:rFonts w:cstheme="minorHAnsi"/>
          <w:color w:val="000000"/>
          <w:vertAlign w:val="superscript"/>
          <w:lang w:val="nl-NL"/>
        </w:rPr>
        <w:t>19</w:t>
      </w:r>
      <w:r w:rsidRPr="00BF1AE2">
        <w:rPr>
          <w:rFonts w:cs="Calibri"/>
          <w:color w:val="000000"/>
          <w:lang w:val="nl-NL"/>
        </w:rPr>
        <w:fldChar w:fldCharType="end"/>
      </w:r>
      <w:r w:rsidRPr="00BF1AE2">
        <w:rPr>
          <w:rFonts w:cstheme="minorHAnsi"/>
          <w:color w:val="000000"/>
          <w:lang w:val="nl-NL"/>
        </w:rPr>
        <w:t xml:space="preserve">. Individuals living in the same household may share exposures that can determine similarities in malaria transmission </w:t>
      </w:r>
      <w:r w:rsidRPr="00BF1AE2">
        <w:rPr>
          <w:rFonts w:cstheme="minorHAnsi"/>
          <w:lang w:val="nl-NL"/>
        </w:rPr>
        <w:t>as well as in the larger setting (city versus university</w:t>
      </w:r>
      <w:r w:rsidRPr="00BF1AE2">
        <w:rPr>
          <w:rFonts w:cstheme="minorHAnsi"/>
          <w:color w:val="000000"/>
          <w:lang w:val="nl-NL"/>
        </w:rPr>
        <w:t>)</w:t>
      </w:r>
      <w:r w:rsidRPr="00BF1AE2">
        <w:rPr>
          <w:rFonts w:cstheme="minorHAnsi"/>
          <w:lang w:val="nl-NL"/>
        </w:rPr>
        <w:t xml:space="preserve">. </w:t>
      </w:r>
    </w:p>
    <w:p w14:paraId="6A79A916" w14:textId="77777777" w:rsidR="00BF1AE2" w:rsidRPr="00BF1AE2" w:rsidRDefault="00BF1AE2" w:rsidP="00BF1AE2">
      <w:pPr>
        <w:suppressAutoHyphens/>
        <w:spacing w:after="0" w:line="240" w:lineRule="auto"/>
        <w:ind w:left="10" w:right="11" w:hanging="10"/>
        <w:jc w:val="both"/>
        <w:rPr>
          <w:rFonts w:cstheme="minorHAnsi"/>
          <w:color w:val="000000"/>
          <w:lang w:val="nl-NL"/>
        </w:rPr>
      </w:pPr>
    </w:p>
    <w:p w14:paraId="5858A5BB" w14:textId="77777777" w:rsidR="00BF1AE2" w:rsidRPr="00BF1AE2" w:rsidRDefault="00BF1AE2" w:rsidP="00BF1AE2">
      <w:pPr>
        <w:shd w:val="clear" w:color="auto" w:fill="FFFFFF" w:themeFill="background1"/>
        <w:suppressAutoHyphens/>
        <w:spacing w:after="0" w:line="240" w:lineRule="auto"/>
        <w:jc w:val="both"/>
        <w:rPr>
          <w:rFonts w:cstheme="minorHAnsi"/>
          <w:color w:val="000000"/>
          <w:lang w:val="nl-NL"/>
        </w:rPr>
      </w:pPr>
      <w:r w:rsidRPr="00BF1AE2">
        <w:rPr>
          <w:rFonts w:cstheme="minorHAnsi"/>
          <w:color w:val="000000"/>
          <w:lang w:val="nl-NL"/>
        </w:rPr>
        <w:t xml:space="preserve">Let </w:t>
      </w:r>
      <m:oMath>
        <m:sSub>
          <m:sSubPr>
            <m:ctrlPr>
              <w:rPr>
                <w:rFonts w:ascii="Cambria Math" w:hAnsi="Cambria Math" w:cs="Times New Roman"/>
                <w:lang w:val="nl-NL"/>
              </w:rPr>
            </m:ctrlPr>
          </m:sSubPr>
          <m:e>
            <m:r>
              <w:rPr>
                <w:rFonts w:ascii="Cambria Math" w:hAnsi="Cambria Math" w:cs="Times New Roman"/>
                <w:lang w:val="nl-NL"/>
              </w:rPr>
              <m:t>y</m:t>
            </m:r>
          </m:e>
          <m:sub>
            <m:r>
              <w:rPr>
                <w:rFonts w:ascii="Cambria Math" w:hAnsi="Cambria Math" w:cs="Times New Roman"/>
                <w:lang w:val="nl-NL"/>
              </w:rPr>
              <m:t>ij</m:t>
            </m:r>
          </m:sub>
        </m:sSub>
      </m:oMath>
      <w:r w:rsidRPr="00BF1AE2">
        <w:rPr>
          <w:rFonts w:cstheme="minorHAnsi"/>
          <w:i/>
          <w:color w:val="000000"/>
          <w:vertAlign w:val="subscript"/>
          <w:lang w:val="nl-NL"/>
        </w:rPr>
        <w:t xml:space="preserve"> </w:t>
      </w:r>
      <w:r w:rsidRPr="00BF1AE2">
        <w:rPr>
          <w:rFonts w:cstheme="minorHAnsi"/>
          <w:color w:val="000000"/>
          <w:lang w:val="nl-NL"/>
        </w:rPr>
        <w:t>denote the malaria outcome of the</w:t>
      </w:r>
      <m:oMath>
        <m:sSup>
          <m:sSupPr>
            <m:ctrlPr>
              <w:rPr>
                <w:rFonts w:ascii="Cambria Math" w:hAnsi="Cambria Math" w:cs="Times New Roman"/>
                <w:lang w:val="nl-NL"/>
              </w:rPr>
            </m:ctrlPr>
          </m:sSupPr>
          <m:e>
            <m:r>
              <w:rPr>
                <w:rFonts w:ascii="Cambria Math" w:hAnsi="Cambria Math" w:cs="Times New Roman"/>
                <w:lang w:val="nl-NL"/>
              </w:rPr>
              <m:t>i</m:t>
            </m:r>
          </m:e>
          <m:sup>
            <m:r>
              <w:rPr>
                <w:rFonts w:ascii="Cambria Math" w:hAnsi="Cambria Math" w:cs="Times New Roman"/>
                <w:lang w:val="nl-NL"/>
              </w:rPr>
              <m:t>th</m:t>
            </m:r>
          </m:sup>
        </m:sSup>
      </m:oMath>
      <w:r w:rsidRPr="00BF1AE2">
        <w:rPr>
          <w:rFonts w:cstheme="minorHAnsi"/>
          <w:color w:val="000000"/>
          <w:lang w:val="nl-NL"/>
        </w:rPr>
        <w:t>individual in the</w:t>
      </w:r>
      <m:oMath>
        <m:sSup>
          <m:sSupPr>
            <m:ctrlPr>
              <w:rPr>
                <w:rFonts w:ascii="Cambria Math" w:hAnsi="Cambria Math" w:cs="Times New Roman"/>
                <w:lang w:val="nl-NL"/>
              </w:rPr>
            </m:ctrlPr>
          </m:sSupPr>
          <m:e>
            <m:r>
              <w:rPr>
                <w:rFonts w:ascii="Cambria Math" w:hAnsi="Cambria Math" w:cs="Times New Roman"/>
                <w:lang w:val="nl-NL"/>
              </w:rPr>
              <m:t>j</m:t>
            </m:r>
          </m:e>
          <m:sup>
            <m:r>
              <w:rPr>
                <w:rFonts w:ascii="Cambria Math" w:hAnsi="Cambria Math" w:cs="Times New Roman"/>
                <w:lang w:val="nl-NL"/>
              </w:rPr>
              <m:t>th</m:t>
            </m:r>
          </m:sup>
        </m:sSup>
      </m:oMath>
      <w:r w:rsidRPr="00BF1AE2">
        <w:rPr>
          <w:rFonts w:cstheme="minorHAnsi"/>
          <w:color w:val="000000"/>
          <w:lang w:val="nl-NL"/>
        </w:rPr>
        <w:t xml:space="preserve"> household or cluster, identified by the (RDT/microscopy) </w:t>
      </w:r>
      <w:r w:rsidRPr="00BF1AE2">
        <w:rPr>
          <w:rFonts w:cstheme="minorHAnsi"/>
          <w:color w:val="000000"/>
          <w:shd w:val="clear" w:color="auto" w:fill="FFFFFF"/>
          <w:lang w:val="nl-NL"/>
        </w:rPr>
        <w:t>with</w:t>
      </w:r>
      <w:r w:rsidRPr="00BF1AE2">
        <w:rPr>
          <w:rFonts w:cstheme="minorHAnsi"/>
          <w:color w:val="000000"/>
          <w:lang w:val="nl-NL"/>
        </w:rPr>
        <w:t xml:space="preserve"> probability </w:t>
      </w:r>
      <m:oMath>
        <m:sSub>
          <m:sSubPr>
            <m:ctrlPr>
              <w:rPr>
                <w:rFonts w:ascii="Cambria Math" w:hAnsi="Cambria Math" w:cs="Times New Roman"/>
                <w:lang w:val="nl-NL"/>
              </w:rPr>
            </m:ctrlPr>
          </m:sSubPr>
          <m:e>
            <m:r>
              <w:rPr>
                <w:rFonts w:ascii="Cambria Math" w:hAnsi="Cambria Math" w:cs="Times New Roman"/>
                <w:lang w:val="nl-NL"/>
              </w:rPr>
              <m:t>π</m:t>
            </m:r>
          </m:e>
          <m:sub>
            <m:r>
              <w:rPr>
                <w:rFonts w:ascii="Cambria Math" w:hAnsi="Cambria Math" w:cs="Times New Roman"/>
                <w:lang w:val="nl-NL"/>
              </w:rPr>
              <m:t>ij</m:t>
            </m:r>
          </m:sub>
        </m:sSub>
        <m:r>
          <w:rPr>
            <w:rFonts w:ascii="Cambria Math" w:hAnsi="Cambria Math" w:cs="Times New Roman"/>
            <w:lang w:val="nl-NL"/>
          </w:rPr>
          <m:t>,</m:t>
        </m:r>
      </m:oMath>
      <w:r w:rsidRPr="00BF1AE2">
        <w:rPr>
          <w:rFonts w:cstheme="minorHAnsi"/>
          <w:color w:val="000000"/>
          <w:lang w:val="nl-NL"/>
        </w:rPr>
        <w:t xml:space="preserve">where </w:t>
      </w:r>
      <m:oMath>
        <m:sSub>
          <m:sSubPr>
            <m:ctrlPr>
              <w:rPr>
                <w:rFonts w:ascii="Cambria Math" w:hAnsi="Cambria Math" w:cs="Times New Roman"/>
                <w:lang w:val="nl-NL"/>
              </w:rPr>
            </m:ctrlPr>
          </m:sSubPr>
          <m:e>
            <m:r>
              <w:rPr>
                <w:rFonts w:ascii="Cambria Math" w:hAnsi="Cambria Math" w:cs="Times New Roman"/>
                <w:lang w:val="nl-NL"/>
              </w:rPr>
              <m:t>y</m:t>
            </m:r>
          </m:e>
          <m:sub>
            <m:r>
              <w:rPr>
                <w:rFonts w:ascii="Cambria Math" w:hAnsi="Cambria Math" w:cs="Times New Roman"/>
                <w:lang w:val="nl-NL"/>
              </w:rPr>
              <m:t>ij</m:t>
            </m:r>
          </m:sub>
        </m:sSub>
      </m:oMath>
      <w:r w:rsidRPr="00BF1AE2">
        <w:rPr>
          <w:rFonts w:cstheme="minorHAnsi"/>
          <w:color w:val="000000"/>
          <w:lang w:val="nl-NL"/>
        </w:rPr>
        <w:t xml:space="preserve">= 1 denotes the individual tested positive, while </w:t>
      </w:r>
      <m:oMath>
        <m:sSub>
          <m:sSubPr>
            <m:ctrlPr>
              <w:rPr>
                <w:rFonts w:ascii="Cambria Math" w:hAnsi="Cambria Math" w:cs="Times New Roman"/>
                <w:lang w:val="nl-NL"/>
              </w:rPr>
            </m:ctrlPr>
          </m:sSubPr>
          <m:e>
            <m:r>
              <w:rPr>
                <w:rFonts w:ascii="Cambria Math" w:hAnsi="Cambria Math" w:cs="Times New Roman"/>
                <w:lang w:val="nl-NL"/>
              </w:rPr>
              <m:t>y</m:t>
            </m:r>
          </m:e>
          <m:sub>
            <m:r>
              <w:rPr>
                <w:rFonts w:ascii="Cambria Math" w:hAnsi="Cambria Math" w:cs="Times New Roman"/>
                <w:lang w:val="nl-NL"/>
              </w:rPr>
              <m:t>ij</m:t>
            </m:r>
          </m:sub>
        </m:sSub>
      </m:oMath>
      <w:r w:rsidRPr="00BF1AE2">
        <w:rPr>
          <w:rFonts w:cstheme="minorHAnsi"/>
          <w:i/>
          <w:color w:val="000000"/>
          <w:vertAlign w:val="subscript"/>
          <w:lang w:val="nl-NL"/>
        </w:rPr>
        <w:t xml:space="preserve"> </w:t>
      </w:r>
      <w:r w:rsidRPr="00BF1AE2">
        <w:rPr>
          <w:rFonts w:cstheme="minorHAnsi"/>
          <w:color w:val="000000"/>
          <w:lang w:val="nl-NL"/>
        </w:rPr>
        <w:t xml:space="preserve">= </w:t>
      </w:r>
      <w:r w:rsidRPr="00BF1AE2">
        <w:rPr>
          <w:rFonts w:cstheme="minorHAnsi"/>
          <w:color w:val="000000"/>
          <w:lang w:val="nl-NL"/>
        </w:rPr>
        <w:lastRenderedPageBreak/>
        <w:t xml:space="preserve">0 denotes the individual tested negative for malaria. A multilevel logistic regression model with random effects for the outcome </w:t>
      </w:r>
      <m:oMath>
        <m:sSub>
          <m:sSubPr>
            <m:ctrlPr>
              <w:rPr>
                <w:rFonts w:ascii="Cambria Math" w:hAnsi="Cambria Math" w:cs="Times New Roman"/>
                <w:lang w:val="nl-NL"/>
              </w:rPr>
            </m:ctrlPr>
          </m:sSubPr>
          <m:e>
            <m:r>
              <w:rPr>
                <w:rFonts w:ascii="Cambria Math" w:hAnsi="Cambria Math" w:cs="Times New Roman"/>
                <w:lang w:val="nl-NL"/>
              </w:rPr>
              <m:t>y</m:t>
            </m:r>
          </m:e>
          <m:sub>
            <m:r>
              <w:rPr>
                <w:rFonts w:ascii="Cambria Math" w:hAnsi="Cambria Math" w:cs="Times New Roman"/>
                <w:lang w:val="nl-NL"/>
              </w:rPr>
              <m:t>ij</m:t>
            </m:r>
          </m:sub>
        </m:sSub>
      </m:oMath>
      <w:r w:rsidRPr="00BF1AE2">
        <w:rPr>
          <w:rFonts w:cstheme="minorHAnsi"/>
          <w:i/>
          <w:color w:val="000000"/>
          <w:vertAlign w:val="subscript"/>
          <w:lang w:val="nl-NL"/>
        </w:rPr>
        <w:t xml:space="preserve"> </w:t>
      </w:r>
      <w:r w:rsidRPr="00BF1AE2">
        <w:rPr>
          <w:rFonts w:cstheme="minorHAnsi"/>
          <w:color w:val="000000"/>
          <w:lang w:val="nl-NL"/>
        </w:rPr>
        <w:t>is given by</w:t>
      </w:r>
    </w:p>
    <w:p w14:paraId="5BDAD09F" w14:textId="77777777" w:rsidR="00BF1AE2" w:rsidRPr="00BF1AE2" w:rsidRDefault="00BF1AE2" w:rsidP="00BF1AE2">
      <w:pPr>
        <w:suppressAutoHyphens/>
        <w:spacing w:after="0" w:line="240" w:lineRule="auto"/>
        <w:ind w:right="11"/>
        <w:jc w:val="center"/>
        <w:rPr>
          <w:rFonts w:cstheme="minorHAnsi"/>
          <w:b/>
          <w:color w:val="000000"/>
          <w:lang w:val="nl-NL"/>
        </w:rPr>
      </w:pPr>
      <w:r w:rsidRPr="00BF1AE2">
        <w:rPr>
          <w:rFonts w:cstheme="minorHAnsi"/>
          <w:color w:val="000000"/>
          <w:lang w:val="nl-NL"/>
        </w:rPr>
        <w:br/>
      </w:r>
      <m:oMathPara>
        <m:oMath>
          <m:r>
            <w:rPr>
              <w:rFonts w:ascii="Cambria Math" w:hAnsi="Cambria Math" w:cs="Times New Roman"/>
              <w:lang w:val="nl-NL"/>
            </w:rPr>
            <m:t>logit</m:t>
          </m:r>
          <m:d>
            <m:dPr>
              <m:ctrlPr>
                <w:rPr>
                  <w:rFonts w:ascii="Cambria Math" w:hAnsi="Cambria Math" w:cs="Times New Roman"/>
                  <w:lang w:val="nl-NL"/>
                </w:rPr>
              </m:ctrlPr>
            </m:dPr>
            <m:e>
              <m:sSub>
                <m:sSubPr>
                  <m:ctrlPr>
                    <w:rPr>
                      <w:rFonts w:ascii="Cambria Math" w:hAnsi="Cambria Math" w:cs="Times New Roman"/>
                      <w:lang w:val="nl-NL"/>
                    </w:rPr>
                  </m:ctrlPr>
                </m:sSubPr>
                <m:e>
                  <m:r>
                    <w:rPr>
                      <w:rFonts w:ascii="Cambria Math" w:hAnsi="Cambria Math" w:cs="Times New Roman"/>
                      <w:lang w:val="nl-NL"/>
                    </w:rPr>
                    <m:t>π</m:t>
                  </m:r>
                </m:e>
                <m:sub>
                  <m:r>
                    <w:rPr>
                      <w:rFonts w:ascii="Cambria Math" w:hAnsi="Cambria Math" w:cs="Times New Roman"/>
                      <w:lang w:val="nl-NL"/>
                    </w:rPr>
                    <m:t>ij</m:t>
                  </m:r>
                </m:sub>
              </m:sSub>
            </m:e>
          </m:d>
          <m:r>
            <w:rPr>
              <w:rFonts w:ascii="Cambria Math" w:hAnsi="Cambria Math" w:cs="Times New Roman"/>
              <w:lang w:val="nl-NL"/>
            </w:rPr>
            <m:t>=</m:t>
          </m:r>
          <m:sSub>
            <m:sSubPr>
              <m:ctrlPr>
                <w:rPr>
                  <w:rFonts w:ascii="Cambria Math" w:hAnsi="Cambria Math" w:cs="Times New Roman"/>
                  <w:lang w:val="nl-NL"/>
                </w:rPr>
              </m:ctrlPr>
            </m:sSubPr>
            <m:e>
              <m:sSub>
                <m:sSubPr>
                  <m:ctrlPr>
                    <w:rPr>
                      <w:rFonts w:ascii="Cambria Math" w:hAnsi="Cambria Math" w:cs="Times New Roman"/>
                      <w:lang w:val="nl-NL"/>
                    </w:rPr>
                  </m:ctrlPr>
                </m:sSubPr>
                <m:e>
                  <m:r>
                    <w:rPr>
                      <w:rFonts w:ascii="Cambria Math" w:hAnsi="Cambria Math" w:cs="Times New Roman"/>
                      <w:lang w:val="nl-NL"/>
                    </w:rPr>
                    <m:t>β</m:t>
                  </m:r>
                </m:e>
                <m:sub>
                  <m:r>
                    <w:rPr>
                      <w:rFonts w:ascii="Cambria Math" w:hAnsi="Cambria Math" w:cs="Times New Roman"/>
                      <w:lang w:val="nl-NL"/>
                    </w:rPr>
                    <m:t>0j</m:t>
                  </m:r>
                </m:sub>
              </m:sSub>
              <m:r>
                <w:rPr>
                  <w:rFonts w:ascii="Cambria Math" w:hAnsi="Cambria Math" w:cs="Times New Roman"/>
                  <w:lang w:val="nl-NL"/>
                </w:rPr>
                <m:t>+βX</m:t>
              </m:r>
            </m:e>
            <m:sub>
              <m:r>
                <w:rPr>
                  <w:rFonts w:ascii="Cambria Math" w:hAnsi="Cambria Math" w:cs="Times New Roman"/>
                  <w:lang w:val="nl-NL"/>
                </w:rPr>
                <m:t>ij</m:t>
              </m:r>
            </m:sub>
          </m:sSub>
          <m:r>
            <w:rPr>
              <w:rFonts w:ascii="Cambria Math" w:hAnsi="Cambria Math" w:cs="Times New Roman"/>
              <w:lang w:val="nl-NL"/>
            </w:rPr>
            <m:t>+</m:t>
          </m:r>
          <m:sSub>
            <m:sSubPr>
              <m:ctrlPr>
                <w:rPr>
                  <w:rFonts w:ascii="Cambria Math" w:hAnsi="Cambria Math" w:cs="Times New Roman"/>
                  <w:lang w:val="nl-NL"/>
                </w:rPr>
              </m:ctrlPr>
            </m:sSubPr>
            <m:e>
              <m:r>
                <w:rPr>
                  <w:rFonts w:ascii="Cambria Math" w:hAnsi="Cambria Math" w:cs="Times New Roman"/>
                  <w:lang w:val="nl-NL"/>
                </w:rPr>
                <m:t>u</m:t>
              </m:r>
            </m:e>
            <m:sub>
              <m:r>
                <w:rPr>
                  <w:rFonts w:ascii="Cambria Math" w:hAnsi="Cambria Math" w:cs="Times New Roman"/>
                  <w:lang w:val="nl-NL"/>
                </w:rPr>
                <m:t>j</m:t>
              </m:r>
            </m:sub>
          </m:sSub>
        </m:oMath>
      </m:oMathPara>
    </w:p>
    <w:p w14:paraId="74824DDB" w14:textId="77777777" w:rsidR="00BF1AE2" w:rsidRPr="00BF1AE2" w:rsidRDefault="00BF1AE2" w:rsidP="00BF1AE2">
      <w:pPr>
        <w:suppressAutoHyphens/>
        <w:spacing w:after="0" w:line="240" w:lineRule="auto"/>
        <w:ind w:right="11"/>
        <w:jc w:val="both"/>
        <w:rPr>
          <w:rFonts w:cstheme="minorHAnsi"/>
          <w:b/>
          <w:color w:val="000000"/>
          <w:lang w:val="nl-NL"/>
        </w:rPr>
      </w:pPr>
    </w:p>
    <w:p w14:paraId="45F1D28E" w14:textId="77777777" w:rsidR="00BF1AE2" w:rsidRPr="00BF1AE2" w:rsidRDefault="00BF1AE2" w:rsidP="00BF1AE2">
      <w:pPr>
        <w:suppressAutoHyphens/>
        <w:spacing w:after="0" w:line="240" w:lineRule="auto"/>
        <w:ind w:left="-5" w:right="-18" w:hanging="10"/>
        <w:jc w:val="both"/>
        <w:rPr>
          <w:rFonts w:cstheme="minorHAnsi"/>
          <w:color w:val="000000"/>
          <w:lang w:val="nl-NL"/>
        </w:rPr>
      </w:pPr>
      <w:r w:rsidRPr="00BF1AE2">
        <w:rPr>
          <w:rFonts w:cstheme="minorHAnsi"/>
          <w:color w:val="000000"/>
          <w:lang w:val="nl-NL"/>
        </w:rPr>
        <w:t>where</w:t>
      </w:r>
      <m:oMath>
        <m:sSub>
          <m:sSubPr>
            <m:ctrlPr>
              <w:rPr>
                <w:rFonts w:ascii="Cambria Math" w:hAnsi="Cambria Math" w:cs="Times New Roman"/>
                <w:lang w:val="nl-NL"/>
              </w:rPr>
            </m:ctrlPr>
          </m:sSubPr>
          <m:e>
            <m:r>
              <w:rPr>
                <w:rFonts w:ascii="Cambria Math" w:hAnsi="Cambria Math" w:cs="Times New Roman"/>
                <w:lang w:val="nl-NL"/>
              </w:rPr>
              <m:t>X</m:t>
            </m:r>
          </m:e>
          <m:sub>
            <m:r>
              <w:rPr>
                <w:rFonts w:ascii="Cambria Math" w:hAnsi="Cambria Math" w:cs="Times New Roman"/>
                <w:lang w:val="nl-NL"/>
              </w:rPr>
              <m:t>ij</m:t>
            </m:r>
          </m:sub>
        </m:sSub>
      </m:oMath>
      <w:r w:rsidRPr="00BF1AE2">
        <w:rPr>
          <w:rFonts w:cstheme="minorHAnsi"/>
          <w:color w:val="000000"/>
          <w:lang w:val="nl-NL"/>
        </w:rPr>
        <w:t xml:space="preserve">= (1, </w:t>
      </w:r>
      <w:r w:rsidRPr="00BF1AE2">
        <w:rPr>
          <w:rFonts w:cstheme="minorHAnsi"/>
          <w:i/>
          <w:color w:val="000000"/>
          <w:lang w:val="nl-NL"/>
        </w:rPr>
        <w:t>x</w:t>
      </w:r>
      <w:r w:rsidRPr="00BF1AE2">
        <w:rPr>
          <w:rFonts w:cstheme="minorHAnsi"/>
          <w:color w:val="000000"/>
          <w:vertAlign w:val="subscript"/>
          <w:lang w:val="nl-NL"/>
        </w:rPr>
        <w:t>1</w:t>
      </w:r>
      <w:r w:rsidRPr="00BF1AE2">
        <w:rPr>
          <w:rFonts w:cstheme="minorHAnsi"/>
          <w:i/>
          <w:color w:val="000000"/>
          <w:vertAlign w:val="subscript"/>
          <w:lang w:val="nl-NL"/>
        </w:rPr>
        <w:t>ij</w:t>
      </w:r>
      <w:r w:rsidRPr="00BF1AE2">
        <w:rPr>
          <w:rFonts w:cstheme="minorHAnsi"/>
          <w:color w:val="000000"/>
          <w:lang w:val="nl-NL"/>
        </w:rPr>
        <w:t xml:space="preserve">, ..., </w:t>
      </w:r>
      <w:r w:rsidRPr="00BF1AE2">
        <w:rPr>
          <w:rFonts w:cstheme="minorHAnsi"/>
          <w:i/>
          <w:color w:val="000000"/>
          <w:lang w:val="nl-NL"/>
        </w:rPr>
        <w:t>x</w:t>
      </w:r>
      <w:r w:rsidRPr="00BF1AE2">
        <w:rPr>
          <w:rFonts w:cstheme="minorHAnsi"/>
          <w:i/>
          <w:color w:val="000000"/>
          <w:vertAlign w:val="subscript"/>
          <w:lang w:val="nl-NL"/>
        </w:rPr>
        <w:t>pij</w:t>
      </w:r>
      <w:r w:rsidRPr="00BF1AE2">
        <w:rPr>
          <w:rFonts w:cstheme="minorHAnsi"/>
          <w:color w:val="000000"/>
          <w:lang w:val="nl-NL"/>
        </w:rPr>
        <w:t xml:space="preserve">) is vector of </w:t>
      </w:r>
      <w:r w:rsidRPr="00BF1AE2">
        <w:rPr>
          <w:rFonts w:cstheme="minorHAnsi"/>
          <w:i/>
          <w:color w:val="000000"/>
          <w:lang w:val="nl-NL"/>
        </w:rPr>
        <w:t xml:space="preserve">p </w:t>
      </w:r>
      <w:r w:rsidRPr="00BF1AE2">
        <w:rPr>
          <w:rFonts w:cstheme="minorHAnsi"/>
          <w:color w:val="000000"/>
          <w:lang w:val="nl-NL"/>
        </w:rPr>
        <w:t xml:space="preserve">explanatory variables or covariates measured on the </w:t>
      </w:r>
      <w:r w:rsidRPr="00BF1AE2">
        <w:rPr>
          <w:rFonts w:cstheme="minorHAnsi"/>
          <w:i/>
          <w:color w:val="000000"/>
          <w:lang w:val="nl-NL"/>
        </w:rPr>
        <w:t xml:space="preserve">i </w:t>
      </w:r>
      <w:r w:rsidRPr="00BF1AE2">
        <w:rPr>
          <w:rFonts w:cstheme="minorHAnsi"/>
          <w:color w:val="000000"/>
          <w:lang w:val="nl-NL"/>
        </w:rPr>
        <w:t xml:space="preserve">individual and on the </w:t>
      </w:r>
      <w:r w:rsidRPr="00BF1AE2">
        <w:rPr>
          <w:rFonts w:cstheme="minorHAnsi"/>
          <w:i/>
          <w:color w:val="000000"/>
          <w:lang w:val="nl-NL"/>
        </w:rPr>
        <w:t xml:space="preserve">j </w:t>
      </w:r>
      <w:r w:rsidRPr="00BF1AE2">
        <w:rPr>
          <w:rFonts w:cstheme="minorHAnsi"/>
          <w:color w:val="000000"/>
          <w:lang w:val="nl-NL"/>
        </w:rPr>
        <w:t xml:space="preserve">household (cluster), </w:t>
      </w:r>
      <m:oMath>
        <m:r>
          <w:rPr>
            <w:rFonts w:ascii="Cambria Math" w:hAnsi="Cambria Math" w:cs="Times New Roman"/>
            <w:lang w:val="nl-NL"/>
          </w:rPr>
          <m:t>β</m:t>
        </m:r>
      </m:oMath>
      <w:r w:rsidRPr="00BF1AE2">
        <w:rPr>
          <w:rFonts w:cstheme="minorHAnsi"/>
          <w:color w:val="000000"/>
          <w:lang w:val="nl-NL"/>
        </w:rPr>
        <w:t xml:space="preserve">vector of fixed regression coefficients or parameters and </w:t>
      </w:r>
      <m:oMath>
        <m:sSub>
          <m:sSubPr>
            <m:ctrlPr>
              <w:rPr>
                <w:rFonts w:ascii="Cambria Math" w:hAnsi="Cambria Math" w:cs="Times New Roman"/>
                <w:lang w:val="nl-NL"/>
              </w:rPr>
            </m:ctrlPr>
          </m:sSubPr>
          <m:e>
            <m:r>
              <w:rPr>
                <w:rFonts w:ascii="Cambria Math" w:hAnsi="Cambria Math" w:cs="Times New Roman"/>
                <w:lang w:val="nl-NL"/>
              </w:rPr>
              <m:t>u</m:t>
            </m:r>
          </m:e>
          <m:sub>
            <m:r>
              <w:rPr>
                <w:rFonts w:ascii="Cambria Math" w:hAnsi="Cambria Math" w:cs="Times New Roman"/>
                <w:lang w:val="nl-NL"/>
              </w:rPr>
              <m:t>j</m:t>
            </m:r>
          </m:sub>
        </m:sSub>
      </m:oMath>
      <w:r w:rsidRPr="00BF1AE2">
        <w:rPr>
          <w:rFonts w:cstheme="minorHAnsi"/>
          <w:i/>
          <w:color w:val="000000"/>
          <w:vertAlign w:val="subscript"/>
          <w:lang w:val="nl-NL"/>
        </w:rPr>
        <w:t xml:space="preserve"> </w:t>
      </w:r>
      <w:r w:rsidRPr="00BF1AE2">
        <w:rPr>
          <w:rFonts w:cstheme="minorHAnsi"/>
          <w:color w:val="000000"/>
          <w:lang w:val="nl-NL"/>
        </w:rPr>
        <w:t xml:space="preserve">is a random effect varying over household and case control. </w:t>
      </w:r>
    </w:p>
    <w:p w14:paraId="69275F22" w14:textId="77777777" w:rsidR="00BF1AE2" w:rsidRPr="00BF1AE2" w:rsidRDefault="00BF1AE2" w:rsidP="00BF1AE2">
      <w:pPr>
        <w:shd w:val="clear" w:color="auto" w:fill="FFFFFF" w:themeFill="background1"/>
        <w:suppressAutoHyphens/>
        <w:spacing w:after="0" w:line="240" w:lineRule="auto"/>
        <w:jc w:val="both"/>
        <w:rPr>
          <w:rFonts w:cstheme="minorHAnsi"/>
          <w:lang w:val="nl-NL"/>
        </w:rPr>
      </w:pPr>
    </w:p>
    <w:p w14:paraId="26799B7B" w14:textId="77777777" w:rsidR="00BF1AE2" w:rsidRPr="00BF1AE2" w:rsidRDefault="00BF1AE2" w:rsidP="00BF1AE2">
      <w:pPr>
        <w:suppressAutoHyphens/>
        <w:spacing w:after="0" w:line="240" w:lineRule="auto"/>
        <w:ind w:left="10" w:hanging="10"/>
        <w:jc w:val="both"/>
        <w:rPr>
          <w:rFonts w:cstheme="minorHAnsi"/>
          <w:color w:val="000000" w:themeColor="text1"/>
          <w:lang w:val="nl-NL"/>
        </w:rPr>
      </w:pPr>
      <w:r w:rsidRPr="00BF1AE2">
        <w:rPr>
          <w:rFonts w:cstheme="minorHAnsi"/>
          <w:b/>
          <w:bCs/>
          <w:color w:val="000000"/>
          <w:lang w:val="nl-NL"/>
        </w:rPr>
        <w:t>Multilevel model results</w:t>
      </w:r>
      <w:r w:rsidRPr="00BF1AE2">
        <w:rPr>
          <w:rFonts w:cstheme="minorHAnsi"/>
          <w:lang w:val="nl-NL"/>
        </w:rPr>
        <w:t>: U</w:t>
      </w:r>
      <w:r w:rsidRPr="00BF1AE2">
        <w:rPr>
          <w:rFonts w:cstheme="minorHAnsi"/>
          <w:color w:val="000000"/>
          <w:lang w:val="nl-NL"/>
        </w:rPr>
        <w:t xml:space="preserve">nivariate GLMM was employed to reduce the number of explenatory factors to a manageable size. Household and case/control were included as nested random effects.. Only those risk factors with </w:t>
      </w:r>
      <w:r w:rsidRPr="00BF1AE2">
        <w:rPr>
          <w:rFonts w:cstheme="minorHAnsi"/>
          <w:i/>
          <w:color w:val="000000"/>
          <w:lang w:val="nl-NL"/>
        </w:rPr>
        <w:t>p-value</w:t>
      </w:r>
      <w:r w:rsidRPr="00BF1AE2">
        <w:rPr>
          <w:rFonts w:cstheme="minorHAnsi"/>
          <w:color w:val="000000"/>
          <w:lang w:val="nl-NL"/>
        </w:rPr>
        <w:t xml:space="preserve"> lower than 0.1 were considered for multivariate analysis. </w:t>
      </w:r>
      <w:r w:rsidRPr="00BF1AE2">
        <w:rPr>
          <w:rFonts w:cstheme="minorHAnsi"/>
          <w:color w:val="000000"/>
          <w:shd w:val="clear" w:color="auto" w:fill="FFFFFF"/>
          <w:lang w:val="nl-NL"/>
        </w:rPr>
        <w:t xml:space="preserve">The results from univariate (unadjusted) and multivariate (adjusted) </w:t>
      </w:r>
      <w:r w:rsidRPr="00BF1AE2">
        <w:rPr>
          <w:rFonts w:cstheme="minorHAnsi"/>
          <w:color w:val="000000"/>
          <w:lang w:val="nl-NL"/>
        </w:rPr>
        <w:t xml:space="preserve">generalized linear mixed models </w:t>
      </w:r>
      <w:r w:rsidRPr="00BF1AE2">
        <w:rPr>
          <w:rFonts w:cstheme="minorHAnsi"/>
          <w:lang w:val="nl-NL"/>
        </w:rPr>
        <w:t xml:space="preserve">are shown in Table 1 of the main text. </w:t>
      </w:r>
      <w:r w:rsidRPr="00BF1AE2">
        <w:rPr>
          <w:rFonts w:cstheme="minorHAnsi"/>
          <w:color w:val="000000" w:themeColor="text1"/>
          <w:lang w:val="nl-NL"/>
        </w:rPr>
        <w:t xml:space="preserve">This table results show that four of the six individual and household level characteristics, namely site, sex, age in years and  stephpos were statistically significantly associated with malaria infection of individuals living in the study area. Factors such as sex (OR 3.0, 95% CI </w:t>
      </w:r>
      <w:r w:rsidRPr="00BF1AE2">
        <w:rPr>
          <w:rFonts w:eastAsia="Times New Roman" w:cstheme="minorHAnsi"/>
          <w:color w:val="000000"/>
          <w:lang w:val="nl-NL"/>
        </w:rPr>
        <w:t>1.66-5.44</w:t>
      </w:r>
      <w:r w:rsidRPr="00BF1AE2">
        <w:rPr>
          <w:rFonts w:cstheme="minorHAnsi"/>
          <w:color w:val="000000" w:themeColor="text1"/>
          <w:lang w:val="nl-NL"/>
        </w:rPr>
        <w:t xml:space="preserve">, </w:t>
      </w:r>
      <w:r w:rsidRPr="00BF1AE2">
        <w:rPr>
          <w:rFonts w:cstheme="minorHAnsi"/>
          <w:i/>
          <w:iCs/>
          <w:color w:val="000000" w:themeColor="text1"/>
          <w:lang w:val="nl-NL"/>
        </w:rPr>
        <w:t>p</w:t>
      </w:r>
      <w:r w:rsidRPr="00BF1AE2">
        <w:rPr>
          <w:rFonts w:cstheme="minorHAnsi"/>
          <w:color w:val="000000" w:themeColor="text1"/>
          <w:lang w:val="nl-NL"/>
        </w:rPr>
        <w:t xml:space="preserve">=0.001) and being adult (above 15 years old OR 4.3, 95% CI </w:t>
      </w:r>
      <w:r w:rsidRPr="00BF1AE2">
        <w:rPr>
          <w:rFonts w:eastAsia="Times New Roman" w:cstheme="minorHAnsi"/>
          <w:color w:val="000000"/>
          <w:lang w:val="nl-NL"/>
        </w:rPr>
        <w:t>1.15-15.65</w:t>
      </w:r>
      <w:r w:rsidRPr="00BF1AE2">
        <w:rPr>
          <w:rFonts w:cstheme="minorHAnsi"/>
          <w:color w:val="000000" w:themeColor="text1"/>
          <w:lang w:val="nl-NL"/>
        </w:rPr>
        <w:t xml:space="preserve">, </w:t>
      </w:r>
      <w:r w:rsidRPr="00BF1AE2">
        <w:rPr>
          <w:rFonts w:cstheme="minorHAnsi"/>
          <w:i/>
          <w:iCs/>
          <w:color w:val="000000" w:themeColor="text1"/>
          <w:lang w:val="nl-NL"/>
        </w:rPr>
        <w:t>p</w:t>
      </w:r>
      <w:r w:rsidRPr="00BF1AE2">
        <w:rPr>
          <w:rFonts w:cstheme="minorHAnsi"/>
          <w:color w:val="000000" w:themeColor="text1"/>
          <w:lang w:val="nl-NL"/>
        </w:rPr>
        <w:t xml:space="preserve">=0.029) were risk factors associated with </w:t>
      </w:r>
      <w:r w:rsidRPr="00BF1AE2">
        <w:rPr>
          <w:rFonts w:cstheme="minorHAnsi"/>
          <w:i/>
          <w:iCs/>
          <w:color w:val="000000" w:themeColor="text1"/>
          <w:lang w:val="nl-NL"/>
        </w:rPr>
        <w:t>P.</w:t>
      </w:r>
      <w:r w:rsidRPr="00BF1AE2">
        <w:rPr>
          <w:rFonts w:cstheme="minorHAnsi"/>
          <w:i/>
          <w:color w:val="000000" w:themeColor="text1"/>
          <w:lang w:val="nl-NL"/>
        </w:rPr>
        <w:t xml:space="preserve"> falciparum</w:t>
      </w:r>
      <w:r w:rsidRPr="00BF1AE2">
        <w:rPr>
          <w:rFonts w:cstheme="minorHAnsi"/>
          <w:color w:val="000000" w:themeColor="text1"/>
          <w:lang w:val="nl-NL"/>
        </w:rPr>
        <w:t xml:space="preserve"> infection positivity whilst using sprays was found protective from malaria (OR 0.3, 95% CI </w:t>
      </w:r>
      <w:r w:rsidRPr="00BF1AE2">
        <w:rPr>
          <w:rFonts w:cstheme="minorHAnsi"/>
          <w:color w:val="000000"/>
          <w:lang w:val="nl-NL"/>
        </w:rPr>
        <w:t>0.11-0.78</w:t>
      </w:r>
      <w:r w:rsidRPr="00BF1AE2">
        <w:rPr>
          <w:rFonts w:cstheme="minorHAnsi"/>
          <w:color w:val="000000" w:themeColor="text1"/>
          <w:lang w:val="nl-NL"/>
        </w:rPr>
        <w:t xml:space="preserve">, </w:t>
      </w:r>
      <w:r w:rsidRPr="00BF1AE2">
        <w:rPr>
          <w:rFonts w:cstheme="minorHAnsi"/>
          <w:i/>
          <w:iCs/>
          <w:color w:val="000000" w:themeColor="text1"/>
          <w:lang w:val="nl-NL"/>
        </w:rPr>
        <w:t>p</w:t>
      </w:r>
      <w:r w:rsidRPr="00BF1AE2">
        <w:rPr>
          <w:rFonts w:cstheme="minorHAnsi"/>
          <w:color w:val="000000" w:themeColor="text1"/>
          <w:lang w:val="nl-NL"/>
        </w:rPr>
        <w:t xml:space="preserve">=0.016). The results show that those individuals residing in households with </w:t>
      </w:r>
      <w:r w:rsidRPr="00BF1AE2">
        <w:rPr>
          <w:rFonts w:cstheme="minorHAnsi"/>
          <w:i/>
          <w:color w:val="000000" w:themeColor="text1"/>
          <w:lang w:val="nl-NL"/>
        </w:rPr>
        <w:t>An. stephensi</w:t>
      </w:r>
      <w:r w:rsidRPr="00BF1AE2">
        <w:rPr>
          <w:rFonts w:cstheme="minorHAnsi"/>
          <w:color w:val="000000" w:themeColor="text1"/>
          <w:lang w:val="nl-NL"/>
        </w:rPr>
        <w:t xml:space="preserve"> positivity (larvae/adult/indoor/outdoor) had a higher risk of malaria infection at both individual (ORs 3.7, 95% CI: 1.65-6.47 </w:t>
      </w:r>
      <w:r w:rsidRPr="00BF1AE2">
        <w:rPr>
          <w:rFonts w:cstheme="minorHAnsi"/>
          <w:i/>
          <w:iCs/>
          <w:color w:val="000000" w:themeColor="text1"/>
          <w:lang w:val="nl-NL"/>
        </w:rPr>
        <w:t>p</w:t>
      </w:r>
      <w:r w:rsidRPr="00BF1AE2">
        <w:rPr>
          <w:rFonts w:cstheme="minorHAnsi"/>
          <w:color w:val="000000" w:themeColor="text1"/>
          <w:lang w:val="nl-NL"/>
        </w:rPr>
        <w:t xml:space="preserve">&lt;0.001). </w:t>
      </w:r>
    </w:p>
    <w:p w14:paraId="224E8864" w14:textId="77777777" w:rsidR="00BF1AE2" w:rsidRPr="00BF1AE2" w:rsidRDefault="00BF1AE2" w:rsidP="00BF1AE2">
      <w:pPr>
        <w:tabs>
          <w:tab w:val="left" w:pos="1230"/>
        </w:tabs>
        <w:suppressAutoHyphens/>
        <w:spacing w:after="0" w:line="240" w:lineRule="auto"/>
        <w:jc w:val="both"/>
        <w:rPr>
          <w:rFonts w:cstheme="minorHAnsi"/>
          <w:color w:val="000000"/>
          <w:lang w:val="nl-NL"/>
        </w:rPr>
      </w:pPr>
    </w:p>
    <w:p w14:paraId="39D31B7A" w14:textId="77777777" w:rsidR="00BF1AE2" w:rsidRPr="00BF1AE2" w:rsidRDefault="00BF1AE2" w:rsidP="00BF1AE2">
      <w:pPr>
        <w:tabs>
          <w:tab w:val="left" w:pos="1230"/>
        </w:tabs>
        <w:suppressAutoHyphens/>
        <w:spacing w:after="0" w:line="240" w:lineRule="auto"/>
        <w:jc w:val="both"/>
        <w:rPr>
          <w:rFonts w:cstheme="minorHAnsi"/>
          <w:color w:val="000000"/>
          <w:lang w:val="nl-NL"/>
        </w:rPr>
      </w:pPr>
      <w:r w:rsidRPr="00BF1AE2">
        <w:rPr>
          <w:rFonts w:cstheme="minorHAnsi"/>
          <w:color w:val="000000"/>
          <w:lang w:val="nl-NL"/>
        </w:rPr>
        <w:t>The estimated between nested household and case control variance for the final model was 1.06, which corresponds to ICC of 0.24. This implies that of the residual variation in malaria positivity outcomes of persons that were observed after adjusting for five individual and household level factors, 24.4 percent was due to systematic differences between household and case control, while the remaining 76.6 per cent was due to unmeasured differences between households and case control.</w:t>
      </w:r>
    </w:p>
    <w:p w14:paraId="72D1E52B" w14:textId="77777777" w:rsidR="00BF1AE2" w:rsidRPr="00BF1AE2" w:rsidRDefault="00BF1AE2" w:rsidP="00BF1AE2">
      <w:pPr>
        <w:suppressAutoHyphens/>
        <w:spacing w:after="0" w:line="240" w:lineRule="auto"/>
        <w:rPr>
          <w:rFonts w:cstheme="minorHAnsi"/>
          <w:color w:val="000000"/>
          <w:lang w:val="nl-NL"/>
        </w:rPr>
      </w:pPr>
    </w:p>
    <w:p w14:paraId="5EA58D3A" w14:textId="77777777" w:rsidR="00BF1AE2" w:rsidRPr="00BF1AE2" w:rsidRDefault="00BF1AE2" w:rsidP="00BF1AE2">
      <w:pPr>
        <w:suppressAutoHyphens/>
        <w:spacing w:after="0" w:line="240" w:lineRule="auto"/>
        <w:rPr>
          <w:rFonts w:cstheme="minorHAnsi"/>
          <w:lang w:val="nl-NL"/>
        </w:rPr>
      </w:pPr>
      <w:r w:rsidRPr="00BF1AE2">
        <w:rPr>
          <w:rFonts w:cstheme="minorHAnsi"/>
          <w:lang w:val="nl-NL"/>
        </w:rPr>
        <w:t xml:space="preserve">Reference </w:t>
      </w:r>
    </w:p>
    <w:p w14:paraId="1027CB7B" w14:textId="77777777" w:rsidR="00BF1AE2" w:rsidRPr="00BF1AE2" w:rsidRDefault="00BF1AE2" w:rsidP="00BF1AE2">
      <w:pPr>
        <w:suppressAutoHyphens/>
        <w:spacing w:after="0" w:line="240" w:lineRule="auto"/>
        <w:ind w:left="720" w:hanging="720"/>
        <w:rPr>
          <w:rFonts w:cstheme="minorHAnsi"/>
        </w:rPr>
      </w:pPr>
      <w:r w:rsidRPr="00BF1AE2">
        <w:rPr>
          <w:rFonts w:cs="Calibri"/>
        </w:rPr>
        <w:fldChar w:fldCharType="begin"/>
      </w:r>
      <w:r w:rsidRPr="00BF1AE2">
        <w:rPr>
          <w:rFonts w:cs="Calibri"/>
        </w:rPr>
        <w:instrText>ADDIN EN.REFLIST</w:instrText>
      </w:r>
      <w:r w:rsidRPr="00BF1AE2">
        <w:rPr>
          <w:rFonts w:cs="Calibri"/>
        </w:rPr>
        <w:fldChar w:fldCharType="separate"/>
      </w:r>
      <w:r w:rsidRPr="00BF1AE2">
        <w:rPr>
          <w:rFonts w:cstheme="minorHAnsi"/>
        </w:rPr>
        <w:t>1</w:t>
      </w:r>
      <w:r w:rsidRPr="00BF1AE2">
        <w:rPr>
          <w:rFonts w:cstheme="minorHAnsi"/>
        </w:rPr>
        <w:tab/>
        <w:t>Smith, P. G.</w:t>
      </w:r>
      <w:r w:rsidRPr="00BF1AE2">
        <w:rPr>
          <w:rFonts w:cstheme="minorHAnsi"/>
          <w:i/>
        </w:rPr>
        <w:t xml:space="preserve"> et al.</w:t>
      </w:r>
      <w:r w:rsidRPr="00BF1AE2">
        <w:rPr>
          <w:rFonts w:cstheme="minorHAnsi"/>
        </w:rPr>
        <w:t xml:space="preserve"> </w:t>
      </w:r>
      <w:r w:rsidRPr="00BF1AE2">
        <w:rPr>
          <w:rFonts w:cstheme="minorHAnsi"/>
          <w:i/>
        </w:rPr>
        <w:t>Int. J. Epidemiol.</w:t>
      </w:r>
      <w:r w:rsidRPr="00BF1AE2">
        <w:rPr>
          <w:rFonts w:cstheme="minorHAnsi"/>
        </w:rPr>
        <w:t xml:space="preserve"> </w:t>
      </w:r>
      <w:r w:rsidRPr="00BF1AE2">
        <w:rPr>
          <w:rFonts w:cstheme="minorHAnsi"/>
          <w:b/>
        </w:rPr>
        <w:t>13</w:t>
      </w:r>
      <w:r w:rsidRPr="00BF1AE2">
        <w:rPr>
          <w:rFonts w:cstheme="minorHAnsi"/>
        </w:rPr>
        <w:t>, 1984.</w:t>
      </w:r>
    </w:p>
    <w:p w14:paraId="61B5E641" w14:textId="77777777" w:rsidR="00BF1AE2" w:rsidRPr="00BF1AE2" w:rsidRDefault="00BF1AE2" w:rsidP="00BF1AE2">
      <w:pPr>
        <w:suppressAutoHyphens/>
        <w:spacing w:after="0" w:line="240" w:lineRule="auto"/>
        <w:ind w:left="720" w:hanging="720"/>
        <w:rPr>
          <w:rFonts w:cstheme="minorHAnsi"/>
        </w:rPr>
      </w:pPr>
      <w:r w:rsidRPr="00BF1AE2">
        <w:rPr>
          <w:rFonts w:cstheme="minorHAnsi"/>
        </w:rPr>
        <w:t>2</w:t>
      </w:r>
      <w:r w:rsidRPr="00BF1AE2">
        <w:rPr>
          <w:rFonts w:cstheme="minorHAnsi"/>
        </w:rPr>
        <w:tab/>
        <w:t>Neuhäuser, M.</w:t>
      </w:r>
      <w:r w:rsidRPr="00BF1AE2">
        <w:rPr>
          <w:rFonts w:cstheme="minorHAnsi"/>
          <w:i/>
        </w:rPr>
        <w:t xml:space="preserve"> et al.</w:t>
      </w:r>
      <w:r w:rsidRPr="00BF1AE2">
        <w:rPr>
          <w:rFonts w:cstheme="minorHAnsi"/>
        </w:rPr>
        <w:t xml:space="preserve"> </w:t>
      </w:r>
      <w:r w:rsidRPr="00BF1AE2">
        <w:rPr>
          <w:rFonts w:cstheme="minorHAnsi"/>
          <w:i/>
        </w:rPr>
        <w:t>Stat. Med.</w:t>
      </w:r>
      <w:r w:rsidRPr="00BF1AE2">
        <w:rPr>
          <w:rFonts w:cstheme="minorHAnsi"/>
        </w:rPr>
        <w:t xml:space="preserve"> </w:t>
      </w:r>
      <w:r w:rsidRPr="00BF1AE2">
        <w:rPr>
          <w:rFonts w:cstheme="minorHAnsi"/>
          <w:b/>
        </w:rPr>
        <w:t>16</w:t>
      </w:r>
      <w:r w:rsidRPr="00BF1AE2">
        <w:rPr>
          <w:rFonts w:cstheme="minorHAnsi"/>
        </w:rPr>
        <w:t>, 1997.</w:t>
      </w:r>
    </w:p>
    <w:p w14:paraId="1A4F2AC6" w14:textId="77777777" w:rsidR="00BF1AE2" w:rsidRPr="00BF1AE2" w:rsidRDefault="00BF1AE2" w:rsidP="00BF1AE2">
      <w:pPr>
        <w:suppressAutoHyphens/>
        <w:spacing w:after="0" w:line="240" w:lineRule="auto"/>
        <w:ind w:left="720" w:hanging="720"/>
        <w:rPr>
          <w:rFonts w:cstheme="minorHAnsi"/>
        </w:rPr>
      </w:pPr>
      <w:r w:rsidRPr="00BF1AE2">
        <w:rPr>
          <w:rFonts w:cstheme="minorHAnsi"/>
        </w:rPr>
        <w:t>3</w:t>
      </w:r>
      <w:r w:rsidRPr="00BF1AE2">
        <w:rPr>
          <w:rFonts w:cstheme="minorHAnsi"/>
        </w:rPr>
        <w:tab/>
        <w:t>Ahmed, A.</w:t>
      </w:r>
      <w:r w:rsidRPr="00BF1AE2">
        <w:rPr>
          <w:rFonts w:cstheme="minorHAnsi"/>
          <w:i/>
        </w:rPr>
        <w:t xml:space="preserve"> et al.</w:t>
      </w:r>
      <w:r w:rsidRPr="00BF1AE2">
        <w:rPr>
          <w:rFonts w:cstheme="minorHAnsi"/>
        </w:rPr>
        <w:t xml:space="preserve"> </w:t>
      </w:r>
      <w:r w:rsidRPr="00BF1AE2">
        <w:rPr>
          <w:rFonts w:cstheme="minorHAnsi"/>
          <w:i/>
        </w:rPr>
        <w:t>Acta Trop.</w:t>
      </w:r>
      <w:r w:rsidRPr="00BF1AE2">
        <w:rPr>
          <w:rFonts w:cstheme="minorHAnsi"/>
        </w:rPr>
        <w:t>, 2022.</w:t>
      </w:r>
    </w:p>
    <w:p w14:paraId="6A28BBA1" w14:textId="77777777" w:rsidR="00BF1AE2" w:rsidRPr="00BF1AE2" w:rsidRDefault="00BF1AE2" w:rsidP="00BF1AE2">
      <w:pPr>
        <w:suppressAutoHyphens/>
        <w:spacing w:after="0" w:line="240" w:lineRule="auto"/>
        <w:ind w:left="720" w:hanging="720"/>
        <w:rPr>
          <w:rFonts w:cstheme="minorHAnsi"/>
        </w:rPr>
      </w:pPr>
      <w:r w:rsidRPr="00BF1AE2">
        <w:rPr>
          <w:rFonts w:cstheme="minorHAnsi"/>
        </w:rPr>
        <w:t>4</w:t>
      </w:r>
      <w:r w:rsidRPr="00BF1AE2">
        <w:rPr>
          <w:rFonts w:cstheme="minorHAnsi"/>
        </w:rPr>
        <w:tab/>
        <w:t xml:space="preserve">Coetzee, M. </w:t>
      </w:r>
      <w:r w:rsidRPr="00BF1AE2">
        <w:rPr>
          <w:rFonts w:cstheme="minorHAnsi"/>
          <w:i/>
        </w:rPr>
        <w:t>Malar. J.</w:t>
      </w:r>
      <w:r w:rsidRPr="00BF1AE2">
        <w:rPr>
          <w:rFonts w:cstheme="minorHAnsi"/>
        </w:rPr>
        <w:t xml:space="preserve"> </w:t>
      </w:r>
      <w:r w:rsidRPr="00BF1AE2">
        <w:rPr>
          <w:rFonts w:cstheme="minorHAnsi"/>
          <w:b/>
        </w:rPr>
        <w:t>19</w:t>
      </w:r>
      <w:r w:rsidRPr="00BF1AE2">
        <w:rPr>
          <w:rFonts w:cstheme="minorHAnsi"/>
        </w:rPr>
        <w:t>, 2020.</w:t>
      </w:r>
    </w:p>
    <w:p w14:paraId="37B2F731" w14:textId="77777777" w:rsidR="00BF1AE2" w:rsidRPr="00BF1AE2" w:rsidRDefault="00BF1AE2" w:rsidP="00BF1AE2">
      <w:pPr>
        <w:suppressAutoHyphens/>
        <w:spacing w:after="0" w:line="240" w:lineRule="auto"/>
        <w:ind w:left="720" w:hanging="720"/>
        <w:rPr>
          <w:rFonts w:cstheme="minorHAnsi"/>
        </w:rPr>
      </w:pPr>
      <w:r w:rsidRPr="00BF1AE2">
        <w:rPr>
          <w:rFonts w:cstheme="minorHAnsi"/>
        </w:rPr>
        <w:t>5</w:t>
      </w:r>
      <w:r w:rsidRPr="00BF1AE2">
        <w:rPr>
          <w:rFonts w:cstheme="minorHAnsi"/>
        </w:rPr>
        <w:tab/>
        <w:t>Hermsen, C. C.</w:t>
      </w:r>
      <w:r w:rsidRPr="00BF1AE2">
        <w:rPr>
          <w:rFonts w:cstheme="minorHAnsi"/>
          <w:i/>
        </w:rPr>
        <w:t xml:space="preserve"> et al.</w:t>
      </w:r>
      <w:r w:rsidRPr="00BF1AE2">
        <w:rPr>
          <w:rFonts w:cstheme="minorHAnsi"/>
        </w:rPr>
        <w:t xml:space="preserve"> </w:t>
      </w:r>
      <w:r w:rsidRPr="00BF1AE2">
        <w:rPr>
          <w:rFonts w:cstheme="minorHAnsi"/>
          <w:i/>
        </w:rPr>
        <w:t>Molecular and Biochemical Parasitology</w:t>
      </w:r>
      <w:r w:rsidRPr="00BF1AE2">
        <w:rPr>
          <w:rFonts w:cstheme="minorHAnsi"/>
        </w:rPr>
        <w:t xml:space="preserve"> </w:t>
      </w:r>
      <w:r w:rsidRPr="00BF1AE2">
        <w:rPr>
          <w:rFonts w:cstheme="minorHAnsi"/>
          <w:b/>
        </w:rPr>
        <w:t>118</w:t>
      </w:r>
      <w:r w:rsidRPr="00BF1AE2">
        <w:rPr>
          <w:rFonts w:cstheme="minorHAnsi"/>
        </w:rPr>
        <w:t>, 2001.</w:t>
      </w:r>
    </w:p>
    <w:p w14:paraId="67C1D543" w14:textId="77777777" w:rsidR="00BF1AE2" w:rsidRPr="00BF1AE2" w:rsidRDefault="00BF1AE2" w:rsidP="00BF1AE2">
      <w:pPr>
        <w:suppressAutoHyphens/>
        <w:spacing w:after="0" w:line="240" w:lineRule="auto"/>
        <w:ind w:left="720" w:hanging="720"/>
        <w:rPr>
          <w:rFonts w:cstheme="minorHAnsi"/>
        </w:rPr>
      </w:pPr>
      <w:r w:rsidRPr="00BF1AE2">
        <w:rPr>
          <w:rFonts w:cstheme="minorHAnsi"/>
        </w:rPr>
        <w:t>6</w:t>
      </w:r>
      <w:r w:rsidRPr="00BF1AE2">
        <w:rPr>
          <w:rFonts w:cstheme="minorHAnsi"/>
        </w:rPr>
        <w:tab/>
        <w:t>Wampfler, R.</w:t>
      </w:r>
      <w:r w:rsidRPr="00BF1AE2">
        <w:rPr>
          <w:rFonts w:cstheme="minorHAnsi"/>
          <w:i/>
        </w:rPr>
        <w:t xml:space="preserve"> et al.</w:t>
      </w:r>
      <w:r w:rsidRPr="00BF1AE2">
        <w:rPr>
          <w:rFonts w:cstheme="minorHAnsi"/>
        </w:rPr>
        <w:t xml:space="preserve"> </w:t>
      </w:r>
      <w:r w:rsidRPr="00BF1AE2">
        <w:rPr>
          <w:rFonts w:cstheme="minorHAnsi"/>
          <w:i/>
        </w:rPr>
        <w:t>PLoS One</w:t>
      </w:r>
      <w:r w:rsidRPr="00BF1AE2">
        <w:rPr>
          <w:rFonts w:cstheme="minorHAnsi"/>
        </w:rPr>
        <w:t xml:space="preserve"> </w:t>
      </w:r>
      <w:r w:rsidRPr="00BF1AE2">
        <w:rPr>
          <w:rFonts w:cstheme="minorHAnsi"/>
          <w:b/>
        </w:rPr>
        <w:t>8</w:t>
      </w:r>
      <w:r w:rsidRPr="00BF1AE2">
        <w:rPr>
          <w:rFonts w:cstheme="minorHAnsi"/>
        </w:rPr>
        <w:t>, 2013.</w:t>
      </w:r>
    </w:p>
    <w:p w14:paraId="121F499A" w14:textId="77777777" w:rsidR="00BF1AE2" w:rsidRPr="00BF1AE2" w:rsidRDefault="00BF1AE2" w:rsidP="00BF1AE2">
      <w:pPr>
        <w:suppressAutoHyphens/>
        <w:spacing w:after="0" w:line="240" w:lineRule="auto"/>
        <w:ind w:left="720" w:hanging="720"/>
        <w:rPr>
          <w:rFonts w:cstheme="minorHAnsi"/>
        </w:rPr>
      </w:pPr>
      <w:r w:rsidRPr="00BF1AE2">
        <w:rPr>
          <w:rFonts w:cstheme="minorHAnsi"/>
        </w:rPr>
        <w:t>7</w:t>
      </w:r>
      <w:r w:rsidRPr="00BF1AE2">
        <w:rPr>
          <w:rFonts w:cstheme="minorHAnsi"/>
        </w:rPr>
        <w:tab/>
        <w:t>Tessema, S. K.</w:t>
      </w:r>
      <w:r w:rsidRPr="00BF1AE2">
        <w:rPr>
          <w:rFonts w:cstheme="minorHAnsi"/>
          <w:i/>
        </w:rPr>
        <w:t xml:space="preserve"> et al.</w:t>
      </w:r>
      <w:r w:rsidRPr="00BF1AE2">
        <w:rPr>
          <w:rFonts w:cstheme="minorHAnsi"/>
        </w:rPr>
        <w:t xml:space="preserve"> </w:t>
      </w:r>
      <w:r w:rsidRPr="00BF1AE2">
        <w:rPr>
          <w:rFonts w:cstheme="minorHAnsi"/>
          <w:i/>
        </w:rPr>
        <w:t>J. Infect. Dis.</w:t>
      </w:r>
      <w:r w:rsidRPr="00BF1AE2">
        <w:rPr>
          <w:rFonts w:cstheme="minorHAnsi"/>
        </w:rPr>
        <w:t>, 2020.</w:t>
      </w:r>
    </w:p>
    <w:p w14:paraId="55575FC0" w14:textId="77777777" w:rsidR="00BF1AE2" w:rsidRPr="00BF1AE2" w:rsidRDefault="00BF1AE2" w:rsidP="00BF1AE2">
      <w:pPr>
        <w:suppressAutoHyphens/>
        <w:spacing w:after="0" w:line="240" w:lineRule="auto"/>
        <w:ind w:left="720" w:hanging="720"/>
        <w:rPr>
          <w:rFonts w:cstheme="minorHAnsi"/>
        </w:rPr>
      </w:pPr>
      <w:r w:rsidRPr="00BF1AE2">
        <w:rPr>
          <w:rFonts w:cstheme="minorHAnsi"/>
        </w:rPr>
        <w:t>8</w:t>
      </w:r>
      <w:r w:rsidRPr="00BF1AE2">
        <w:rPr>
          <w:rFonts w:cstheme="minorHAnsi"/>
        </w:rPr>
        <w:tab/>
        <w:t xml:space="preserve">Andres Aranda-Diaz, e. n. </w:t>
      </w:r>
      <w:r w:rsidRPr="00BF1AE2">
        <w:rPr>
          <w:rFonts w:cstheme="minorHAnsi"/>
          <w:i/>
        </w:rPr>
        <w:t>Multiplex Amplicons for Drug, Diagnostic, Diversity, and Differentiation HAplotypes via TargeTed Resequencing (MAD4HatTeR)</w:t>
      </w:r>
      <w:r w:rsidRPr="00BF1AE2">
        <w:rPr>
          <w:rFonts w:cstheme="minorHAnsi"/>
        </w:rPr>
        <w:t>.</w:t>
      </w:r>
    </w:p>
    <w:p w14:paraId="14013B8B" w14:textId="77777777" w:rsidR="00BF1AE2" w:rsidRPr="00BF1AE2" w:rsidRDefault="00BF1AE2" w:rsidP="00BF1AE2">
      <w:pPr>
        <w:suppressAutoHyphens/>
        <w:spacing w:after="0" w:line="240" w:lineRule="auto"/>
        <w:ind w:left="720" w:hanging="720"/>
        <w:rPr>
          <w:rFonts w:cstheme="minorHAnsi"/>
        </w:rPr>
      </w:pPr>
      <w:r w:rsidRPr="00BF1AE2">
        <w:rPr>
          <w:rFonts w:cstheme="minorHAnsi"/>
        </w:rPr>
        <w:t>9</w:t>
      </w:r>
      <w:r w:rsidRPr="00BF1AE2">
        <w:rPr>
          <w:rFonts w:cstheme="minorHAnsi"/>
        </w:rPr>
        <w:tab/>
        <w:t>Foley, D. H.</w:t>
      </w:r>
      <w:r w:rsidRPr="00BF1AE2">
        <w:rPr>
          <w:rFonts w:cstheme="minorHAnsi"/>
          <w:i/>
        </w:rPr>
        <w:t xml:space="preserve"> et al.</w:t>
      </w:r>
      <w:r w:rsidRPr="00BF1AE2">
        <w:rPr>
          <w:rFonts w:cstheme="minorHAnsi"/>
        </w:rPr>
        <w:t xml:space="preserve"> </w:t>
      </w:r>
      <w:r w:rsidRPr="00BF1AE2">
        <w:rPr>
          <w:rFonts w:cstheme="minorHAnsi"/>
          <w:i/>
        </w:rPr>
        <w:t>Malar. J.</w:t>
      </w:r>
      <w:r w:rsidRPr="00BF1AE2">
        <w:rPr>
          <w:rFonts w:cstheme="minorHAnsi"/>
        </w:rPr>
        <w:t xml:space="preserve"> </w:t>
      </w:r>
      <w:r w:rsidRPr="00BF1AE2">
        <w:rPr>
          <w:rFonts w:cstheme="minorHAnsi"/>
          <w:b/>
        </w:rPr>
        <w:t>11</w:t>
      </w:r>
      <w:r w:rsidRPr="00BF1AE2">
        <w:rPr>
          <w:rFonts w:cstheme="minorHAnsi"/>
        </w:rPr>
        <w:t>, 2012.</w:t>
      </w:r>
    </w:p>
    <w:p w14:paraId="0E560177" w14:textId="77777777" w:rsidR="00BF1AE2" w:rsidRPr="00BF1AE2" w:rsidRDefault="00BF1AE2" w:rsidP="00BF1AE2">
      <w:pPr>
        <w:suppressAutoHyphens/>
        <w:spacing w:after="0" w:line="240" w:lineRule="auto"/>
        <w:ind w:left="720" w:hanging="720"/>
        <w:rPr>
          <w:rFonts w:cstheme="minorHAnsi"/>
        </w:rPr>
      </w:pPr>
      <w:r w:rsidRPr="00BF1AE2">
        <w:rPr>
          <w:rFonts w:cstheme="minorHAnsi"/>
        </w:rPr>
        <w:t>10</w:t>
      </w:r>
      <w:r w:rsidRPr="00BF1AE2">
        <w:rPr>
          <w:rFonts w:cstheme="minorHAnsi"/>
        </w:rPr>
        <w:tab/>
        <w:t>Graumans, W.</w:t>
      </w:r>
      <w:r w:rsidRPr="00BF1AE2">
        <w:rPr>
          <w:rFonts w:cstheme="minorHAnsi"/>
          <w:i/>
        </w:rPr>
        <w:t xml:space="preserve"> et al.</w:t>
      </w:r>
      <w:r w:rsidRPr="00BF1AE2">
        <w:rPr>
          <w:rFonts w:cstheme="minorHAnsi"/>
        </w:rPr>
        <w:t xml:space="preserve"> </w:t>
      </w:r>
      <w:r w:rsidRPr="00BF1AE2">
        <w:rPr>
          <w:rFonts w:cstheme="minorHAnsi"/>
          <w:i/>
        </w:rPr>
        <w:t>Malar. J.</w:t>
      </w:r>
      <w:r w:rsidRPr="00BF1AE2">
        <w:rPr>
          <w:rFonts w:cstheme="minorHAnsi"/>
        </w:rPr>
        <w:t xml:space="preserve"> </w:t>
      </w:r>
      <w:r w:rsidRPr="00BF1AE2">
        <w:rPr>
          <w:rFonts w:cstheme="minorHAnsi"/>
          <w:b/>
        </w:rPr>
        <w:t>16</w:t>
      </w:r>
      <w:r w:rsidRPr="00BF1AE2">
        <w:rPr>
          <w:rFonts w:cstheme="minorHAnsi"/>
        </w:rPr>
        <w:t>, 2017.</w:t>
      </w:r>
    </w:p>
    <w:p w14:paraId="1482EE07" w14:textId="77777777" w:rsidR="00BF1AE2" w:rsidRPr="00BF1AE2" w:rsidRDefault="00BF1AE2" w:rsidP="00BF1AE2">
      <w:pPr>
        <w:suppressAutoHyphens/>
        <w:spacing w:after="0" w:line="240" w:lineRule="auto"/>
        <w:ind w:left="720" w:hanging="720"/>
        <w:rPr>
          <w:rFonts w:cstheme="minorHAnsi"/>
        </w:rPr>
      </w:pPr>
      <w:r w:rsidRPr="00BF1AE2">
        <w:rPr>
          <w:rFonts w:cstheme="minorHAnsi"/>
        </w:rPr>
        <w:t>11</w:t>
      </w:r>
      <w:r w:rsidRPr="00BF1AE2">
        <w:rPr>
          <w:rFonts w:cstheme="minorHAnsi"/>
        </w:rPr>
        <w:tab/>
        <w:t>Sutcliffe, A. C.</w:t>
      </w:r>
      <w:r w:rsidRPr="00BF1AE2">
        <w:rPr>
          <w:rFonts w:cstheme="minorHAnsi"/>
          <w:i/>
        </w:rPr>
        <w:t xml:space="preserve"> et al.</w:t>
      </w:r>
      <w:r w:rsidRPr="00BF1AE2">
        <w:rPr>
          <w:rFonts w:cstheme="minorHAnsi"/>
        </w:rPr>
        <w:t xml:space="preserve"> </w:t>
      </w:r>
      <w:r w:rsidRPr="00BF1AE2">
        <w:rPr>
          <w:rFonts w:cstheme="minorHAnsi"/>
          <w:i/>
        </w:rPr>
        <w:t>Malar. J.</w:t>
      </w:r>
      <w:r w:rsidRPr="00BF1AE2">
        <w:rPr>
          <w:rFonts w:cstheme="minorHAnsi"/>
        </w:rPr>
        <w:t xml:space="preserve"> </w:t>
      </w:r>
      <w:r w:rsidRPr="00BF1AE2">
        <w:rPr>
          <w:rFonts w:cstheme="minorHAnsi"/>
          <w:b/>
        </w:rPr>
        <w:t>20</w:t>
      </w:r>
      <w:r w:rsidRPr="00BF1AE2">
        <w:rPr>
          <w:rFonts w:cstheme="minorHAnsi"/>
        </w:rPr>
        <w:t>, 2021.</w:t>
      </w:r>
    </w:p>
    <w:p w14:paraId="7DF23411" w14:textId="77777777" w:rsidR="00BF1AE2" w:rsidRPr="00BF1AE2" w:rsidRDefault="00BF1AE2" w:rsidP="00BF1AE2">
      <w:pPr>
        <w:suppressAutoHyphens/>
        <w:spacing w:after="0" w:line="240" w:lineRule="auto"/>
        <w:ind w:left="720" w:hanging="720"/>
        <w:rPr>
          <w:rFonts w:cstheme="minorHAnsi"/>
        </w:rPr>
      </w:pPr>
      <w:r w:rsidRPr="00BF1AE2">
        <w:rPr>
          <w:rFonts w:cstheme="minorHAnsi"/>
        </w:rPr>
        <w:t>12</w:t>
      </w:r>
      <w:r w:rsidRPr="00BF1AE2">
        <w:rPr>
          <w:rFonts w:cstheme="minorHAnsi"/>
        </w:rPr>
        <w:tab/>
        <w:t>Echeverry, D. F.</w:t>
      </w:r>
      <w:r w:rsidRPr="00BF1AE2">
        <w:rPr>
          <w:rFonts w:cstheme="minorHAnsi"/>
          <w:i/>
        </w:rPr>
        <w:t xml:space="preserve"> et al.</w:t>
      </w:r>
      <w:r w:rsidRPr="00BF1AE2">
        <w:rPr>
          <w:rFonts w:cstheme="minorHAnsi"/>
        </w:rPr>
        <w:t xml:space="preserve"> </w:t>
      </w:r>
      <w:r w:rsidRPr="00BF1AE2">
        <w:rPr>
          <w:rFonts w:cstheme="minorHAnsi"/>
          <w:i/>
        </w:rPr>
        <w:t>Malar. J.</w:t>
      </w:r>
      <w:r w:rsidRPr="00BF1AE2">
        <w:rPr>
          <w:rFonts w:cstheme="minorHAnsi"/>
        </w:rPr>
        <w:t xml:space="preserve"> </w:t>
      </w:r>
      <w:r w:rsidRPr="00BF1AE2">
        <w:rPr>
          <w:rFonts w:cstheme="minorHAnsi"/>
          <w:b/>
        </w:rPr>
        <w:t>16</w:t>
      </w:r>
      <w:r w:rsidRPr="00BF1AE2">
        <w:rPr>
          <w:rFonts w:cstheme="minorHAnsi"/>
        </w:rPr>
        <w:t>, 2017.</w:t>
      </w:r>
    </w:p>
    <w:p w14:paraId="4FC472DA" w14:textId="77777777" w:rsidR="00BF1AE2" w:rsidRPr="00BF1AE2" w:rsidRDefault="00BF1AE2" w:rsidP="00BF1AE2">
      <w:pPr>
        <w:suppressAutoHyphens/>
        <w:spacing w:after="0" w:line="240" w:lineRule="auto"/>
        <w:ind w:left="720" w:hanging="720"/>
        <w:rPr>
          <w:rFonts w:cstheme="minorHAnsi"/>
        </w:rPr>
      </w:pPr>
      <w:r w:rsidRPr="00BF1AE2">
        <w:rPr>
          <w:rFonts w:cstheme="minorHAnsi"/>
        </w:rPr>
        <w:t>13</w:t>
      </w:r>
      <w:r w:rsidRPr="00BF1AE2">
        <w:rPr>
          <w:rFonts w:cstheme="minorHAnsi"/>
        </w:rPr>
        <w:tab/>
        <w:t>Foley, D. H.</w:t>
      </w:r>
      <w:r w:rsidRPr="00BF1AE2">
        <w:rPr>
          <w:rFonts w:cstheme="minorHAnsi"/>
          <w:i/>
        </w:rPr>
        <w:t xml:space="preserve"> et al.</w:t>
      </w:r>
      <w:r w:rsidRPr="00BF1AE2">
        <w:rPr>
          <w:rFonts w:cstheme="minorHAnsi"/>
        </w:rPr>
        <w:t xml:space="preserve"> </w:t>
      </w:r>
      <w:r w:rsidRPr="00BF1AE2">
        <w:rPr>
          <w:rFonts w:cstheme="minorHAnsi"/>
          <w:i/>
        </w:rPr>
        <w:t>Malaria Journal</w:t>
      </w:r>
      <w:r w:rsidRPr="00BF1AE2">
        <w:rPr>
          <w:rFonts w:cstheme="minorHAnsi"/>
        </w:rPr>
        <w:t xml:space="preserve"> </w:t>
      </w:r>
      <w:r w:rsidRPr="00BF1AE2">
        <w:rPr>
          <w:rFonts w:cstheme="minorHAnsi"/>
          <w:b/>
        </w:rPr>
        <w:t>11</w:t>
      </w:r>
      <w:r w:rsidRPr="00BF1AE2">
        <w:rPr>
          <w:rFonts w:cstheme="minorHAnsi"/>
        </w:rPr>
        <w:t>, 2012.</w:t>
      </w:r>
    </w:p>
    <w:p w14:paraId="3E76E6A5" w14:textId="77777777" w:rsidR="00BF1AE2" w:rsidRPr="00BF1AE2" w:rsidRDefault="00BF1AE2" w:rsidP="00BF1AE2">
      <w:pPr>
        <w:suppressAutoHyphens/>
        <w:spacing w:after="0" w:line="240" w:lineRule="auto"/>
        <w:ind w:left="720" w:hanging="720"/>
        <w:rPr>
          <w:rFonts w:cstheme="minorHAnsi"/>
        </w:rPr>
      </w:pPr>
      <w:r w:rsidRPr="00BF1AE2">
        <w:rPr>
          <w:rFonts w:cstheme="minorHAnsi"/>
        </w:rPr>
        <w:t>14</w:t>
      </w:r>
      <w:r w:rsidRPr="00BF1AE2">
        <w:rPr>
          <w:rFonts w:cstheme="minorHAnsi"/>
        </w:rPr>
        <w:tab/>
        <w:t>Kent, R. J.</w:t>
      </w:r>
      <w:r w:rsidRPr="00BF1AE2">
        <w:rPr>
          <w:rFonts w:cstheme="minorHAnsi"/>
          <w:i/>
        </w:rPr>
        <w:t xml:space="preserve"> et al.</w:t>
      </w:r>
      <w:r w:rsidRPr="00BF1AE2">
        <w:rPr>
          <w:rFonts w:cstheme="minorHAnsi"/>
        </w:rPr>
        <w:t xml:space="preserve"> </w:t>
      </w:r>
      <w:r w:rsidRPr="00BF1AE2">
        <w:rPr>
          <w:rFonts w:cstheme="minorHAnsi"/>
          <w:i/>
        </w:rPr>
        <w:t>Am. J. Trop. Med. Hyg.</w:t>
      </w:r>
      <w:r w:rsidRPr="00BF1AE2">
        <w:rPr>
          <w:rFonts w:cstheme="minorHAnsi"/>
        </w:rPr>
        <w:t xml:space="preserve"> </w:t>
      </w:r>
      <w:r w:rsidRPr="00BF1AE2">
        <w:rPr>
          <w:rFonts w:cstheme="minorHAnsi"/>
          <w:b/>
        </w:rPr>
        <w:t>73</w:t>
      </w:r>
      <w:r w:rsidRPr="00BF1AE2">
        <w:rPr>
          <w:rFonts w:cstheme="minorHAnsi"/>
        </w:rPr>
        <w:t>, 2005.</w:t>
      </w:r>
    </w:p>
    <w:p w14:paraId="727B0C6C" w14:textId="77777777" w:rsidR="00BF1AE2" w:rsidRPr="00BF1AE2" w:rsidRDefault="00BF1AE2" w:rsidP="00BF1AE2">
      <w:pPr>
        <w:suppressAutoHyphens/>
        <w:spacing w:after="0" w:line="240" w:lineRule="auto"/>
        <w:ind w:left="720" w:hanging="720"/>
        <w:rPr>
          <w:rFonts w:cstheme="minorHAnsi"/>
        </w:rPr>
      </w:pPr>
      <w:r w:rsidRPr="00BF1AE2">
        <w:rPr>
          <w:rFonts w:cstheme="minorHAnsi"/>
        </w:rPr>
        <w:t>15</w:t>
      </w:r>
      <w:r w:rsidRPr="00BF1AE2">
        <w:rPr>
          <w:rFonts w:cstheme="minorHAnsi"/>
        </w:rPr>
        <w:tab/>
        <w:t>Harris, P. A.</w:t>
      </w:r>
      <w:r w:rsidRPr="00BF1AE2">
        <w:rPr>
          <w:rFonts w:cstheme="minorHAnsi"/>
          <w:i/>
        </w:rPr>
        <w:t xml:space="preserve"> et al.</w:t>
      </w:r>
      <w:r w:rsidRPr="00BF1AE2">
        <w:rPr>
          <w:rFonts w:cstheme="minorHAnsi"/>
        </w:rPr>
        <w:t xml:space="preserve"> </w:t>
      </w:r>
      <w:r w:rsidRPr="00BF1AE2">
        <w:rPr>
          <w:rFonts w:cstheme="minorHAnsi"/>
          <w:i/>
        </w:rPr>
        <w:t>Journal of Biomedical Informatics</w:t>
      </w:r>
      <w:r w:rsidRPr="00BF1AE2">
        <w:rPr>
          <w:rFonts w:cstheme="minorHAnsi"/>
        </w:rPr>
        <w:t xml:space="preserve"> </w:t>
      </w:r>
      <w:r w:rsidRPr="00BF1AE2">
        <w:rPr>
          <w:rFonts w:cstheme="minorHAnsi"/>
          <w:b/>
        </w:rPr>
        <w:t>42</w:t>
      </w:r>
      <w:r w:rsidRPr="00BF1AE2">
        <w:rPr>
          <w:rFonts w:cstheme="minorHAnsi"/>
        </w:rPr>
        <w:t>, 2009.</w:t>
      </w:r>
    </w:p>
    <w:p w14:paraId="75988C2F" w14:textId="77777777" w:rsidR="00BF1AE2" w:rsidRPr="00BF1AE2" w:rsidRDefault="00BF1AE2" w:rsidP="00BF1AE2">
      <w:pPr>
        <w:suppressAutoHyphens/>
        <w:spacing w:after="0" w:line="240" w:lineRule="auto"/>
        <w:ind w:left="720" w:hanging="720"/>
        <w:rPr>
          <w:rFonts w:cstheme="minorHAnsi"/>
        </w:rPr>
      </w:pPr>
      <w:r w:rsidRPr="00BF1AE2">
        <w:rPr>
          <w:rFonts w:cstheme="minorHAnsi"/>
        </w:rPr>
        <w:t>16</w:t>
      </w:r>
      <w:r w:rsidRPr="00BF1AE2">
        <w:rPr>
          <w:rFonts w:cstheme="minorHAnsi"/>
        </w:rPr>
        <w:tab/>
        <w:t>Harris, P. A.</w:t>
      </w:r>
      <w:r w:rsidRPr="00BF1AE2">
        <w:rPr>
          <w:rFonts w:cstheme="minorHAnsi"/>
          <w:i/>
        </w:rPr>
        <w:t xml:space="preserve"> et al.</w:t>
      </w:r>
      <w:r w:rsidRPr="00BF1AE2">
        <w:rPr>
          <w:rFonts w:cstheme="minorHAnsi"/>
        </w:rPr>
        <w:t xml:space="preserve"> </w:t>
      </w:r>
      <w:r w:rsidRPr="00BF1AE2">
        <w:rPr>
          <w:rFonts w:cstheme="minorHAnsi"/>
          <w:i/>
        </w:rPr>
        <w:t>Journal of Biomedical Informatics</w:t>
      </w:r>
      <w:r w:rsidRPr="00BF1AE2">
        <w:rPr>
          <w:rFonts w:cstheme="minorHAnsi"/>
        </w:rPr>
        <w:t xml:space="preserve"> </w:t>
      </w:r>
      <w:r w:rsidRPr="00BF1AE2">
        <w:rPr>
          <w:rFonts w:cstheme="minorHAnsi"/>
          <w:b/>
        </w:rPr>
        <w:t>95</w:t>
      </w:r>
      <w:r w:rsidRPr="00BF1AE2">
        <w:rPr>
          <w:rFonts w:cstheme="minorHAnsi"/>
        </w:rPr>
        <w:t>, 2019.</w:t>
      </w:r>
    </w:p>
    <w:p w14:paraId="7846D823" w14:textId="77777777" w:rsidR="00BF1AE2" w:rsidRPr="00BF1AE2" w:rsidRDefault="00BF1AE2" w:rsidP="00BF1AE2">
      <w:pPr>
        <w:suppressAutoHyphens/>
        <w:spacing w:after="0" w:line="240" w:lineRule="auto"/>
        <w:ind w:left="720" w:hanging="720"/>
        <w:rPr>
          <w:rFonts w:cstheme="minorHAnsi"/>
        </w:rPr>
      </w:pPr>
      <w:r w:rsidRPr="00BF1AE2">
        <w:rPr>
          <w:rFonts w:cstheme="minorHAnsi"/>
        </w:rPr>
        <w:t>17</w:t>
      </w:r>
      <w:r w:rsidRPr="00BF1AE2">
        <w:rPr>
          <w:rFonts w:cstheme="minorHAnsi"/>
        </w:rPr>
        <w:tab/>
        <w:t>Gerlovina, I.</w:t>
      </w:r>
      <w:r w:rsidRPr="00BF1AE2">
        <w:rPr>
          <w:rFonts w:cstheme="minorHAnsi"/>
          <w:i/>
        </w:rPr>
        <w:t xml:space="preserve"> et al.</w:t>
      </w:r>
      <w:r w:rsidRPr="00BF1AE2">
        <w:rPr>
          <w:rFonts w:cstheme="minorHAnsi"/>
        </w:rPr>
        <w:t xml:space="preserve"> </w:t>
      </w:r>
      <w:r w:rsidRPr="00BF1AE2">
        <w:rPr>
          <w:rFonts w:cstheme="minorHAnsi"/>
          <w:i/>
        </w:rPr>
        <w:t>Genetics</w:t>
      </w:r>
      <w:r w:rsidRPr="00BF1AE2">
        <w:rPr>
          <w:rFonts w:cstheme="minorHAnsi"/>
        </w:rPr>
        <w:t xml:space="preserve"> </w:t>
      </w:r>
      <w:r w:rsidRPr="00BF1AE2">
        <w:rPr>
          <w:rFonts w:cstheme="minorHAnsi"/>
          <w:b/>
        </w:rPr>
        <w:t>222</w:t>
      </w:r>
      <w:r w:rsidRPr="00BF1AE2">
        <w:rPr>
          <w:rFonts w:cstheme="minorHAnsi"/>
        </w:rPr>
        <w:t>, 2022.</w:t>
      </w:r>
    </w:p>
    <w:p w14:paraId="50DEBAAA" w14:textId="77777777" w:rsidR="00BF1AE2" w:rsidRPr="00BF1AE2" w:rsidRDefault="00BF1AE2" w:rsidP="00BF1AE2">
      <w:pPr>
        <w:suppressAutoHyphens/>
        <w:spacing w:after="0" w:line="240" w:lineRule="auto"/>
        <w:ind w:left="720" w:hanging="720"/>
        <w:rPr>
          <w:rFonts w:cstheme="minorHAnsi"/>
        </w:rPr>
      </w:pPr>
      <w:r w:rsidRPr="00BF1AE2">
        <w:rPr>
          <w:rFonts w:cstheme="minorHAnsi"/>
        </w:rPr>
        <w:t>18</w:t>
      </w:r>
      <w:r w:rsidRPr="00BF1AE2">
        <w:rPr>
          <w:rFonts w:cstheme="minorHAnsi"/>
        </w:rPr>
        <w:tab/>
        <w:t>Austin, P. C.</w:t>
      </w:r>
      <w:r w:rsidRPr="00BF1AE2">
        <w:rPr>
          <w:rFonts w:cstheme="minorHAnsi"/>
          <w:i/>
        </w:rPr>
        <w:t xml:space="preserve"> et al.</w:t>
      </w:r>
      <w:r w:rsidRPr="00BF1AE2">
        <w:rPr>
          <w:rFonts w:cstheme="minorHAnsi"/>
        </w:rPr>
        <w:t xml:space="preserve"> </w:t>
      </w:r>
      <w:r w:rsidRPr="00BF1AE2">
        <w:rPr>
          <w:rFonts w:cstheme="minorHAnsi"/>
          <w:i/>
        </w:rPr>
        <w:t>Canadian journal of public health</w:t>
      </w:r>
      <w:r w:rsidRPr="00BF1AE2">
        <w:rPr>
          <w:rFonts w:cstheme="minorHAnsi"/>
        </w:rPr>
        <w:t xml:space="preserve"> </w:t>
      </w:r>
      <w:r w:rsidRPr="00BF1AE2">
        <w:rPr>
          <w:rFonts w:cstheme="minorHAnsi"/>
          <w:b/>
        </w:rPr>
        <w:t>92</w:t>
      </w:r>
      <w:r w:rsidRPr="00BF1AE2">
        <w:rPr>
          <w:rFonts w:cstheme="minorHAnsi"/>
        </w:rPr>
        <w:t>, 2001.</w:t>
      </w:r>
    </w:p>
    <w:p w14:paraId="0BABE0A8" w14:textId="77777777" w:rsidR="00BF1AE2" w:rsidRPr="00BF1AE2" w:rsidRDefault="00BF1AE2" w:rsidP="00BF1AE2">
      <w:pPr>
        <w:suppressAutoHyphens/>
        <w:spacing w:after="0" w:line="240" w:lineRule="auto"/>
        <w:ind w:left="720" w:hanging="720"/>
        <w:rPr>
          <w:rFonts w:cstheme="minorHAnsi"/>
        </w:rPr>
      </w:pPr>
      <w:r w:rsidRPr="00BF1AE2">
        <w:rPr>
          <w:rFonts w:cstheme="minorHAnsi"/>
        </w:rPr>
        <w:t>19</w:t>
      </w:r>
      <w:r w:rsidRPr="00BF1AE2">
        <w:rPr>
          <w:rFonts w:cstheme="minorHAnsi"/>
        </w:rPr>
        <w:tab/>
        <w:t>Goldstein, H.</w:t>
      </w:r>
      <w:r w:rsidRPr="00BF1AE2">
        <w:rPr>
          <w:rFonts w:cstheme="minorHAnsi"/>
          <w:i/>
        </w:rPr>
        <w:t xml:space="preserve"> et al.</w:t>
      </w:r>
      <w:r w:rsidRPr="00BF1AE2">
        <w:rPr>
          <w:rFonts w:cstheme="minorHAnsi"/>
        </w:rPr>
        <w:t>, 2003.</w:t>
      </w:r>
    </w:p>
    <w:p w14:paraId="7333C940" w14:textId="3965B7CA" w:rsidR="00BF1AE2" w:rsidRPr="00BF1AE2" w:rsidRDefault="00BF1AE2" w:rsidP="00144E32">
      <w:pPr>
        <w:suppressAutoHyphens/>
        <w:spacing w:after="0" w:line="240" w:lineRule="auto"/>
        <w:ind w:left="720" w:hanging="720"/>
        <w:rPr>
          <w:rFonts w:cs="Times New Roman"/>
          <w:lang w:val="nl-NL"/>
        </w:rPr>
      </w:pPr>
      <w:r w:rsidRPr="00BF1AE2">
        <w:rPr>
          <w:rFonts w:cstheme="minorHAnsi"/>
        </w:rPr>
        <w:t>20</w:t>
      </w:r>
      <w:r w:rsidRPr="00BF1AE2">
        <w:rPr>
          <w:rFonts w:cstheme="minorHAnsi"/>
        </w:rPr>
        <w:tab/>
        <w:t xml:space="preserve">Burnham, K. P. </w:t>
      </w:r>
      <w:r w:rsidRPr="00BF1AE2">
        <w:rPr>
          <w:rFonts w:cstheme="minorHAnsi"/>
          <w:i/>
        </w:rPr>
        <w:t>A practical information-theoretic approach</w:t>
      </w:r>
      <w:r w:rsidRPr="00BF1AE2">
        <w:rPr>
          <w:rFonts w:cstheme="minorHAnsi"/>
        </w:rPr>
        <w:t>, 1998.</w:t>
      </w:r>
      <w:r w:rsidRPr="00BF1AE2">
        <w:rPr>
          <w:rFonts w:cs="Times New Roman"/>
          <w:lang w:val="nl-NL"/>
        </w:rPr>
        <w:fldChar w:fldCharType="end"/>
      </w:r>
    </w:p>
    <w:p w14:paraId="24BC9FE7" w14:textId="77777777" w:rsidR="00EE5B58" w:rsidRDefault="00EE5B58"/>
    <w:sectPr w:rsidR="00EE5B58" w:rsidSect="00144E32">
      <w:footerReference w:type="default" r:id="rId9"/>
      <w:pgSz w:w="11906" w:h="16838"/>
      <w:pgMar w:top="1417" w:right="1417" w:bottom="1170" w:left="1417" w:header="708" w:footer="708"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1D5DF0" w14:textId="77777777" w:rsidR="00F40E59" w:rsidRDefault="00F40E59">
      <w:pPr>
        <w:spacing w:after="0" w:line="240" w:lineRule="auto"/>
      </w:pPr>
      <w:r>
        <w:separator/>
      </w:r>
    </w:p>
  </w:endnote>
  <w:endnote w:type="continuationSeparator" w:id="0">
    <w:p w14:paraId="32F30651" w14:textId="77777777" w:rsidR="00F40E59" w:rsidRDefault="00F40E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6D5DC0" w14:textId="77777777" w:rsidR="00846B9B" w:rsidRDefault="00846B9B">
    <w:pPr>
      <w:pStyle w:val="Footer"/>
      <w:jc w:val="right"/>
    </w:pPr>
    <w:r>
      <w:fldChar w:fldCharType="begin"/>
    </w:r>
    <w:r>
      <w:instrText xml:space="preserve"> PAGE </w:instrText>
    </w:r>
    <w:r>
      <w:fldChar w:fldCharType="separate"/>
    </w:r>
    <w:r w:rsidR="00F33548">
      <w:rPr>
        <w:noProof/>
      </w:rPr>
      <w:t>9</w:t>
    </w:r>
    <w:r>
      <w:fldChar w:fldCharType="end"/>
    </w:r>
  </w:p>
  <w:p w14:paraId="4AB26D29" w14:textId="77777777" w:rsidR="00846B9B" w:rsidRDefault="00846B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049F39" w14:textId="77777777" w:rsidR="00F40E59" w:rsidRDefault="00F40E59">
      <w:pPr>
        <w:spacing w:after="0" w:line="240" w:lineRule="auto"/>
      </w:pPr>
      <w:r>
        <w:separator/>
      </w:r>
    </w:p>
  </w:footnote>
  <w:footnote w:type="continuationSeparator" w:id="0">
    <w:p w14:paraId="357C4B56" w14:textId="77777777" w:rsidR="00F40E59" w:rsidRDefault="00F40E5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1AE2"/>
    <w:rsid w:val="00062F69"/>
    <w:rsid w:val="000C4BC5"/>
    <w:rsid w:val="000F755E"/>
    <w:rsid w:val="00144E32"/>
    <w:rsid w:val="001A0955"/>
    <w:rsid w:val="00233914"/>
    <w:rsid w:val="00395131"/>
    <w:rsid w:val="003A21EE"/>
    <w:rsid w:val="003A5CF5"/>
    <w:rsid w:val="003B4821"/>
    <w:rsid w:val="005026C0"/>
    <w:rsid w:val="00556411"/>
    <w:rsid w:val="00626585"/>
    <w:rsid w:val="007750B3"/>
    <w:rsid w:val="00846B9B"/>
    <w:rsid w:val="00907D1C"/>
    <w:rsid w:val="00921079"/>
    <w:rsid w:val="00981C06"/>
    <w:rsid w:val="009B43C3"/>
    <w:rsid w:val="00A12785"/>
    <w:rsid w:val="00B532EA"/>
    <w:rsid w:val="00BF1AE2"/>
    <w:rsid w:val="00E42DA9"/>
    <w:rsid w:val="00E86A0B"/>
    <w:rsid w:val="00ED3F2A"/>
    <w:rsid w:val="00EE5B58"/>
    <w:rsid w:val="00F13741"/>
    <w:rsid w:val="00F33548"/>
    <w:rsid w:val="00F40E59"/>
    <w:rsid w:val="00F622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C3C48E"/>
  <w15:chartTrackingRefBased/>
  <w15:docId w15:val="{14F39693-A860-42D4-874C-ACAD3DDD3E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erChar">
    <w:name w:val="Footer Char"/>
    <w:basedOn w:val="DefaultParagraphFont"/>
    <w:link w:val="Footer"/>
    <w:uiPriority w:val="99"/>
    <w:qFormat/>
    <w:rsid w:val="00BF1AE2"/>
    <w:rPr>
      <w:rFonts w:ascii="Calibri" w:eastAsia="Calibri" w:hAnsi="Calibri" w:cs="Times New Roman"/>
      <w:lang w:val="nl-NL"/>
    </w:rPr>
  </w:style>
  <w:style w:type="character" w:customStyle="1" w:styleId="HeaderChar">
    <w:name w:val="Header Char"/>
    <w:basedOn w:val="DefaultParagraphFont"/>
    <w:link w:val="Header"/>
    <w:uiPriority w:val="99"/>
    <w:qFormat/>
    <w:rsid w:val="00BF1AE2"/>
    <w:rPr>
      <w:rFonts w:ascii="Calibri" w:eastAsia="Calibri" w:hAnsi="Calibri" w:cs="Times New Roman"/>
      <w:lang w:val="nl-NL"/>
    </w:rPr>
  </w:style>
  <w:style w:type="paragraph" w:styleId="Footer">
    <w:name w:val="footer"/>
    <w:basedOn w:val="Normal"/>
    <w:link w:val="FooterChar"/>
    <w:uiPriority w:val="99"/>
    <w:unhideWhenUsed/>
    <w:rsid w:val="00BF1AE2"/>
    <w:pPr>
      <w:tabs>
        <w:tab w:val="center" w:pos="4680"/>
        <w:tab w:val="right" w:pos="9360"/>
      </w:tabs>
      <w:suppressAutoHyphens/>
      <w:spacing w:after="0" w:line="240" w:lineRule="auto"/>
    </w:pPr>
    <w:rPr>
      <w:rFonts w:ascii="Calibri" w:eastAsia="Calibri" w:hAnsi="Calibri" w:cs="Times New Roman"/>
      <w:lang w:val="nl-NL"/>
    </w:rPr>
  </w:style>
  <w:style w:type="character" w:customStyle="1" w:styleId="FooterChar1">
    <w:name w:val="Footer Char1"/>
    <w:basedOn w:val="DefaultParagraphFont"/>
    <w:uiPriority w:val="99"/>
    <w:semiHidden/>
    <w:rsid w:val="00BF1AE2"/>
  </w:style>
  <w:style w:type="paragraph" w:styleId="Header">
    <w:name w:val="header"/>
    <w:basedOn w:val="Normal"/>
    <w:link w:val="HeaderChar"/>
    <w:uiPriority w:val="99"/>
    <w:unhideWhenUsed/>
    <w:rsid w:val="00BF1AE2"/>
    <w:pPr>
      <w:tabs>
        <w:tab w:val="center" w:pos="4680"/>
        <w:tab w:val="right" w:pos="9360"/>
      </w:tabs>
      <w:suppressAutoHyphens/>
      <w:spacing w:after="0" w:line="240" w:lineRule="auto"/>
    </w:pPr>
    <w:rPr>
      <w:rFonts w:ascii="Calibri" w:eastAsia="Calibri" w:hAnsi="Calibri" w:cs="Times New Roman"/>
      <w:lang w:val="nl-NL"/>
    </w:rPr>
  </w:style>
  <w:style w:type="character" w:customStyle="1" w:styleId="HeaderChar1">
    <w:name w:val="Header Char1"/>
    <w:basedOn w:val="DefaultParagraphFont"/>
    <w:uiPriority w:val="99"/>
    <w:semiHidden/>
    <w:rsid w:val="00BF1AE2"/>
  </w:style>
  <w:style w:type="table" w:styleId="PlainTable2">
    <w:name w:val="Plain Table 2"/>
    <w:basedOn w:val="TableNormal"/>
    <w:uiPriority w:val="42"/>
    <w:rsid w:val="00BF1AE2"/>
    <w:pPr>
      <w:suppressAutoHyphens/>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000000" w:themeColor="text1"/>
        </w:tcBorders>
      </w:tcPr>
    </w:tblStylePr>
    <w:tblStylePr w:type="lastRow">
      <w:rPr>
        <w:b/>
        <w:bCs/>
      </w:rPr>
      <w:tblPr/>
      <w:tcPr>
        <w:tcBorders>
          <w:top w:val="single" w:sz="4" w:space="0" w:color="000000" w:themeColor="text1"/>
        </w:tcBorders>
      </w:tcPr>
    </w:tblStylePr>
    <w:tblStylePr w:type="firstCol">
      <w:rPr>
        <w:b/>
        <w:bCs/>
      </w:rPr>
    </w:tblStylePr>
    <w:tblStylePr w:type="lastCol">
      <w:rPr>
        <w:b/>
        <w:bCs/>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character" w:styleId="CommentReference">
    <w:name w:val="annotation reference"/>
    <w:basedOn w:val="DefaultParagraphFont"/>
    <w:uiPriority w:val="99"/>
    <w:semiHidden/>
    <w:unhideWhenUsed/>
    <w:rsid w:val="00B532EA"/>
    <w:rPr>
      <w:sz w:val="16"/>
      <w:szCs w:val="16"/>
    </w:rPr>
  </w:style>
  <w:style w:type="paragraph" w:styleId="CommentText">
    <w:name w:val="annotation text"/>
    <w:basedOn w:val="Normal"/>
    <w:link w:val="CommentTextChar"/>
    <w:uiPriority w:val="99"/>
    <w:semiHidden/>
    <w:unhideWhenUsed/>
    <w:rsid w:val="00B532EA"/>
    <w:pPr>
      <w:spacing w:line="240" w:lineRule="auto"/>
    </w:pPr>
    <w:rPr>
      <w:sz w:val="20"/>
      <w:szCs w:val="20"/>
    </w:rPr>
  </w:style>
  <w:style w:type="character" w:customStyle="1" w:styleId="CommentTextChar">
    <w:name w:val="Comment Text Char"/>
    <w:basedOn w:val="DefaultParagraphFont"/>
    <w:link w:val="CommentText"/>
    <w:uiPriority w:val="99"/>
    <w:semiHidden/>
    <w:rsid w:val="00B532EA"/>
    <w:rPr>
      <w:sz w:val="20"/>
      <w:szCs w:val="20"/>
    </w:rPr>
  </w:style>
  <w:style w:type="paragraph" w:styleId="CommentSubject">
    <w:name w:val="annotation subject"/>
    <w:basedOn w:val="CommentText"/>
    <w:next w:val="CommentText"/>
    <w:link w:val="CommentSubjectChar"/>
    <w:uiPriority w:val="99"/>
    <w:semiHidden/>
    <w:unhideWhenUsed/>
    <w:rsid w:val="00B532EA"/>
    <w:rPr>
      <w:b/>
      <w:bCs/>
    </w:rPr>
  </w:style>
  <w:style w:type="character" w:customStyle="1" w:styleId="CommentSubjectChar">
    <w:name w:val="Comment Subject Char"/>
    <w:basedOn w:val="CommentTextChar"/>
    <w:link w:val="CommentSubject"/>
    <w:uiPriority w:val="99"/>
    <w:semiHidden/>
    <w:rsid w:val="00B532EA"/>
    <w:rPr>
      <w:b/>
      <w:bCs/>
      <w:sz w:val="20"/>
      <w:szCs w:val="20"/>
    </w:rPr>
  </w:style>
  <w:style w:type="paragraph" w:styleId="BalloonText">
    <w:name w:val="Balloon Text"/>
    <w:basedOn w:val="Normal"/>
    <w:link w:val="BalloonTextChar"/>
    <w:uiPriority w:val="99"/>
    <w:semiHidden/>
    <w:unhideWhenUsed/>
    <w:rsid w:val="00B532E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2EA"/>
    <w:rPr>
      <w:rFonts w:ascii="Segoe UI" w:hAnsi="Segoe UI" w:cs="Segoe UI"/>
      <w:sz w:val="18"/>
      <w:szCs w:val="18"/>
    </w:rPr>
  </w:style>
  <w:style w:type="table" w:customStyle="1" w:styleId="PlainTable21">
    <w:name w:val="Plain Table 21"/>
    <w:basedOn w:val="TableNormal"/>
    <w:uiPriority w:val="42"/>
    <w:rsid w:val="000F755E"/>
    <w:pPr>
      <w:suppressAutoHyphens/>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000000" w:themeColor="text1"/>
        </w:tcBorders>
      </w:tcPr>
    </w:tblStylePr>
    <w:tblStylePr w:type="lastRow">
      <w:rPr>
        <w:b/>
        <w:bCs/>
      </w:rPr>
      <w:tblPr/>
      <w:tcPr>
        <w:tcBorders>
          <w:top w:val="single" w:sz="4" w:space="0" w:color="000000" w:themeColor="text1"/>
        </w:tcBorders>
      </w:tcPr>
    </w:tblStylePr>
    <w:tblStylePr w:type="firstCol">
      <w:rPr>
        <w:b/>
        <w:bCs/>
      </w:rPr>
    </w:tblStylePr>
    <w:tblStylePr w:type="lastCol">
      <w:rPr>
        <w:b/>
        <w:bCs/>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6290</Words>
  <Characters>35858</Characters>
  <Application>Microsoft Office Word</Application>
  <DocSecurity>0</DocSecurity>
  <Lines>298</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Legesse</dc:creator>
  <cp:keywords/>
  <dc:description/>
  <cp:lastModifiedBy>Fitsum</cp:lastModifiedBy>
  <cp:revision>3</cp:revision>
  <dcterms:created xsi:type="dcterms:W3CDTF">2023-04-21T13:13:00Z</dcterms:created>
  <dcterms:modified xsi:type="dcterms:W3CDTF">2023-04-21T22:14:00Z</dcterms:modified>
</cp:coreProperties>
</file>