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8192" w14:textId="77777777" w:rsidR="00622944" w:rsidRDefault="00622944" w:rsidP="00622944">
      <w:pPr>
        <w:jc w:val="center"/>
        <w:rPr>
          <w:b/>
          <w:bCs/>
          <w:sz w:val="28"/>
          <w:szCs w:val="28"/>
        </w:rPr>
      </w:pPr>
      <w:r w:rsidRPr="001578E9">
        <w:rPr>
          <w:b/>
          <w:bCs/>
          <w:sz w:val="28"/>
          <w:szCs w:val="28"/>
        </w:rPr>
        <w:t>Supporting Information</w:t>
      </w:r>
    </w:p>
    <w:p w14:paraId="789937A3" w14:textId="77777777" w:rsidR="00622944" w:rsidRDefault="00622944" w:rsidP="001578E9">
      <w:pPr>
        <w:spacing w:line="360" w:lineRule="auto"/>
        <w:ind w:firstLine="720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</w:p>
    <w:p w14:paraId="5CADE3E9" w14:textId="77777777" w:rsidR="00622944" w:rsidRDefault="00622944" w:rsidP="001578E9">
      <w:pPr>
        <w:spacing w:line="360" w:lineRule="auto"/>
        <w:ind w:firstLine="720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</w:p>
    <w:p w14:paraId="1617258E" w14:textId="77777777" w:rsidR="00622944" w:rsidRDefault="00622944" w:rsidP="001578E9">
      <w:pPr>
        <w:spacing w:line="360" w:lineRule="auto"/>
        <w:ind w:firstLine="720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</w:p>
    <w:p w14:paraId="7A68656B" w14:textId="160D44DA" w:rsidR="001578E9" w:rsidRPr="00063A7E" w:rsidRDefault="001578E9" w:rsidP="001578E9">
      <w:pPr>
        <w:spacing w:line="360" w:lineRule="auto"/>
        <w:ind w:firstLine="720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Controlled tumor heterogeneity in a co-culture system by 3D bio-printed tumor-on-chip model </w:t>
      </w:r>
    </w:p>
    <w:p w14:paraId="1207B295" w14:textId="77777777" w:rsidR="001578E9" w:rsidRPr="00E07B66" w:rsidRDefault="001578E9" w:rsidP="001578E9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E07B66">
        <w:rPr>
          <w:rFonts w:ascii="Arial" w:hAnsi="Arial" w:cs="Arial"/>
          <w:b/>
          <w:color w:val="000000" w:themeColor="text1"/>
        </w:rPr>
        <w:t>Nafiseh Moghimi,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>1,4</w:t>
      </w:r>
      <w:r w:rsidRPr="00E07B66">
        <w:rPr>
          <w:rFonts w:ascii="Arial" w:hAnsi="Arial" w:cs="Arial"/>
          <w:b/>
          <w:color w:val="000000" w:themeColor="text1"/>
        </w:rPr>
        <w:t xml:space="preserve"> </w:t>
      </w:r>
      <w:proofErr w:type="gramStart"/>
      <w:r w:rsidRPr="00E07B66">
        <w:rPr>
          <w:rFonts w:ascii="Arial" w:hAnsi="Arial" w:cs="Arial"/>
          <w:b/>
          <w:color w:val="000000" w:themeColor="text1"/>
        </w:rPr>
        <w:t>Seied  Ali</w:t>
      </w:r>
      <w:proofErr w:type="gramEnd"/>
      <w:r w:rsidRPr="00E07B66">
        <w:rPr>
          <w:rFonts w:ascii="Arial" w:hAnsi="Arial" w:cs="Arial"/>
          <w:b/>
          <w:color w:val="000000" w:themeColor="text1"/>
        </w:rPr>
        <w:t xml:space="preserve"> Hosseini,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>2</w:t>
      </w:r>
      <w:r w:rsidRPr="00E07B66">
        <w:rPr>
          <w:rFonts w:ascii="Arial" w:hAnsi="Arial" w:cs="Arial"/>
          <w:b/>
          <w:color w:val="000000" w:themeColor="text1"/>
        </w:rPr>
        <w:t xml:space="preserve"> Altay Burak Dalan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 xml:space="preserve"> 1,3</w:t>
      </w:r>
      <w:r w:rsidRPr="00E07B66">
        <w:rPr>
          <w:rFonts w:ascii="Arial" w:hAnsi="Arial" w:cs="Arial"/>
          <w:b/>
          <w:color w:val="000000" w:themeColor="text1"/>
        </w:rPr>
        <w:t>* Dorsa Mohammadizadeh,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>1</w:t>
      </w:r>
      <w:r w:rsidRPr="00E07B66">
        <w:rPr>
          <w:rFonts w:ascii="Arial" w:hAnsi="Arial" w:cs="Arial"/>
          <w:b/>
          <w:color w:val="000000" w:themeColor="text1"/>
        </w:rPr>
        <w:t xml:space="preserve"> Aaron Goldman,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>4</w:t>
      </w:r>
      <w:r w:rsidRPr="00E07B66">
        <w:rPr>
          <w:rFonts w:ascii="Arial" w:hAnsi="Arial" w:cs="Arial"/>
          <w:b/>
          <w:color w:val="000000" w:themeColor="text1"/>
        </w:rPr>
        <w:t xml:space="preserve"> Mohammad Kohandel</w:t>
      </w:r>
      <w:r w:rsidRPr="00E07B66">
        <w:rPr>
          <w:rFonts w:ascii="Arial" w:hAnsi="Arial" w:cs="Arial"/>
          <w:b/>
          <w:color w:val="000000" w:themeColor="text1"/>
          <w:vertAlign w:val="superscript"/>
        </w:rPr>
        <w:t>1</w:t>
      </w:r>
      <w:r w:rsidRPr="00E07B66">
        <w:rPr>
          <w:rFonts w:ascii="Arial" w:hAnsi="Arial" w:cs="Arial"/>
          <w:b/>
          <w:color w:val="000000" w:themeColor="text1"/>
        </w:rPr>
        <w:t>*</w:t>
      </w:r>
    </w:p>
    <w:p w14:paraId="4C5AC995" w14:textId="77777777" w:rsidR="001578E9" w:rsidRPr="00E07B66" w:rsidRDefault="001578E9" w:rsidP="001578E9">
      <w:pPr>
        <w:pStyle w:val="Paragraph"/>
        <w:spacing w:before="0" w:line="360" w:lineRule="auto"/>
        <w:ind w:firstLine="0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E07B66">
        <w:rPr>
          <w:rFonts w:ascii="Arial" w:hAnsi="Arial" w:cs="Arial"/>
          <w:i/>
          <w:color w:val="000000" w:themeColor="text1"/>
          <w:sz w:val="20"/>
          <w:szCs w:val="20"/>
        </w:rPr>
        <w:t>Department of Applied Mathematics, University of Waterloo, Waterloo, Canada,</w:t>
      </w:r>
      <w:r w:rsidRPr="00E07B66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1</w:t>
      </w:r>
      <w:r w:rsidRPr="00E07B66">
        <w:rPr>
          <w:rFonts w:ascii="Arial" w:hAnsi="Arial"/>
          <w:i/>
          <w:color w:val="000000" w:themeColor="text1"/>
          <w:sz w:val="20"/>
          <w:szCs w:val="20"/>
        </w:rPr>
        <w:t xml:space="preserve"> Electrical Engineering Department, </w:t>
      </w:r>
      <w:r w:rsidRPr="00E07B66">
        <w:rPr>
          <w:rFonts w:ascii="Arial" w:hAnsi="Arial" w:cs="Arial"/>
          <w:i/>
          <w:color w:val="000000" w:themeColor="text1"/>
          <w:sz w:val="20"/>
          <w:szCs w:val="20"/>
        </w:rPr>
        <w:t>University of Waterloo, Waterloo, Canada</w:t>
      </w:r>
      <w:r w:rsidRPr="00E07B66">
        <w:rPr>
          <w:rFonts w:ascii="Arial" w:hAnsi="Arial"/>
          <w:i/>
          <w:color w:val="000000" w:themeColor="text1"/>
          <w:sz w:val="20"/>
          <w:szCs w:val="20"/>
        </w:rPr>
        <w:t>,</w:t>
      </w:r>
      <w:r w:rsidRPr="00E07B66">
        <w:rPr>
          <w:rFonts w:ascii="Arial" w:hAnsi="Arial"/>
          <w:i/>
          <w:color w:val="000000" w:themeColor="text1"/>
          <w:sz w:val="20"/>
          <w:szCs w:val="20"/>
          <w:vertAlign w:val="superscript"/>
        </w:rPr>
        <w:t>2</w:t>
      </w:r>
      <w:r w:rsidRPr="00E07B66">
        <w:rPr>
          <w:rFonts w:ascii="Arial" w:hAnsi="Arial"/>
          <w:i/>
          <w:color w:val="000000" w:themeColor="text1"/>
          <w:sz w:val="20"/>
          <w:szCs w:val="20"/>
        </w:rPr>
        <w:t xml:space="preserve"> </w:t>
      </w:r>
      <w:r w:rsidRPr="00601795">
        <w:rPr>
          <w:rFonts w:ascii="Arial" w:hAnsi="Arial" w:cs="Arial"/>
          <w:i/>
          <w:color w:val="000000" w:themeColor="text1"/>
          <w:sz w:val="20"/>
          <w:szCs w:val="20"/>
        </w:rPr>
        <w:t>Department of Medical Genetics</w:t>
      </w:r>
      <w:r w:rsidRPr="00E07B66">
        <w:rPr>
          <w:rFonts w:ascii="Arial" w:hAnsi="Arial" w:cs="Arial"/>
          <w:i/>
          <w:color w:val="000000" w:themeColor="text1"/>
          <w:sz w:val="20"/>
          <w:szCs w:val="20"/>
        </w:rPr>
        <w:t>, School of Medicine, Yeditepe University, Istanbul, Turkey,</w:t>
      </w:r>
      <w:r w:rsidRPr="00E07B66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3</w:t>
      </w:r>
      <w:r w:rsidRPr="00E07B66">
        <w:rPr>
          <w:rFonts w:ascii="Arial" w:hAnsi="Arial" w:cs="Arial"/>
          <w:i/>
          <w:color w:val="000000" w:themeColor="text1"/>
          <w:sz w:val="20"/>
          <w:szCs w:val="20"/>
        </w:rPr>
        <w:t xml:space="preserve"> Department of Medicine, Harvard Medical School, Boston, MA, USA; Division of Engineering in Medicine, Brigham and Women's Hospital, Boston, MA, USA</w:t>
      </w:r>
      <w:r w:rsidRPr="00E07B66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4</w:t>
      </w:r>
    </w:p>
    <w:p w14:paraId="51F42F98" w14:textId="77777777" w:rsidR="001578E9" w:rsidRPr="00E07B66" w:rsidRDefault="001578E9" w:rsidP="001578E9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E07B66">
        <w:rPr>
          <w:rFonts w:ascii="Arial" w:hAnsi="Arial"/>
          <w:i/>
          <w:color w:val="000000" w:themeColor="text1"/>
          <w:sz w:val="20"/>
          <w:szCs w:val="20"/>
        </w:rPr>
        <w:t>*</w:t>
      </w:r>
      <w:proofErr w:type="gramStart"/>
      <w:r w:rsidRPr="00E07B66">
        <w:rPr>
          <w:rFonts w:ascii="Arial" w:hAnsi="Arial"/>
          <w:i/>
          <w:color w:val="000000" w:themeColor="text1"/>
          <w:sz w:val="20"/>
          <w:szCs w:val="20"/>
        </w:rPr>
        <w:t>correspondence</w:t>
      </w:r>
      <w:proofErr w:type="gramEnd"/>
      <w:r w:rsidRPr="00E07B66">
        <w:rPr>
          <w:rFonts w:ascii="Arial" w:hAnsi="Arial"/>
          <w:i/>
          <w:color w:val="000000" w:themeColor="text1"/>
          <w:sz w:val="20"/>
          <w:szCs w:val="20"/>
        </w:rPr>
        <w:t xml:space="preserve"> to:</w:t>
      </w:r>
      <w:r w:rsidRPr="00E07B66">
        <w:rPr>
          <w:color w:val="000000" w:themeColor="text1"/>
        </w:rPr>
        <w:t xml:space="preserve"> </w:t>
      </w:r>
      <w:r w:rsidRPr="00E07B66">
        <w:rPr>
          <w:rFonts w:ascii="Arial" w:hAnsi="Arial"/>
          <w:i/>
          <w:color w:val="000000" w:themeColor="text1"/>
          <w:sz w:val="20"/>
          <w:szCs w:val="20"/>
        </w:rPr>
        <w:t>nmoghimi@uwaterloo.ca</w:t>
      </w:r>
    </w:p>
    <w:p w14:paraId="6FC96970" w14:textId="77777777" w:rsidR="006667E4" w:rsidRDefault="006667E4"/>
    <w:p w14:paraId="39EDD7A3" w14:textId="77777777" w:rsidR="001578E9" w:rsidRDefault="001578E9"/>
    <w:p w14:paraId="0A4AD2FA" w14:textId="77777777" w:rsidR="001578E9" w:rsidRDefault="001578E9" w:rsidP="001578E9">
      <w:pPr>
        <w:jc w:val="center"/>
        <w:rPr>
          <w:b/>
          <w:bCs/>
          <w:sz w:val="28"/>
          <w:szCs w:val="28"/>
        </w:rPr>
      </w:pPr>
    </w:p>
    <w:p w14:paraId="716CD5B7" w14:textId="77777777" w:rsidR="001578E9" w:rsidRDefault="001578E9" w:rsidP="001578E9">
      <w:pPr>
        <w:jc w:val="center"/>
        <w:rPr>
          <w:b/>
          <w:bCs/>
          <w:sz w:val="28"/>
          <w:szCs w:val="28"/>
        </w:rPr>
      </w:pPr>
    </w:p>
    <w:p w14:paraId="4AAF91E5" w14:textId="77777777" w:rsidR="001578E9" w:rsidRDefault="001578E9">
      <w:pPr>
        <w:spacing w:after="160" w:line="259" w:lineRule="auto"/>
        <w:rPr>
          <w:b/>
          <w:bCs/>
          <w:sz w:val="28"/>
          <w:szCs w:val="28"/>
        </w:rPr>
      </w:pPr>
    </w:p>
    <w:p w14:paraId="6EC2A5FC" w14:textId="26C88B90" w:rsidR="001578E9" w:rsidRDefault="001578E9" w:rsidP="001578E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2FE441" w14:textId="52A533FE" w:rsidR="001578E9" w:rsidRDefault="001578E9" w:rsidP="001578E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578E9" w:rsidRPr="00876656" w14:paraId="5B29BD7D" w14:textId="77777777" w:rsidTr="00D43BA4">
        <w:trPr>
          <w:trHeight w:val="495"/>
        </w:trPr>
        <w:tc>
          <w:tcPr>
            <w:tcW w:w="2337" w:type="dxa"/>
            <w:hideMark/>
          </w:tcPr>
          <w:p w14:paraId="3C66AC6F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Bioink</w:t>
            </w:r>
          </w:p>
        </w:tc>
        <w:tc>
          <w:tcPr>
            <w:tcW w:w="2337" w:type="dxa"/>
            <w:hideMark/>
          </w:tcPr>
          <w:p w14:paraId="49F1E9C7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Pressure, Gauges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(22G Nozzle)</w:t>
            </w:r>
          </w:p>
        </w:tc>
        <w:tc>
          <w:tcPr>
            <w:tcW w:w="2338" w:type="dxa"/>
            <w:hideMark/>
          </w:tcPr>
          <w:p w14:paraId="60A24DC2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Filament </w:t>
            </w:r>
          </w:p>
        </w:tc>
        <w:tc>
          <w:tcPr>
            <w:tcW w:w="2338" w:type="dxa"/>
            <w:hideMark/>
          </w:tcPr>
          <w:p w14:paraId="4D8DFCD8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Printability</w:t>
            </w:r>
          </w:p>
        </w:tc>
      </w:tr>
      <w:tr w:rsidR="001578E9" w:rsidRPr="00876656" w14:paraId="0C15C171" w14:textId="77777777" w:rsidTr="00D43BA4">
        <w:trPr>
          <w:trHeight w:val="920"/>
        </w:trPr>
        <w:tc>
          <w:tcPr>
            <w:tcW w:w="2337" w:type="dxa"/>
            <w:hideMark/>
          </w:tcPr>
          <w:p w14:paraId="6B574823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Alg 1%/ Gel 4% (A1G4)</w:t>
            </w:r>
          </w:p>
        </w:tc>
        <w:tc>
          <w:tcPr>
            <w:tcW w:w="2337" w:type="dxa"/>
            <w:hideMark/>
          </w:tcPr>
          <w:p w14:paraId="0E775DDB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20-30 KPa</w:t>
            </w:r>
          </w:p>
        </w:tc>
        <w:tc>
          <w:tcPr>
            <w:tcW w:w="2338" w:type="dxa"/>
            <w:hideMark/>
          </w:tcPr>
          <w:p w14:paraId="145846D8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Has nods with red nozzle, spreads with blue nozzle</w:t>
            </w:r>
          </w:p>
        </w:tc>
        <w:tc>
          <w:tcPr>
            <w:tcW w:w="2338" w:type="dxa"/>
            <w:hideMark/>
          </w:tcPr>
          <w:p w14:paraId="19A28D5C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Could not hold the structure, especially with blue nozzle</w:t>
            </w:r>
          </w:p>
        </w:tc>
      </w:tr>
      <w:tr w:rsidR="001578E9" w:rsidRPr="00876656" w14:paraId="14E28287" w14:textId="77777777" w:rsidTr="00D43BA4">
        <w:trPr>
          <w:trHeight w:val="920"/>
        </w:trPr>
        <w:tc>
          <w:tcPr>
            <w:tcW w:w="2337" w:type="dxa"/>
          </w:tcPr>
          <w:p w14:paraId="39AAB650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Alg 1%/ Gel 5% (A1G5)</w:t>
            </w:r>
          </w:p>
        </w:tc>
        <w:tc>
          <w:tcPr>
            <w:tcW w:w="2337" w:type="dxa"/>
          </w:tcPr>
          <w:p w14:paraId="6520DF9F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20-30 KPa</w:t>
            </w:r>
          </w:p>
        </w:tc>
        <w:tc>
          <w:tcPr>
            <w:tcW w:w="2338" w:type="dxa"/>
          </w:tcPr>
          <w:p w14:paraId="392FB852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Has nods with red nozzle, spreads with blue nozzle</w:t>
            </w:r>
          </w:p>
        </w:tc>
        <w:tc>
          <w:tcPr>
            <w:tcW w:w="2338" w:type="dxa"/>
          </w:tcPr>
          <w:p w14:paraId="76BEE84B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Could not hold the structure, especially with blue nozzle</w:t>
            </w:r>
          </w:p>
        </w:tc>
      </w:tr>
      <w:tr w:rsidR="001578E9" w:rsidRPr="00876656" w14:paraId="6CAAA2FD" w14:textId="77777777" w:rsidTr="00D43BA4">
        <w:trPr>
          <w:trHeight w:val="495"/>
        </w:trPr>
        <w:tc>
          <w:tcPr>
            <w:tcW w:w="2337" w:type="dxa"/>
            <w:hideMark/>
          </w:tcPr>
          <w:p w14:paraId="50B6437E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Alg 4%/ Gel 4% (A4G4)</w:t>
            </w:r>
          </w:p>
        </w:tc>
        <w:tc>
          <w:tcPr>
            <w:tcW w:w="2337" w:type="dxa"/>
            <w:hideMark/>
          </w:tcPr>
          <w:p w14:paraId="7B48196D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60</w:t>
            </w: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70</w:t>
            </w: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 xml:space="preserve"> KPa</w:t>
            </w:r>
          </w:p>
        </w:tc>
        <w:tc>
          <w:tcPr>
            <w:tcW w:w="2338" w:type="dxa"/>
            <w:hideMark/>
          </w:tcPr>
          <w:p w14:paraId="180476F1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smooth</w:t>
            </w:r>
          </w:p>
        </w:tc>
        <w:tc>
          <w:tcPr>
            <w:tcW w:w="2338" w:type="dxa"/>
            <w:hideMark/>
          </w:tcPr>
          <w:p w14:paraId="7E53B744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Accurate printing</w:t>
            </w:r>
          </w:p>
        </w:tc>
      </w:tr>
      <w:tr w:rsidR="001578E9" w:rsidRPr="00876656" w14:paraId="690EB11F" w14:textId="77777777" w:rsidTr="00D43BA4">
        <w:trPr>
          <w:trHeight w:val="495"/>
        </w:trPr>
        <w:tc>
          <w:tcPr>
            <w:tcW w:w="2337" w:type="dxa"/>
            <w:hideMark/>
          </w:tcPr>
          <w:p w14:paraId="693BA457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665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Alg 8%/ Gel 4% (A8G4)</w:t>
            </w:r>
          </w:p>
        </w:tc>
        <w:tc>
          <w:tcPr>
            <w:tcW w:w="2337" w:type="dxa"/>
            <w:hideMark/>
          </w:tcPr>
          <w:p w14:paraId="301C951E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100-110 KPa</w:t>
            </w:r>
          </w:p>
        </w:tc>
        <w:tc>
          <w:tcPr>
            <w:tcW w:w="2338" w:type="dxa"/>
            <w:hideMark/>
          </w:tcPr>
          <w:p w14:paraId="53916EDF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 xml:space="preserve">Very sharp and smooth </w:t>
            </w:r>
          </w:p>
        </w:tc>
        <w:tc>
          <w:tcPr>
            <w:tcW w:w="2338" w:type="dxa"/>
            <w:hideMark/>
          </w:tcPr>
          <w:p w14:paraId="0D574C16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Accurate printing</w:t>
            </w:r>
          </w:p>
        </w:tc>
      </w:tr>
      <w:tr w:rsidR="001578E9" w:rsidRPr="00876656" w14:paraId="159F3EB7" w14:textId="77777777" w:rsidTr="00D43BA4">
        <w:trPr>
          <w:trHeight w:val="495"/>
        </w:trPr>
        <w:tc>
          <w:tcPr>
            <w:tcW w:w="2337" w:type="dxa"/>
            <w:hideMark/>
          </w:tcPr>
          <w:p w14:paraId="73ADD6E3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Alg 4%/ Gel 8% (A4G8)</w:t>
            </w:r>
          </w:p>
        </w:tc>
        <w:tc>
          <w:tcPr>
            <w:tcW w:w="2337" w:type="dxa"/>
            <w:hideMark/>
          </w:tcPr>
          <w:p w14:paraId="6F19C07E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130-140 KPa</w:t>
            </w:r>
          </w:p>
        </w:tc>
        <w:tc>
          <w:tcPr>
            <w:tcW w:w="2338" w:type="dxa"/>
            <w:hideMark/>
          </w:tcPr>
          <w:p w14:paraId="49FA8FB1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Has nods</w:t>
            </w:r>
          </w:p>
        </w:tc>
        <w:tc>
          <w:tcPr>
            <w:tcW w:w="2338" w:type="dxa"/>
            <w:hideMark/>
          </w:tcPr>
          <w:p w14:paraId="2C676520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Lack of printing accuracy, too dense and difficult to print</w:t>
            </w:r>
          </w:p>
        </w:tc>
      </w:tr>
      <w:tr w:rsidR="001578E9" w:rsidRPr="00876656" w14:paraId="3A9F8BD5" w14:textId="77777777" w:rsidTr="00D43BA4">
        <w:trPr>
          <w:trHeight w:val="495"/>
        </w:trPr>
        <w:tc>
          <w:tcPr>
            <w:tcW w:w="2337" w:type="dxa"/>
          </w:tcPr>
          <w:p w14:paraId="1935ADE7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Alg 1%/ Gel 8% (A1G8)</w:t>
            </w:r>
          </w:p>
        </w:tc>
        <w:tc>
          <w:tcPr>
            <w:tcW w:w="2337" w:type="dxa"/>
          </w:tcPr>
          <w:p w14:paraId="3B5D2BF8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70-80 KPa</w:t>
            </w:r>
          </w:p>
        </w:tc>
        <w:tc>
          <w:tcPr>
            <w:tcW w:w="2338" w:type="dxa"/>
          </w:tcPr>
          <w:p w14:paraId="006C93A7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smooth</w:t>
            </w:r>
          </w:p>
        </w:tc>
        <w:tc>
          <w:tcPr>
            <w:tcW w:w="2338" w:type="dxa"/>
          </w:tcPr>
          <w:p w14:paraId="606916E0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Accurate printing</w:t>
            </w:r>
          </w:p>
        </w:tc>
      </w:tr>
      <w:tr w:rsidR="001578E9" w:rsidRPr="00876656" w14:paraId="4D443727" w14:textId="77777777" w:rsidTr="00D43BA4">
        <w:trPr>
          <w:trHeight w:val="495"/>
        </w:trPr>
        <w:tc>
          <w:tcPr>
            <w:tcW w:w="2337" w:type="dxa"/>
          </w:tcPr>
          <w:p w14:paraId="15C4445F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Alg 1%/ Gel 10% (A1G10)</w:t>
            </w:r>
          </w:p>
        </w:tc>
        <w:tc>
          <w:tcPr>
            <w:tcW w:w="2337" w:type="dxa"/>
          </w:tcPr>
          <w:p w14:paraId="257FA9C2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100-110 KPa</w:t>
            </w:r>
          </w:p>
        </w:tc>
        <w:tc>
          <w:tcPr>
            <w:tcW w:w="2338" w:type="dxa"/>
          </w:tcPr>
          <w:p w14:paraId="2DA048A0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Has nods</w:t>
            </w:r>
          </w:p>
        </w:tc>
        <w:tc>
          <w:tcPr>
            <w:tcW w:w="2338" w:type="dxa"/>
          </w:tcPr>
          <w:p w14:paraId="790EF119" w14:textId="77777777" w:rsidR="001578E9" w:rsidRPr="00876656" w:rsidRDefault="001578E9" w:rsidP="00D43BA4">
            <w:pPr>
              <w:spacing w:line="360" w:lineRule="auto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76656">
              <w:rPr>
                <w:rFonts w:ascii="Arial" w:hAnsi="Arial" w:cs="Arial"/>
                <w:sz w:val="22"/>
                <w:szCs w:val="22"/>
                <w:lang w:val="en-US"/>
              </w:rPr>
              <w:t>Lack of printing accuracy</w:t>
            </w:r>
          </w:p>
        </w:tc>
      </w:tr>
    </w:tbl>
    <w:p w14:paraId="10BEEB08" w14:textId="77777777" w:rsidR="001578E9" w:rsidRPr="001578E9" w:rsidRDefault="001578E9" w:rsidP="001578E9">
      <w:pPr>
        <w:jc w:val="center"/>
        <w:rPr>
          <w:b/>
          <w:bCs/>
          <w:sz w:val="28"/>
          <w:szCs w:val="28"/>
        </w:rPr>
      </w:pPr>
    </w:p>
    <w:p w14:paraId="6C03E5FC" w14:textId="77777777" w:rsidR="001578E9" w:rsidRDefault="001578E9"/>
    <w:p w14:paraId="0FEB78A8" w14:textId="769EE98D" w:rsidR="001578E9" w:rsidRDefault="001578E9">
      <w:pPr>
        <w:spacing w:after="160" w:line="259" w:lineRule="auto"/>
      </w:pPr>
      <w:r>
        <w:br w:type="page"/>
      </w:r>
    </w:p>
    <w:p w14:paraId="1083B38E" w14:textId="69D15786" w:rsidR="001578E9" w:rsidRPr="00390199" w:rsidRDefault="00622944" w:rsidP="001578E9">
      <w:pPr>
        <w:spacing w:line="36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 wp14:anchorId="72FD2777" wp14:editId="69C19C98">
            <wp:extent cx="5647362" cy="3823970"/>
            <wp:effectExtent l="0" t="0" r="0" b="5080"/>
            <wp:docPr id="552964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2" t="5818"/>
                    <a:stretch/>
                  </pic:blipFill>
                  <pic:spPr bwMode="auto">
                    <a:xfrm>
                      <a:off x="0" y="0"/>
                      <a:ext cx="5656413" cy="383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C15D8" w14:textId="3E84C3F2" w:rsidR="001578E9" w:rsidRDefault="001578E9" w:rsidP="001578E9">
      <w:pPr>
        <w:spacing w:line="360" w:lineRule="auto"/>
        <w:rPr>
          <w:rFonts w:ascii="Arial" w:hAnsi="Arial" w:cs="Arial"/>
        </w:rPr>
      </w:pPr>
      <w:r w:rsidRPr="008A6633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1S</w:t>
      </w:r>
      <w:r>
        <w:rPr>
          <w:rFonts w:ascii="Arial" w:hAnsi="Arial" w:cs="Arial"/>
        </w:rPr>
        <w:t>: Confocal image of the co-culture construct at (A) day 1, (B) day 10. (</w:t>
      </w:r>
      <w:r w:rsidR="0062294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and (D) are the higher magnification of two different layer of the construct at day 10. MDA-MB-231 cells marked as green and MCF marked as red.  </w:t>
      </w:r>
    </w:p>
    <w:p w14:paraId="4972C90C" w14:textId="77777777" w:rsidR="001578E9" w:rsidRDefault="001578E9"/>
    <w:sectPr w:rsidR="001578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E9"/>
    <w:rsid w:val="001578E9"/>
    <w:rsid w:val="00622944"/>
    <w:rsid w:val="006667E4"/>
    <w:rsid w:val="006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292FD"/>
  <w15:chartTrackingRefBased/>
  <w15:docId w15:val="{4A315E36-4003-47D3-AB07-0C17B09A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8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578E9"/>
    <w:pPr>
      <w:spacing w:before="120"/>
      <w:ind w:firstLine="720"/>
    </w:pPr>
    <w:rPr>
      <w:lang w:val="en-US"/>
    </w:rPr>
  </w:style>
  <w:style w:type="table" w:styleId="TableGrid">
    <w:name w:val="Table Grid"/>
    <w:basedOn w:val="TableNormal"/>
    <w:uiPriority w:val="39"/>
    <w:rsid w:val="001578E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7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8E9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8E9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Moghimi Moghimi</dc:creator>
  <cp:keywords/>
  <dc:description/>
  <cp:lastModifiedBy>Nafiseh Moghimi</cp:lastModifiedBy>
  <cp:revision>2</cp:revision>
  <dcterms:created xsi:type="dcterms:W3CDTF">2023-04-17T02:38:00Z</dcterms:created>
  <dcterms:modified xsi:type="dcterms:W3CDTF">2023-04-17T20:43:00Z</dcterms:modified>
</cp:coreProperties>
</file>