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B0F64" w14:textId="2F29D5BE" w:rsidR="00D320C0" w:rsidRPr="0036687B" w:rsidRDefault="0036687B">
      <w:pPr>
        <w:rPr>
          <w:rFonts w:ascii="Arial" w:hAnsi="Arial" w:cs="Arial"/>
          <w:b/>
          <w:bCs/>
        </w:rPr>
      </w:pPr>
      <w:r w:rsidRPr="0036687B">
        <w:rPr>
          <w:rFonts w:ascii="Arial" w:hAnsi="Arial" w:cs="Arial"/>
          <w:b/>
          <w:bCs/>
        </w:rPr>
        <w:t>SUPPLEMENTAL FIGURE</w:t>
      </w:r>
      <w:r w:rsidR="008C5FB9">
        <w:rPr>
          <w:rFonts w:ascii="Arial" w:hAnsi="Arial" w:cs="Arial"/>
          <w:b/>
          <w:bCs/>
        </w:rPr>
        <w:t>S</w:t>
      </w:r>
    </w:p>
    <w:p w14:paraId="7AFC05C2" w14:textId="664FD772" w:rsidR="0036687B" w:rsidRDefault="0036687B">
      <w:pPr>
        <w:rPr>
          <w:rFonts w:ascii="Arial" w:hAnsi="Arial" w:cs="Arial"/>
        </w:rPr>
      </w:pPr>
    </w:p>
    <w:p w14:paraId="2009127F" w14:textId="44925F81" w:rsidR="008C5FB9" w:rsidRPr="0036687B" w:rsidRDefault="008C5FB9">
      <w:pPr>
        <w:rPr>
          <w:rFonts w:ascii="Arial" w:hAnsi="Arial" w:cs="Arial"/>
        </w:rPr>
      </w:pPr>
      <w:r>
        <w:rPr>
          <w:rFonts w:ascii="Arial" w:hAnsi="Arial" w:cs="Arial"/>
          <w:noProof/>
        </w:rPr>
        <w:drawing>
          <wp:inline distT="0" distB="0" distL="0" distR="0" wp14:anchorId="3E66AEB5" wp14:editId="4B0927E4">
            <wp:extent cx="5943600" cy="6829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943600" cy="6829425"/>
                    </a:xfrm>
                    <a:prstGeom prst="rect">
                      <a:avLst/>
                    </a:prstGeom>
                  </pic:spPr>
                </pic:pic>
              </a:graphicData>
            </a:graphic>
          </wp:inline>
        </w:drawing>
      </w:r>
    </w:p>
    <w:p w14:paraId="7AFCF09B" w14:textId="685E3469" w:rsidR="0036687B" w:rsidRDefault="0036687B">
      <w:pPr>
        <w:rPr>
          <w:rFonts w:ascii="Arial" w:hAnsi="Arial" w:cs="Arial"/>
          <w:bCs/>
        </w:rPr>
      </w:pPr>
      <w:r w:rsidRPr="0036687B">
        <w:rPr>
          <w:rFonts w:ascii="Arial" w:hAnsi="Arial" w:cs="Arial"/>
          <w:b/>
          <w:bCs/>
        </w:rPr>
        <w:t xml:space="preserve">Figure S1. </w:t>
      </w:r>
      <w:r>
        <w:rPr>
          <w:rFonts w:ascii="Arial" w:hAnsi="Arial" w:cs="Arial"/>
          <w:bCs/>
        </w:rPr>
        <w:t>Shannon and Simpson</w:t>
      </w:r>
      <w:r w:rsidRPr="0036687B">
        <w:rPr>
          <w:rFonts w:ascii="Arial" w:hAnsi="Arial" w:cs="Arial"/>
          <w:bCs/>
        </w:rPr>
        <w:t xml:space="preserve"> indices </w:t>
      </w:r>
      <w:r>
        <w:rPr>
          <w:rFonts w:ascii="Arial" w:hAnsi="Arial" w:cs="Arial"/>
          <w:bCs/>
        </w:rPr>
        <w:t>indicating no differences in alpha-diversity between</w:t>
      </w:r>
      <w:r w:rsidRPr="0036687B">
        <w:rPr>
          <w:rFonts w:ascii="Arial" w:hAnsi="Arial" w:cs="Arial"/>
          <w:bCs/>
        </w:rPr>
        <w:t xml:space="preserve"> cecal samples obtained from </w:t>
      </w:r>
      <w:r>
        <w:rPr>
          <w:rFonts w:ascii="Arial" w:hAnsi="Arial" w:cs="Arial"/>
          <w:bCs/>
        </w:rPr>
        <w:t>35</w:t>
      </w:r>
      <w:r w:rsidRPr="0036687B">
        <w:rPr>
          <w:rFonts w:ascii="Arial" w:hAnsi="Arial" w:cs="Arial"/>
          <w:bCs/>
        </w:rPr>
        <w:t xml:space="preserve">-day-old broilers in </w:t>
      </w:r>
      <w:r>
        <w:rPr>
          <w:rFonts w:ascii="Arial" w:hAnsi="Arial" w:cs="Arial"/>
          <w:bCs/>
        </w:rPr>
        <w:t>extensive and intensive rearing systems.</w:t>
      </w:r>
    </w:p>
    <w:p w14:paraId="371E97D1" w14:textId="394C3463" w:rsidR="0036687B" w:rsidRDefault="0036687B">
      <w:pPr>
        <w:rPr>
          <w:rFonts w:ascii="Arial" w:hAnsi="Arial" w:cs="Arial"/>
          <w:bCs/>
        </w:rPr>
      </w:pPr>
    </w:p>
    <w:p w14:paraId="3B829CA5" w14:textId="7E4A216A" w:rsidR="008C5FB9" w:rsidRDefault="008C5FB9">
      <w:pPr>
        <w:rPr>
          <w:rFonts w:ascii="Arial" w:hAnsi="Arial" w:cs="Arial"/>
          <w:bCs/>
        </w:rPr>
      </w:pPr>
      <w:r>
        <w:rPr>
          <w:rFonts w:ascii="Arial" w:hAnsi="Arial" w:cs="Arial"/>
          <w:bCs/>
          <w:noProof/>
        </w:rPr>
        <w:lastRenderedPageBreak/>
        <w:drawing>
          <wp:inline distT="0" distB="0" distL="0" distR="0" wp14:anchorId="7CF0E9AD" wp14:editId="4409BB51">
            <wp:extent cx="5943600" cy="2289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43600" cy="2289175"/>
                    </a:xfrm>
                    <a:prstGeom prst="rect">
                      <a:avLst/>
                    </a:prstGeom>
                  </pic:spPr>
                </pic:pic>
              </a:graphicData>
            </a:graphic>
          </wp:inline>
        </w:drawing>
      </w:r>
    </w:p>
    <w:p w14:paraId="0D0C0AE8" w14:textId="6D6C8AE5" w:rsidR="0036687B" w:rsidRDefault="0036687B">
      <w:pPr>
        <w:rPr>
          <w:rFonts w:ascii="Arial" w:hAnsi="Arial" w:cs="Arial"/>
        </w:rPr>
      </w:pPr>
      <w:r w:rsidRPr="0036687B">
        <w:rPr>
          <w:rFonts w:ascii="Arial" w:hAnsi="Arial" w:cs="Arial"/>
          <w:b/>
        </w:rPr>
        <w:t>Figure S2.</w:t>
      </w:r>
      <w:r w:rsidRPr="0036687B">
        <w:rPr>
          <w:rFonts w:ascii="Arial" w:hAnsi="Arial" w:cs="Arial"/>
          <w:bCs/>
        </w:rPr>
        <w:t xml:space="preserve"> Dendrogram </w:t>
      </w:r>
      <w:r w:rsidRPr="0036687B">
        <w:rPr>
          <w:rFonts w:ascii="Arial" w:hAnsi="Arial" w:cs="Arial"/>
        </w:rPr>
        <w:t xml:space="preserve">showing hierarchical clustering of </w:t>
      </w:r>
      <w:r w:rsidR="00AD7E6C">
        <w:rPr>
          <w:rFonts w:ascii="Arial" w:hAnsi="Arial" w:cs="Arial"/>
        </w:rPr>
        <w:t xml:space="preserve">cecal samples from 35-day old broilers </w:t>
      </w:r>
      <w:r w:rsidRPr="0036687B">
        <w:rPr>
          <w:rFonts w:ascii="Arial" w:hAnsi="Arial" w:cs="Arial"/>
        </w:rPr>
        <w:t xml:space="preserve">according </w:t>
      </w:r>
      <w:r w:rsidR="00CD7EE7">
        <w:rPr>
          <w:rFonts w:ascii="Arial" w:hAnsi="Arial" w:cs="Arial"/>
        </w:rPr>
        <w:t xml:space="preserve">to </w:t>
      </w:r>
      <w:r w:rsidR="00E050D8">
        <w:rPr>
          <w:rFonts w:ascii="Arial" w:hAnsi="Arial" w:cs="Arial"/>
        </w:rPr>
        <w:t>farm sources</w:t>
      </w:r>
      <w:r w:rsidRPr="0036687B">
        <w:rPr>
          <w:rFonts w:ascii="Arial" w:hAnsi="Arial" w:cs="Arial"/>
        </w:rPr>
        <w:t xml:space="preserve">. Samples obtained from the same farm share the same color and identification. </w:t>
      </w:r>
      <w:r>
        <w:rPr>
          <w:rFonts w:ascii="Arial" w:hAnsi="Arial" w:cs="Arial"/>
        </w:rPr>
        <w:t xml:space="preserve">Identification of farms using extensive rearing practices are coded as </w:t>
      </w:r>
      <w:r w:rsidR="00AD7E6C">
        <w:rPr>
          <w:rFonts w:ascii="Arial" w:hAnsi="Arial" w:cs="Arial"/>
        </w:rPr>
        <w:t>“</w:t>
      </w:r>
      <w:r>
        <w:rPr>
          <w:rFonts w:ascii="Arial" w:hAnsi="Arial" w:cs="Arial"/>
        </w:rPr>
        <w:t>Farm_</w:t>
      </w:r>
      <w:r w:rsidR="00AD7E6C">
        <w:rPr>
          <w:rFonts w:ascii="Arial" w:hAnsi="Arial" w:cs="Arial"/>
        </w:rPr>
        <w:t>”</w:t>
      </w:r>
      <w:r>
        <w:rPr>
          <w:rFonts w:ascii="Arial" w:hAnsi="Arial" w:cs="Arial"/>
        </w:rPr>
        <w:t xml:space="preserve"> followed by a number; whereas identification of farms using intensive rearing practices are coded as </w:t>
      </w:r>
      <w:r w:rsidR="00AD7E6C">
        <w:rPr>
          <w:rFonts w:ascii="Arial" w:hAnsi="Arial" w:cs="Arial"/>
        </w:rPr>
        <w:t>“</w:t>
      </w:r>
      <w:r>
        <w:rPr>
          <w:rFonts w:ascii="Arial" w:hAnsi="Arial" w:cs="Arial"/>
        </w:rPr>
        <w:t>Farm_</w:t>
      </w:r>
      <w:r w:rsidR="00AD7E6C">
        <w:rPr>
          <w:rFonts w:ascii="Arial" w:hAnsi="Arial" w:cs="Arial"/>
        </w:rPr>
        <w:t>”</w:t>
      </w:r>
      <w:r>
        <w:rPr>
          <w:rFonts w:ascii="Arial" w:hAnsi="Arial" w:cs="Arial"/>
        </w:rPr>
        <w:t xml:space="preserve"> followed by a letter.</w:t>
      </w:r>
    </w:p>
    <w:p w14:paraId="78196D9F" w14:textId="77777777" w:rsidR="008C5FB9" w:rsidRDefault="008C5FB9">
      <w:pPr>
        <w:rPr>
          <w:rFonts w:ascii="Arial" w:hAnsi="Arial" w:cs="Arial"/>
        </w:rPr>
      </w:pPr>
    </w:p>
    <w:p w14:paraId="10556ACA" w14:textId="028F657A" w:rsidR="00AD7E6C" w:rsidRDefault="008C5FB9">
      <w:pPr>
        <w:rPr>
          <w:rFonts w:ascii="Arial" w:hAnsi="Arial" w:cs="Arial"/>
        </w:rPr>
      </w:pPr>
      <w:r>
        <w:rPr>
          <w:rFonts w:ascii="Arial" w:hAnsi="Arial" w:cs="Arial"/>
          <w:noProof/>
        </w:rPr>
        <w:drawing>
          <wp:inline distT="0" distB="0" distL="0" distR="0" wp14:anchorId="0B312497" wp14:editId="51DB843A">
            <wp:extent cx="5943600" cy="24371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943600" cy="2437130"/>
                    </a:xfrm>
                    <a:prstGeom prst="rect">
                      <a:avLst/>
                    </a:prstGeom>
                  </pic:spPr>
                </pic:pic>
              </a:graphicData>
            </a:graphic>
          </wp:inline>
        </w:drawing>
      </w:r>
    </w:p>
    <w:p w14:paraId="544DABB0" w14:textId="34A78D9F" w:rsidR="00AD7E6C" w:rsidRDefault="00AD7E6C">
      <w:pPr>
        <w:rPr>
          <w:rFonts w:ascii="Arial" w:hAnsi="Arial" w:cs="Arial"/>
        </w:rPr>
      </w:pPr>
      <w:r w:rsidRPr="00AD7E6C">
        <w:rPr>
          <w:rFonts w:ascii="Arial" w:hAnsi="Arial" w:cs="Arial"/>
          <w:b/>
          <w:bCs/>
        </w:rPr>
        <w:t xml:space="preserve">Figure S3. </w:t>
      </w:r>
      <w:r w:rsidR="005A3F27">
        <w:rPr>
          <w:rFonts w:ascii="Arial" w:hAnsi="Arial" w:cs="Arial"/>
        </w:rPr>
        <w:t>T</w:t>
      </w:r>
      <w:r>
        <w:rPr>
          <w:rFonts w:ascii="Arial" w:hAnsi="Arial" w:cs="Arial"/>
        </w:rPr>
        <w:t>he relative abundance of bacteria</w:t>
      </w:r>
      <w:r w:rsidR="00E050D8">
        <w:rPr>
          <w:rFonts w:ascii="Arial" w:hAnsi="Arial" w:cs="Arial"/>
        </w:rPr>
        <w:t>l</w:t>
      </w:r>
      <w:r>
        <w:rPr>
          <w:rFonts w:ascii="Arial" w:hAnsi="Arial" w:cs="Arial"/>
        </w:rPr>
        <w:t xml:space="preserve"> phyla in the cecal microbiota of 35-day-old broilers in extensive (green) and intensive (red) rearing systems. Names in green and red indicate phyla that are more abundant in broilers in extensive and intensive rearing systems, respectively. Names in </w:t>
      </w:r>
      <w:r w:rsidR="005A3F27">
        <w:rPr>
          <w:rFonts w:ascii="Arial" w:hAnsi="Arial" w:cs="Arial"/>
        </w:rPr>
        <w:t>gray</w:t>
      </w:r>
      <w:r>
        <w:rPr>
          <w:rFonts w:ascii="Arial" w:hAnsi="Arial" w:cs="Arial"/>
        </w:rPr>
        <w:t xml:space="preserve"> indicate no differences in phyla abundance between systems. Bold indicates phyla that are exclusively present in the microbiota of broilers from extensive systems.</w:t>
      </w:r>
    </w:p>
    <w:p w14:paraId="6AE2720C" w14:textId="52349E69" w:rsidR="00AD7E6C" w:rsidRDefault="00AD7E6C">
      <w:pPr>
        <w:rPr>
          <w:rFonts w:ascii="Arial" w:hAnsi="Arial" w:cs="Arial"/>
        </w:rPr>
      </w:pPr>
    </w:p>
    <w:p w14:paraId="47ADF89D" w14:textId="0D829DF3" w:rsidR="008C5FB9" w:rsidRDefault="008C5FB9">
      <w:pPr>
        <w:rPr>
          <w:rFonts w:ascii="Arial" w:hAnsi="Arial" w:cs="Arial"/>
        </w:rPr>
      </w:pPr>
      <w:r>
        <w:rPr>
          <w:rFonts w:ascii="Arial" w:hAnsi="Arial" w:cs="Arial"/>
          <w:noProof/>
        </w:rPr>
        <w:lastRenderedPageBreak/>
        <w:drawing>
          <wp:inline distT="0" distB="0" distL="0" distR="0" wp14:anchorId="66F23AAF" wp14:editId="718D1B61">
            <wp:extent cx="564261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642610" cy="8229600"/>
                    </a:xfrm>
                    <a:prstGeom prst="rect">
                      <a:avLst/>
                    </a:prstGeom>
                  </pic:spPr>
                </pic:pic>
              </a:graphicData>
            </a:graphic>
          </wp:inline>
        </w:drawing>
      </w:r>
    </w:p>
    <w:p w14:paraId="47811DED" w14:textId="4D60414A" w:rsidR="00AD7E6C" w:rsidRDefault="00AD7E6C">
      <w:pPr>
        <w:rPr>
          <w:rFonts w:ascii="Arial" w:hAnsi="Arial" w:cs="Arial"/>
        </w:rPr>
      </w:pPr>
      <w:r w:rsidRPr="00AD7E6C">
        <w:rPr>
          <w:rFonts w:ascii="Arial" w:hAnsi="Arial" w:cs="Arial"/>
          <w:b/>
          <w:bCs/>
        </w:rPr>
        <w:lastRenderedPageBreak/>
        <w:t xml:space="preserve">Figure S4. </w:t>
      </w:r>
      <w:r w:rsidR="00976D2C" w:rsidRPr="00AD7E6C">
        <w:rPr>
          <w:rFonts w:ascii="Arial" w:hAnsi="Arial" w:cs="Arial"/>
          <w:b/>
          <w:bCs/>
        </w:rPr>
        <w:t>A</w:t>
      </w:r>
      <w:r w:rsidR="00976D2C">
        <w:rPr>
          <w:rFonts w:ascii="Arial" w:hAnsi="Arial" w:cs="Arial"/>
        </w:rPr>
        <w:t xml:space="preserve">) </w:t>
      </w:r>
      <w:r w:rsidR="005A3F27">
        <w:rPr>
          <w:rFonts w:ascii="Arial" w:hAnsi="Arial" w:cs="Arial"/>
        </w:rPr>
        <w:t>T</w:t>
      </w:r>
      <w:r>
        <w:rPr>
          <w:rFonts w:ascii="Arial" w:hAnsi="Arial" w:cs="Arial"/>
        </w:rPr>
        <w:t xml:space="preserve">he relative abundance of ASVs that are unique or shared in the cecal microbiota of 35-day-old broilers in extensive or intensive rearing systems, and the taxonomy at phylum-level of ASVs </w:t>
      </w:r>
      <w:r w:rsidRPr="00AD7E6C">
        <w:rPr>
          <w:rFonts w:ascii="Arial" w:hAnsi="Arial" w:cs="Arial"/>
          <w:b/>
          <w:bCs/>
        </w:rPr>
        <w:t>B)</w:t>
      </w:r>
      <w:r>
        <w:rPr>
          <w:rFonts w:ascii="Arial" w:hAnsi="Arial" w:cs="Arial"/>
        </w:rPr>
        <w:t xml:space="preserve"> unique to each system and </w:t>
      </w:r>
      <w:r w:rsidRPr="00AD7E6C">
        <w:rPr>
          <w:rFonts w:ascii="Arial" w:hAnsi="Arial" w:cs="Arial"/>
          <w:b/>
          <w:bCs/>
        </w:rPr>
        <w:t>C)</w:t>
      </w:r>
      <w:r>
        <w:rPr>
          <w:rFonts w:ascii="Arial" w:hAnsi="Arial" w:cs="Arial"/>
        </w:rPr>
        <w:t xml:space="preserve"> shared between the microbiota of birds in both systems.</w:t>
      </w:r>
    </w:p>
    <w:p w14:paraId="00B580D7" w14:textId="4E1C5A1F" w:rsidR="008C5FB9" w:rsidRDefault="008C5FB9">
      <w:pPr>
        <w:rPr>
          <w:rFonts w:ascii="Arial" w:hAnsi="Arial" w:cs="Arial"/>
        </w:rPr>
      </w:pPr>
    </w:p>
    <w:p w14:paraId="30BA42F0" w14:textId="147C03C6" w:rsidR="008C5FB9" w:rsidRDefault="008C5FB9">
      <w:pPr>
        <w:rPr>
          <w:rFonts w:ascii="Arial" w:hAnsi="Arial" w:cs="Arial"/>
        </w:rPr>
      </w:pPr>
      <w:r>
        <w:rPr>
          <w:rFonts w:ascii="Arial" w:hAnsi="Arial" w:cs="Arial"/>
          <w:noProof/>
        </w:rPr>
        <w:drawing>
          <wp:inline distT="0" distB="0" distL="0" distR="0" wp14:anchorId="74A96D43" wp14:editId="675792E4">
            <wp:extent cx="5943600" cy="46913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943600" cy="4691380"/>
                    </a:xfrm>
                    <a:prstGeom prst="rect">
                      <a:avLst/>
                    </a:prstGeom>
                  </pic:spPr>
                </pic:pic>
              </a:graphicData>
            </a:graphic>
          </wp:inline>
        </w:drawing>
      </w:r>
    </w:p>
    <w:p w14:paraId="299409D8" w14:textId="2F4A760B" w:rsidR="00AD7E6C" w:rsidRDefault="00AD7E6C">
      <w:pPr>
        <w:rPr>
          <w:rFonts w:ascii="Arial" w:hAnsi="Arial" w:cs="Arial"/>
        </w:rPr>
      </w:pPr>
    </w:p>
    <w:p w14:paraId="569F3DEA" w14:textId="02A5282C" w:rsidR="00AD7E6C" w:rsidRDefault="00AD7E6C">
      <w:pPr>
        <w:rPr>
          <w:rFonts w:ascii="Arial" w:hAnsi="Arial" w:cs="Arial"/>
        </w:rPr>
      </w:pPr>
      <w:r w:rsidRPr="005A3F27">
        <w:rPr>
          <w:rFonts w:ascii="Arial" w:hAnsi="Arial" w:cs="Arial"/>
          <w:b/>
          <w:bCs/>
        </w:rPr>
        <w:t>Figure S5.</w:t>
      </w:r>
      <w:r>
        <w:rPr>
          <w:rFonts w:ascii="Arial" w:hAnsi="Arial" w:cs="Arial"/>
        </w:rPr>
        <w:t xml:space="preserve"> </w:t>
      </w:r>
      <w:r w:rsidR="005A3F27">
        <w:rPr>
          <w:rFonts w:ascii="Arial" w:hAnsi="Arial" w:cs="Arial"/>
        </w:rPr>
        <w:t>The relative abundance of bacteria families in the cecal microbiota of 35-day-old broilers in extensive (green) and intensive (red) rearing systems. Names in green and red indicate families that are more abundant in broilers in extensive and intensive rearing systems, respectively. Bold indicates families that are exclusively present in the microbiota of broilers from extensive systems. The “not different” indicates the relative abundance of bacterial families that were not differently abundant between the systems.</w:t>
      </w:r>
    </w:p>
    <w:p w14:paraId="69161382" w14:textId="25AB2E97" w:rsidR="005A3F27" w:rsidRDefault="005A3F27">
      <w:pPr>
        <w:rPr>
          <w:rFonts w:ascii="Arial" w:hAnsi="Arial" w:cs="Arial"/>
        </w:rPr>
      </w:pPr>
    </w:p>
    <w:p w14:paraId="332710B4" w14:textId="38E93333" w:rsidR="008C5FB9" w:rsidRDefault="008C5FB9">
      <w:pPr>
        <w:rPr>
          <w:rFonts w:ascii="Arial" w:hAnsi="Arial" w:cs="Arial"/>
        </w:rPr>
      </w:pPr>
      <w:r>
        <w:rPr>
          <w:rFonts w:ascii="Arial" w:hAnsi="Arial" w:cs="Arial"/>
          <w:noProof/>
        </w:rPr>
        <w:lastRenderedPageBreak/>
        <w:drawing>
          <wp:inline distT="0" distB="0" distL="0" distR="0" wp14:anchorId="655DFCAC" wp14:editId="1B1A6EEB">
            <wp:extent cx="3537585"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3537585" cy="8229600"/>
                    </a:xfrm>
                    <a:prstGeom prst="rect">
                      <a:avLst/>
                    </a:prstGeom>
                  </pic:spPr>
                </pic:pic>
              </a:graphicData>
            </a:graphic>
          </wp:inline>
        </w:drawing>
      </w:r>
    </w:p>
    <w:p w14:paraId="61A7C90F" w14:textId="05A4CAB2" w:rsidR="005A3F27" w:rsidRDefault="005A3F27" w:rsidP="005A3F27">
      <w:pPr>
        <w:rPr>
          <w:rFonts w:ascii="Arial" w:hAnsi="Arial" w:cs="Arial"/>
        </w:rPr>
      </w:pPr>
      <w:r w:rsidRPr="005A3F27">
        <w:rPr>
          <w:rFonts w:ascii="Arial" w:hAnsi="Arial" w:cs="Arial"/>
          <w:b/>
          <w:bCs/>
        </w:rPr>
        <w:lastRenderedPageBreak/>
        <w:t>Figure S</w:t>
      </w:r>
      <w:r>
        <w:rPr>
          <w:rFonts w:ascii="Arial" w:hAnsi="Arial" w:cs="Arial"/>
          <w:b/>
          <w:bCs/>
        </w:rPr>
        <w:t>6</w:t>
      </w:r>
      <w:r w:rsidRPr="005A3F27">
        <w:rPr>
          <w:rFonts w:ascii="Arial" w:hAnsi="Arial" w:cs="Arial"/>
          <w:b/>
          <w:bCs/>
        </w:rPr>
        <w:t>.</w:t>
      </w:r>
      <w:r>
        <w:rPr>
          <w:rFonts w:ascii="Arial" w:hAnsi="Arial" w:cs="Arial"/>
        </w:rPr>
        <w:t xml:space="preserve"> The relative abundance of bacteria taxa with relative abundance lower than 0.5% in the cecal microbiota of 35-day-old broilers in extensive (green) and intensive (red) rearing systems. Names in green and red indicate taxa that are more abundant in broilers in extensive and intensive rearing systems, respectively.</w:t>
      </w:r>
    </w:p>
    <w:p w14:paraId="1E00BB40" w14:textId="77777777" w:rsidR="008C5FB9" w:rsidRDefault="008C5FB9" w:rsidP="005A3F27">
      <w:pPr>
        <w:rPr>
          <w:rFonts w:ascii="Arial" w:hAnsi="Arial" w:cs="Arial"/>
        </w:rPr>
      </w:pPr>
    </w:p>
    <w:p w14:paraId="617F1B18" w14:textId="6834451C" w:rsidR="005A3F27" w:rsidRDefault="008C5FB9" w:rsidP="005A3F27">
      <w:pPr>
        <w:rPr>
          <w:rFonts w:ascii="Arial" w:hAnsi="Arial" w:cs="Arial"/>
        </w:rPr>
      </w:pPr>
      <w:r>
        <w:rPr>
          <w:rFonts w:ascii="Arial" w:hAnsi="Arial" w:cs="Arial"/>
          <w:noProof/>
        </w:rPr>
        <w:drawing>
          <wp:inline distT="0" distB="0" distL="0" distR="0" wp14:anchorId="384C33DD" wp14:editId="61B8B280">
            <wp:extent cx="5943600" cy="433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5943600" cy="4330700"/>
                    </a:xfrm>
                    <a:prstGeom prst="rect">
                      <a:avLst/>
                    </a:prstGeom>
                  </pic:spPr>
                </pic:pic>
              </a:graphicData>
            </a:graphic>
          </wp:inline>
        </w:drawing>
      </w:r>
    </w:p>
    <w:p w14:paraId="69A05E2C" w14:textId="1D0D5EDE" w:rsidR="005A3F27" w:rsidRDefault="005A3F27" w:rsidP="005A3F27">
      <w:pPr>
        <w:rPr>
          <w:rFonts w:ascii="Arial" w:hAnsi="Arial" w:cs="Arial"/>
        </w:rPr>
      </w:pPr>
      <w:r w:rsidRPr="005A3F27">
        <w:rPr>
          <w:rFonts w:ascii="Arial" w:hAnsi="Arial" w:cs="Arial"/>
          <w:b/>
          <w:bCs/>
        </w:rPr>
        <w:t xml:space="preserve">Figure S7. </w:t>
      </w:r>
      <w:r>
        <w:rPr>
          <w:rFonts w:ascii="Arial" w:hAnsi="Arial" w:cs="Arial"/>
        </w:rPr>
        <w:t>Heatmap indicating the presence/absence of taxa that were found to be core within the microbiota of 35-day-old broilers reared in extensive and intensive systems.</w:t>
      </w:r>
      <w:r w:rsidR="00CD7EE7">
        <w:rPr>
          <w:rFonts w:ascii="Arial" w:hAnsi="Arial" w:cs="Arial"/>
        </w:rPr>
        <w:t xml:space="preserve"> E</w:t>
      </w:r>
      <w:r w:rsidR="00CD7EE7" w:rsidRPr="00CD7EE7">
        <w:rPr>
          <w:rFonts w:ascii="Arial" w:hAnsi="Arial" w:cs="Arial"/>
        </w:rPr>
        <w:t>ach column represents a sample and is colored in green (left side) or red (right side) if obtained from EPS or IPS broilers, respectively.</w:t>
      </w:r>
    </w:p>
    <w:p w14:paraId="37DCBDDD" w14:textId="1D1C3CA7" w:rsidR="005A3F27" w:rsidRDefault="005A3F27" w:rsidP="005A3F27">
      <w:pPr>
        <w:rPr>
          <w:rFonts w:ascii="Arial" w:hAnsi="Arial" w:cs="Arial"/>
        </w:rPr>
      </w:pPr>
    </w:p>
    <w:p w14:paraId="5F4F8132" w14:textId="08E22F8E" w:rsidR="008C5FB9" w:rsidRDefault="008C5FB9" w:rsidP="005A3F27">
      <w:pPr>
        <w:rPr>
          <w:rFonts w:ascii="Arial" w:hAnsi="Arial" w:cs="Arial"/>
        </w:rPr>
      </w:pPr>
      <w:r>
        <w:rPr>
          <w:rFonts w:ascii="Arial" w:hAnsi="Arial" w:cs="Arial"/>
          <w:noProof/>
        </w:rPr>
        <w:lastRenderedPageBreak/>
        <w:drawing>
          <wp:inline distT="0" distB="0" distL="0" distR="0" wp14:anchorId="6847116E" wp14:editId="4E271B09">
            <wp:extent cx="5943600" cy="26473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5943600" cy="2647315"/>
                    </a:xfrm>
                    <a:prstGeom prst="rect">
                      <a:avLst/>
                    </a:prstGeom>
                  </pic:spPr>
                </pic:pic>
              </a:graphicData>
            </a:graphic>
          </wp:inline>
        </w:drawing>
      </w:r>
    </w:p>
    <w:p w14:paraId="098C642C" w14:textId="0F405F53" w:rsidR="005A3F27" w:rsidRPr="00AD7E6C" w:rsidRDefault="005A3F27">
      <w:pPr>
        <w:rPr>
          <w:rFonts w:ascii="Arial" w:hAnsi="Arial" w:cs="Arial"/>
        </w:rPr>
      </w:pPr>
      <w:r w:rsidRPr="00594918">
        <w:rPr>
          <w:rFonts w:ascii="Arial" w:hAnsi="Arial" w:cs="Arial"/>
          <w:b/>
          <w:bCs/>
        </w:rPr>
        <w:t>Figure S8.</w:t>
      </w:r>
      <w:r>
        <w:rPr>
          <w:rFonts w:ascii="Arial" w:hAnsi="Arial" w:cs="Arial"/>
        </w:rPr>
        <w:t xml:space="preserve"> </w:t>
      </w:r>
      <w:r w:rsidR="00594918">
        <w:rPr>
          <w:rFonts w:ascii="Arial" w:hAnsi="Arial" w:cs="Arial"/>
        </w:rPr>
        <w:t xml:space="preserve">Principal component analysis of PICRUST2-predicted </w:t>
      </w:r>
      <w:r w:rsidR="00594918" w:rsidRPr="00594918">
        <w:rPr>
          <w:rFonts w:ascii="Arial" w:hAnsi="Arial" w:cs="Arial"/>
          <w:b/>
          <w:bCs/>
        </w:rPr>
        <w:t>A)</w:t>
      </w:r>
      <w:r w:rsidR="00594918">
        <w:rPr>
          <w:rFonts w:ascii="Arial" w:hAnsi="Arial" w:cs="Arial"/>
        </w:rPr>
        <w:t xml:space="preserve"> Enzyme Commission genes and </w:t>
      </w:r>
      <w:r w:rsidR="00594918" w:rsidRPr="00594918">
        <w:rPr>
          <w:rFonts w:ascii="Arial" w:hAnsi="Arial" w:cs="Arial"/>
          <w:b/>
          <w:bCs/>
        </w:rPr>
        <w:t>B)</w:t>
      </w:r>
      <w:r w:rsidR="00594918">
        <w:rPr>
          <w:rFonts w:ascii="Arial" w:hAnsi="Arial" w:cs="Arial"/>
        </w:rPr>
        <w:t xml:space="preserve"> </w:t>
      </w:r>
      <w:proofErr w:type="spellStart"/>
      <w:r w:rsidR="00594918">
        <w:rPr>
          <w:rFonts w:ascii="Arial" w:hAnsi="Arial" w:cs="Arial"/>
        </w:rPr>
        <w:t>Metacyc</w:t>
      </w:r>
      <w:proofErr w:type="spellEnd"/>
      <w:r w:rsidR="00594918">
        <w:rPr>
          <w:rFonts w:ascii="Arial" w:hAnsi="Arial" w:cs="Arial"/>
        </w:rPr>
        <w:t xml:space="preserve"> pathways in the cecal microbiota of 35-day-old broilers reared in intensive and extensive rearing systems.</w:t>
      </w:r>
    </w:p>
    <w:sectPr w:rsidR="005A3F27" w:rsidRPr="00AD7E6C" w:rsidSect="008C39E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3307D" w14:textId="77777777" w:rsidR="00822A09" w:rsidRDefault="00822A09" w:rsidP="00E050D8">
      <w:r>
        <w:separator/>
      </w:r>
    </w:p>
  </w:endnote>
  <w:endnote w:type="continuationSeparator" w:id="0">
    <w:p w14:paraId="26C791FA" w14:textId="77777777" w:rsidR="00822A09" w:rsidRDefault="00822A09" w:rsidP="00E0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08515" w14:textId="77777777" w:rsidR="00822A09" w:rsidRDefault="00822A09" w:rsidP="00E050D8">
      <w:r>
        <w:separator/>
      </w:r>
    </w:p>
  </w:footnote>
  <w:footnote w:type="continuationSeparator" w:id="0">
    <w:p w14:paraId="6603EFE3" w14:textId="77777777" w:rsidR="00822A09" w:rsidRDefault="00822A09" w:rsidP="00E05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7B"/>
    <w:rsid w:val="00076D36"/>
    <w:rsid w:val="0036687B"/>
    <w:rsid w:val="00594918"/>
    <w:rsid w:val="005A3F27"/>
    <w:rsid w:val="00606806"/>
    <w:rsid w:val="006423D4"/>
    <w:rsid w:val="00822A09"/>
    <w:rsid w:val="008C39E7"/>
    <w:rsid w:val="008C5FB9"/>
    <w:rsid w:val="00976D2C"/>
    <w:rsid w:val="00AD7E6C"/>
    <w:rsid w:val="00CD7EE7"/>
    <w:rsid w:val="00D320C0"/>
    <w:rsid w:val="00E050D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48F38"/>
  <w15:chartTrackingRefBased/>
  <w15:docId w15:val="{041D9955-3283-2F47-B9FC-755832CF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0D8"/>
    <w:pPr>
      <w:tabs>
        <w:tab w:val="center" w:pos="4153"/>
        <w:tab w:val="right" w:pos="8306"/>
      </w:tabs>
    </w:pPr>
  </w:style>
  <w:style w:type="character" w:customStyle="1" w:styleId="HeaderChar">
    <w:name w:val="Header Char"/>
    <w:basedOn w:val="DefaultParagraphFont"/>
    <w:link w:val="Header"/>
    <w:uiPriority w:val="99"/>
    <w:rsid w:val="00E050D8"/>
  </w:style>
  <w:style w:type="paragraph" w:styleId="Footer">
    <w:name w:val="footer"/>
    <w:basedOn w:val="Normal"/>
    <w:link w:val="FooterChar"/>
    <w:uiPriority w:val="99"/>
    <w:unhideWhenUsed/>
    <w:rsid w:val="00E050D8"/>
    <w:pPr>
      <w:tabs>
        <w:tab w:val="center" w:pos="4153"/>
        <w:tab w:val="right" w:pos="8306"/>
      </w:tabs>
    </w:pPr>
  </w:style>
  <w:style w:type="character" w:customStyle="1" w:styleId="FooterChar">
    <w:name w:val="Footer Char"/>
    <w:basedOn w:val="DefaultParagraphFont"/>
    <w:link w:val="Footer"/>
    <w:uiPriority w:val="99"/>
    <w:rsid w:val="00E050D8"/>
  </w:style>
  <w:style w:type="character" w:styleId="CommentReference">
    <w:name w:val="annotation reference"/>
    <w:basedOn w:val="DefaultParagraphFont"/>
    <w:uiPriority w:val="99"/>
    <w:semiHidden/>
    <w:unhideWhenUsed/>
    <w:rsid w:val="00E050D8"/>
    <w:rPr>
      <w:sz w:val="16"/>
      <w:szCs w:val="16"/>
    </w:rPr>
  </w:style>
  <w:style w:type="paragraph" w:styleId="CommentText">
    <w:name w:val="annotation text"/>
    <w:basedOn w:val="Normal"/>
    <w:link w:val="CommentTextChar"/>
    <w:uiPriority w:val="99"/>
    <w:semiHidden/>
    <w:unhideWhenUsed/>
    <w:rsid w:val="00E050D8"/>
    <w:rPr>
      <w:sz w:val="20"/>
      <w:szCs w:val="20"/>
    </w:rPr>
  </w:style>
  <w:style w:type="character" w:customStyle="1" w:styleId="CommentTextChar">
    <w:name w:val="Comment Text Char"/>
    <w:basedOn w:val="DefaultParagraphFont"/>
    <w:link w:val="CommentText"/>
    <w:uiPriority w:val="99"/>
    <w:semiHidden/>
    <w:rsid w:val="00E050D8"/>
    <w:rPr>
      <w:sz w:val="20"/>
      <w:szCs w:val="20"/>
    </w:rPr>
  </w:style>
  <w:style w:type="paragraph" w:styleId="CommentSubject">
    <w:name w:val="annotation subject"/>
    <w:basedOn w:val="CommentText"/>
    <w:next w:val="CommentText"/>
    <w:link w:val="CommentSubjectChar"/>
    <w:uiPriority w:val="99"/>
    <w:semiHidden/>
    <w:unhideWhenUsed/>
    <w:rsid w:val="00E050D8"/>
    <w:rPr>
      <w:b/>
      <w:bCs/>
    </w:rPr>
  </w:style>
  <w:style w:type="character" w:customStyle="1" w:styleId="CommentSubjectChar">
    <w:name w:val="Comment Subject Char"/>
    <w:basedOn w:val="CommentTextChar"/>
    <w:link w:val="CommentSubject"/>
    <w:uiPriority w:val="99"/>
    <w:semiHidden/>
    <w:rsid w:val="00E050D8"/>
    <w:rPr>
      <w:b/>
      <w:bCs/>
      <w:sz w:val="20"/>
      <w:szCs w:val="20"/>
    </w:rPr>
  </w:style>
  <w:style w:type="paragraph" w:styleId="Revision">
    <w:name w:val="Revision"/>
    <w:hidden/>
    <w:uiPriority w:val="99"/>
    <w:semiHidden/>
    <w:rsid w:val="00E05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2023-04-17T15:42:00Z</dcterms:created>
  <dcterms:modified xsi:type="dcterms:W3CDTF">2023-04-21T15:17:00Z</dcterms:modified>
</cp:coreProperties>
</file>