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B4489" w14:textId="1D554F4E" w:rsidR="00EB1768" w:rsidRPr="00EF4155" w:rsidRDefault="00EF4155">
      <w:pPr>
        <w:spacing w:after="160" w:line="259" w:lineRule="auto"/>
        <w:jc w:val="left"/>
        <w:rPr>
          <w:b/>
          <w:bCs/>
          <w:i/>
          <w:iCs/>
          <w:lang w:val="en-US"/>
        </w:rPr>
      </w:pPr>
      <w:r w:rsidRPr="00EF4155">
        <w:rPr>
          <w:b/>
          <w:bCs/>
          <w:lang w:val="en-US"/>
        </w:rPr>
        <w:t>Text S</w:t>
      </w:r>
      <w:r w:rsidR="004C5944">
        <w:rPr>
          <w:b/>
          <w:bCs/>
          <w:lang w:val="en-US"/>
        </w:rPr>
        <w:t>1</w:t>
      </w:r>
      <w:r w:rsidRPr="00EF4155">
        <w:rPr>
          <w:b/>
          <w:bCs/>
          <w:lang w:val="en-US"/>
        </w:rPr>
        <w:t xml:space="preserve"> – Text supplement corresponding to section 2.1 </w:t>
      </w:r>
      <w:r w:rsidRPr="00EF4155">
        <w:rPr>
          <w:b/>
          <w:bCs/>
          <w:i/>
          <w:iCs/>
          <w:lang w:val="en-US"/>
        </w:rPr>
        <w:t>Study sites</w:t>
      </w:r>
    </w:p>
    <w:p w14:paraId="60C3FE6D" w14:textId="41A91124" w:rsidR="00EF4155" w:rsidRDefault="00EF4155">
      <w:pPr>
        <w:spacing w:after="160" w:line="259" w:lineRule="auto"/>
        <w:jc w:val="left"/>
        <w:rPr>
          <w:lang w:val="en-US"/>
        </w:rPr>
      </w:pPr>
      <w:r w:rsidRPr="4C7D8686">
        <w:rPr>
          <w:lang w:val="en-US"/>
        </w:rPr>
        <w:t xml:space="preserve">Botanically the peat types differ between the sites. (Zegveld is dominated by wood-peat, Rouveen by sedge-peat, Assendelft by a mixture of reed and sedge and Aldeboarn by more mesotropic/oligotropic peat containing remnants of mosses, Eriophorum and heather (Erica). Hydrologically, Assendelft is characterized by upward seepage of brackish water (mean EC within measuring period at 120 cm depth = 2.5 mS cm−1) and a clayey peat topsoil of 30 cm. Rouveen consists of strong upward seepage of fresh water (mean EC = 0.6 mS cm-1) and has a 35 cm clay topsoil. The upward seepage is responsible for year-round near-surface groundwater levels. Aldeboarn is characterized by a 50 cm thick clay topsoil horizon and downward seepage. Zegveld is characterized by a lower amount of clay in the profile and limited downward seepage. The topsoil in Vlist consists of clayey peat or peaty clay in the top 40 cm and slight downward seepage.  </w:t>
      </w:r>
    </w:p>
    <w:p w14:paraId="54653B98" w14:textId="77777777" w:rsidR="00EF4155" w:rsidRDefault="00EF4155">
      <w:pPr>
        <w:spacing w:after="160" w:line="259" w:lineRule="auto"/>
        <w:jc w:val="left"/>
        <w:rPr>
          <w:b/>
          <w:bCs/>
          <w:lang w:val="en-US"/>
        </w:rPr>
      </w:pPr>
    </w:p>
    <w:p w14:paraId="796D5C80" w14:textId="77777777" w:rsidR="00EF4155" w:rsidRDefault="00EF4155">
      <w:pPr>
        <w:spacing w:after="160" w:line="259" w:lineRule="auto"/>
        <w:jc w:val="left"/>
        <w:rPr>
          <w:b/>
          <w:bCs/>
          <w:lang w:val="en-US"/>
        </w:rPr>
      </w:pPr>
    </w:p>
    <w:p w14:paraId="7381B043" w14:textId="77777777" w:rsidR="00EF4155" w:rsidRDefault="00EF4155">
      <w:pPr>
        <w:spacing w:after="160" w:line="259" w:lineRule="auto"/>
        <w:jc w:val="left"/>
        <w:rPr>
          <w:b/>
          <w:bCs/>
          <w:lang w:val="en-US"/>
        </w:rPr>
      </w:pPr>
    </w:p>
    <w:p w14:paraId="2B04DA50" w14:textId="77777777" w:rsidR="00EF4155" w:rsidRDefault="00EF4155">
      <w:pPr>
        <w:spacing w:after="160" w:line="259" w:lineRule="auto"/>
        <w:jc w:val="left"/>
        <w:rPr>
          <w:b/>
          <w:bCs/>
          <w:lang w:val="en-US"/>
        </w:rPr>
      </w:pPr>
    </w:p>
    <w:p w14:paraId="46242BC5" w14:textId="7CD5FAF8" w:rsidR="00EB1768" w:rsidRPr="00090212" w:rsidRDefault="00090212">
      <w:pPr>
        <w:spacing w:after="160" w:line="259" w:lineRule="auto"/>
        <w:jc w:val="left"/>
        <w:rPr>
          <w:b/>
          <w:bCs/>
          <w:i/>
          <w:iCs/>
          <w:lang w:val="en-US"/>
        </w:rPr>
      </w:pPr>
      <w:r>
        <w:rPr>
          <w:b/>
          <w:bCs/>
          <w:lang w:val="en-US"/>
        </w:rPr>
        <w:t>Text S</w:t>
      </w:r>
      <w:r w:rsidR="004C5944">
        <w:rPr>
          <w:b/>
          <w:bCs/>
          <w:lang w:val="en-US"/>
        </w:rPr>
        <w:t>2</w:t>
      </w:r>
      <w:r w:rsidR="00BF4488" w:rsidRPr="00090212">
        <w:rPr>
          <w:b/>
          <w:bCs/>
          <w:lang w:val="en-US"/>
        </w:rPr>
        <w:t xml:space="preserve"> - </w:t>
      </w:r>
      <w:r w:rsidR="00EB1768" w:rsidRPr="00090212">
        <w:rPr>
          <w:b/>
          <w:bCs/>
          <w:lang w:val="en-US"/>
        </w:rPr>
        <w:t xml:space="preserve">Text supplement </w:t>
      </w:r>
      <w:r w:rsidR="00BF4488" w:rsidRPr="00090212">
        <w:rPr>
          <w:b/>
          <w:bCs/>
          <w:lang w:val="en-US"/>
        </w:rPr>
        <w:t>corresponding to section 2.</w:t>
      </w:r>
      <w:r w:rsidRPr="00090212">
        <w:rPr>
          <w:b/>
          <w:bCs/>
          <w:lang w:val="en-US"/>
        </w:rPr>
        <w:t>3</w:t>
      </w:r>
      <w:r w:rsidR="00BF4488" w:rsidRPr="00090212">
        <w:rPr>
          <w:b/>
          <w:bCs/>
          <w:lang w:val="en-US"/>
        </w:rPr>
        <w:t xml:space="preserve"> </w:t>
      </w:r>
      <w:r w:rsidRPr="00090212">
        <w:rPr>
          <w:b/>
          <w:bCs/>
          <w:i/>
          <w:iCs/>
          <w:lang w:val="en-US"/>
        </w:rPr>
        <w:t>Porewater composition</w:t>
      </w:r>
    </w:p>
    <w:p w14:paraId="1ACB3F17" w14:textId="3192879A" w:rsidR="000D607A" w:rsidRDefault="00EB1768">
      <w:pPr>
        <w:spacing w:after="160" w:line="259" w:lineRule="auto"/>
        <w:jc w:val="left"/>
        <w:rPr>
          <w:lang w:val="en-US"/>
        </w:rPr>
      </w:pPr>
      <w:r w:rsidRPr="00E04812">
        <w:rPr>
          <w:lang w:val="en-US"/>
        </w:rPr>
        <w:t>The pH of the samples was determined using a standard Ag/AgCl</w:t>
      </w:r>
      <w:r w:rsidRPr="00B6557D">
        <w:rPr>
          <w:vertAlign w:val="subscript"/>
          <w:lang w:val="en-US"/>
        </w:rPr>
        <w:t>2</w:t>
      </w:r>
      <w:r w:rsidRPr="00E04812">
        <w:rPr>
          <w:lang w:val="en-US"/>
        </w:rPr>
        <w:t xml:space="preserve"> electrode connected to a Radiometer (Copenhagen, Type TIM840). </w:t>
      </w:r>
      <w:r w:rsidRPr="00E04812">
        <w:t>Concentrations of nitrate (NO</w:t>
      </w:r>
      <w:r w:rsidRPr="00E04812">
        <w:rPr>
          <w:vertAlign w:val="subscript"/>
        </w:rPr>
        <w:t>3</w:t>
      </w:r>
      <w:r w:rsidRPr="00E04812">
        <w:rPr>
          <w:vertAlign w:val="superscript"/>
        </w:rPr>
        <w:t>-</w:t>
      </w:r>
      <w:r w:rsidRPr="00E04812">
        <w:t>)</w:t>
      </w:r>
      <w:r>
        <w:t xml:space="preserve"> and</w:t>
      </w:r>
      <w:r w:rsidRPr="00E04812">
        <w:t xml:space="preserve"> ammonium (NH</w:t>
      </w:r>
      <w:r w:rsidRPr="00E04812">
        <w:rPr>
          <w:vertAlign w:val="subscript"/>
        </w:rPr>
        <w:t>4</w:t>
      </w:r>
      <w:r w:rsidRPr="00E04812">
        <w:rPr>
          <w:vertAlign w:val="superscript"/>
        </w:rPr>
        <w:t>+</w:t>
      </w:r>
      <w:r w:rsidRPr="00E04812">
        <w:t>) were determined colorimetrically on a Seal auto-analyser III using salicylate reagent and hydrazine sulfate, respectively</w:t>
      </w:r>
      <w:r>
        <w:t>, whereas concentrations of chloride (Cl</w:t>
      </w:r>
      <w:r>
        <w:rPr>
          <w:vertAlign w:val="superscript"/>
        </w:rPr>
        <w:t>-</w:t>
      </w:r>
      <w:r>
        <w:t xml:space="preserve">) were determined colorimetrically </w:t>
      </w:r>
      <w:r w:rsidRPr="61CCE164">
        <w:rPr>
          <w:lang w:eastAsia="nl-NL"/>
        </w:rPr>
        <w:t>on an auto-analyser (Bran+Luebbe ΙΙI system) using mercury(II)cyanide</w:t>
      </w:r>
      <w:r w:rsidRPr="00E04812">
        <w:t>. Acidified samples (</w:t>
      </w:r>
      <w:r w:rsidRPr="007F4EDB">
        <w:t>0.1 ml (65%) HNO</w:t>
      </w:r>
      <w:r w:rsidRPr="00B6557D">
        <w:rPr>
          <w:vertAlign w:val="subscript"/>
        </w:rPr>
        <w:t>3</w:t>
      </w:r>
      <w:r w:rsidRPr="00B6557D">
        <w:rPr>
          <w:vertAlign w:val="superscript"/>
        </w:rPr>
        <w:t>-</w:t>
      </w:r>
      <w:r w:rsidRPr="00E04812">
        <w:t xml:space="preserve">) were analysed for </w:t>
      </w:r>
      <w:r>
        <w:t>Fe</w:t>
      </w:r>
      <w:r w:rsidRPr="0000043E">
        <w:t>(II)</w:t>
      </w:r>
      <w:r>
        <w:t>, Mn(II), total phosphorus (P) and S</w:t>
      </w:r>
      <w:r w:rsidRPr="00E04812">
        <w:t xml:space="preserve"> using inductively coupled spectrometry (ICP-OES, ICAP 6300, Thermo Fisher Scientific of, ARCOS MV, Spectro).</w:t>
      </w:r>
      <w:r>
        <w:t xml:space="preserve"> Since S is predominantly present as SO</w:t>
      </w:r>
      <w:r>
        <w:rPr>
          <w:vertAlign w:val="subscript"/>
        </w:rPr>
        <w:t>4</w:t>
      </w:r>
      <w:r>
        <w:rPr>
          <w:vertAlign w:val="superscript"/>
        </w:rPr>
        <w:t>2-</w:t>
      </w:r>
      <w:r>
        <w:t>, total S in the porewater was used as a proxy for SO</w:t>
      </w:r>
      <w:r>
        <w:softHyphen/>
      </w:r>
      <w:r>
        <w:softHyphen/>
      </w:r>
      <w:r>
        <w:rPr>
          <w:vertAlign w:val="subscript"/>
        </w:rPr>
        <w:t>4</w:t>
      </w:r>
      <w:r>
        <w:rPr>
          <w:vertAlign w:val="superscript"/>
        </w:rPr>
        <w:t>2-</w:t>
      </w:r>
      <w:r>
        <w:t xml:space="preserve"> concentrations. The shift in ratio of SO</w:t>
      </w:r>
      <w:r>
        <w:rPr>
          <w:vertAlign w:val="subscript"/>
        </w:rPr>
        <w:t>4</w:t>
      </w:r>
      <w:r>
        <w:rPr>
          <w:vertAlign w:val="superscript"/>
        </w:rPr>
        <w:t>2-</w:t>
      </w:r>
      <w:r>
        <w:t xml:space="preserve"> to Cl</w:t>
      </w:r>
      <w:r>
        <w:rPr>
          <w:vertAlign w:val="superscript"/>
        </w:rPr>
        <w:t>-</w:t>
      </w:r>
      <w:r>
        <w:t xml:space="preserve"> (mol:mol) away from a standard marine mass rati</w:t>
      </w:r>
      <w:r w:rsidR="09FA1713">
        <w:t>o</w:t>
      </w:r>
      <w:r>
        <w:t xml:space="preserve"> (0.14) was calculated to determine long-term </w:t>
      </w:r>
      <w:r>
        <w:rPr>
          <w:lang w:val="en-US"/>
        </w:rPr>
        <w:t>SO</w:t>
      </w:r>
      <w:r>
        <w:rPr>
          <w:vertAlign w:val="subscript"/>
          <w:lang w:val="en-US"/>
        </w:rPr>
        <w:t>4</w:t>
      </w:r>
      <w:r>
        <w:rPr>
          <w:vertAlign w:val="superscript"/>
          <w:lang w:val="en-US"/>
        </w:rPr>
        <w:t xml:space="preserve">2- </w:t>
      </w:r>
      <w:r>
        <w:t>reduction rates (Appelo &amp; Postma, 2004).</w:t>
      </w:r>
      <w:r w:rsidRPr="00E04812">
        <w:t xml:space="preserve"> </w:t>
      </w:r>
      <w:r w:rsidRPr="4C7D8686">
        <w:rPr>
          <w:rFonts w:cstheme="minorBidi"/>
          <w:lang w:val="en-US"/>
        </w:rPr>
        <w:t>Concentrations of CH</w:t>
      </w:r>
      <w:r w:rsidRPr="4C7D8686">
        <w:rPr>
          <w:rFonts w:cstheme="minorBidi"/>
          <w:vertAlign w:val="subscript"/>
          <w:lang w:val="en-US"/>
        </w:rPr>
        <w:t>4</w:t>
      </w:r>
      <w:r w:rsidRPr="4C7D8686">
        <w:rPr>
          <w:rFonts w:cstheme="minorBidi"/>
          <w:lang w:val="en-US"/>
        </w:rPr>
        <w:t xml:space="preserve"> and H</w:t>
      </w:r>
      <w:r w:rsidRPr="4C7D8686">
        <w:rPr>
          <w:rFonts w:cstheme="minorBidi"/>
          <w:vertAlign w:val="subscript"/>
          <w:lang w:val="en-US"/>
        </w:rPr>
        <w:t>2</w:t>
      </w:r>
      <w:r w:rsidRPr="4C7D8686">
        <w:rPr>
          <w:rFonts w:cstheme="minorBidi"/>
          <w:lang w:val="en-US"/>
        </w:rPr>
        <w:t>S were measured in the headspace of the exetainers (after removing the vacuum with N</w:t>
      </w:r>
      <w:r w:rsidRPr="4C7D8686">
        <w:rPr>
          <w:rFonts w:cstheme="minorBidi"/>
          <w:vertAlign w:val="subscript"/>
          <w:lang w:val="en-US"/>
        </w:rPr>
        <w:t>2</w:t>
      </w:r>
      <w:r w:rsidRPr="4C7D8686">
        <w:rPr>
          <w:rFonts w:cstheme="minorBidi"/>
          <w:lang w:val="en-US"/>
        </w:rPr>
        <w:t xml:space="preserve"> gas and equilibrating) using a 7890B gas chromatograph (Agilent Technologies, Santa Clara, USA) equipped with a Carbopack BHT100 glass column (2 m, ID 2 mm), flame ionization (FID), and flame photometric detector (FPD) and corrected using the gas solubility constant </w:t>
      </w:r>
      <w:r w:rsidRPr="4C7D8686">
        <w:rPr>
          <w:rFonts w:cstheme="minorBidi"/>
          <w:lang w:val="en-US"/>
        </w:rPr>
        <w:fldChar w:fldCharType="begin" w:fldLock="1"/>
      </w:r>
      <w:r w:rsidRPr="4C7D8686">
        <w:rPr>
          <w:rFonts w:cstheme="minorBidi"/>
          <w:lang w:val="en-US"/>
        </w:rPr>
        <w:instrText>ADDIN CSL_CITATION {"citationItems":[{"id":"ITEM-1","itemData":{"DOI":"10.5194/acp-15-4399-2015","ISSN":"16807324","abstract":"Many atmospheric chemicals occur in the gas phase as well as in liquid cloud droplets and aerosol particles. Therefore, it is necessary to understand the distribution between the phases. According to Henry's law, the equilibrium ratio between the abundances in the gas phase and in the aqueous phase is constant for a dilute solution. Henry's law constants of trace gases of potential importance in environmental chemistry have been collected and converted into a uniform format. The compilation contains 17 350 values of Henry's law constants for 4632 species, collected from 689 references. It is also available at http://www.henrys-law.org.","author":[{"dropping-particle":"","family":"Sander","given":"R.","non-dropping-particle":"","parse-names":false,"suffix":""}],"container-title":"Atmospheric Chemistry and Physics","id":"ITEM-1","issue":"8","issued":{"date-parts":[["2015"]]},"page":"4399-4981","title":"Compilation of Henry's law constants (version 4.0) for water as solvent","type":"article-journal","volume":"15"},"uris":["http://www.mendeley.com/documents/?uuid=af053fc4-c1d9-454b-b5fe-05644e15c140"]}],"mendeley":{"formattedCitation":"(Sander, 2015)","plainTextFormattedCitation":"(Sander, 2015)","previouslyFormattedCitation":"(Sander, 2015)"},"properties":{"noteIndex":0},"schema":"https://github.com/citation-style-language/schema/raw/master/csl-citation.json"}</w:instrText>
      </w:r>
      <w:r w:rsidRPr="4C7D8686">
        <w:rPr>
          <w:rFonts w:cstheme="minorBidi"/>
          <w:lang w:val="en-US"/>
        </w:rPr>
        <w:fldChar w:fldCharType="separate"/>
      </w:r>
      <w:r w:rsidRPr="4C7D8686">
        <w:rPr>
          <w:rFonts w:cstheme="minorBidi"/>
          <w:noProof/>
          <w:lang w:val="en-US"/>
        </w:rPr>
        <w:t>(Sander, 2015)</w:t>
      </w:r>
      <w:r w:rsidRPr="4C7D8686">
        <w:rPr>
          <w:rFonts w:cstheme="minorBidi"/>
          <w:lang w:val="en-US"/>
        </w:rPr>
        <w:fldChar w:fldCharType="end"/>
      </w:r>
      <w:r w:rsidRPr="4C7D8686">
        <w:rPr>
          <w:rFonts w:cstheme="minorBidi"/>
          <w:lang w:val="en-US"/>
        </w:rPr>
        <w:t>.</w:t>
      </w:r>
      <w:r w:rsidR="000D607A">
        <w:rPr>
          <w:lang w:val="en-US"/>
        </w:rPr>
        <w:br w:type="page"/>
      </w:r>
    </w:p>
    <w:p w14:paraId="17C6796E" w14:textId="77777777" w:rsidR="00C61606" w:rsidRPr="00FA1BBB" w:rsidRDefault="00C61606" w:rsidP="00C61606">
      <w:pPr>
        <w:rPr>
          <w:lang w:val="en-US"/>
        </w:rPr>
      </w:pPr>
    </w:p>
    <w:p w14:paraId="02401499" w14:textId="77777777" w:rsidR="00C61606" w:rsidRDefault="00C61606" w:rsidP="00C61606">
      <w:pPr>
        <w:rPr>
          <w:lang w:val="en-US"/>
        </w:rPr>
      </w:pPr>
      <w:r w:rsidRPr="0044676E">
        <w:rPr>
          <w:noProof/>
          <w:lang w:val="en-US" w:eastAsia="en-US"/>
        </w:rPr>
        <w:drawing>
          <wp:inline distT="0" distB="0" distL="0" distR="0" wp14:anchorId="41BAADF3" wp14:editId="31B016AC">
            <wp:extent cx="2316766" cy="2696509"/>
            <wp:effectExtent l="0" t="0" r="762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9267" cy="2757616"/>
                    </a:xfrm>
                    <a:prstGeom prst="rect">
                      <a:avLst/>
                    </a:prstGeom>
                  </pic:spPr>
                </pic:pic>
              </a:graphicData>
            </a:graphic>
          </wp:inline>
        </w:drawing>
      </w:r>
    </w:p>
    <w:p w14:paraId="6F62F0BE" w14:textId="7A546E99" w:rsidR="00C61606" w:rsidRPr="003B3A18" w:rsidRDefault="00C61606" w:rsidP="00C61606">
      <w:pPr>
        <w:pStyle w:val="Caption"/>
        <w:rPr>
          <w:lang w:val="en-US"/>
        </w:rPr>
      </w:pPr>
      <w:r w:rsidRPr="003B3A18">
        <w:rPr>
          <w:lang w:val="en-US"/>
        </w:rPr>
        <w:t xml:space="preserve">Figure </w:t>
      </w:r>
      <w:r>
        <w:rPr>
          <w:lang w:val="en-US"/>
        </w:rPr>
        <w:t>S1</w:t>
      </w:r>
      <w:r w:rsidRPr="003B3A18">
        <w:rPr>
          <w:lang w:val="en-US"/>
        </w:rPr>
        <w:t xml:space="preserve"> – Peat soils in the Netherlands (highlighted) with the five research locations (Basisregistratie Ondergrond, 2018; Esri Nederland, 2021).</w:t>
      </w:r>
    </w:p>
    <w:p w14:paraId="3E8CCCDE" w14:textId="45E57E6D" w:rsidR="00237DF4" w:rsidRDefault="00237DF4" w:rsidP="00C61606">
      <w:pPr>
        <w:pStyle w:val="Caption"/>
        <w:rPr>
          <w:lang w:val="en-US"/>
        </w:rPr>
      </w:pPr>
      <w:r w:rsidRPr="00336CEF">
        <w:rPr>
          <w:noProof/>
          <w:lang w:val="en-US"/>
        </w:rPr>
        <w:lastRenderedPageBreak/>
        <w:drawing>
          <wp:anchor distT="0" distB="0" distL="114300" distR="114300" simplePos="0" relativeHeight="251659264" behindDoc="0" locked="0" layoutInCell="1" allowOverlap="1" wp14:anchorId="4B8E8C13" wp14:editId="7146499F">
            <wp:simplePos x="0" y="0"/>
            <wp:positionH relativeFrom="page">
              <wp:posOffset>491490</wp:posOffset>
            </wp:positionH>
            <wp:positionV relativeFrom="paragraph">
              <wp:posOffset>4242</wp:posOffset>
            </wp:positionV>
            <wp:extent cx="6713220" cy="5822315"/>
            <wp:effectExtent l="0" t="0" r="0" b="698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491"/>
                    <a:stretch/>
                  </pic:blipFill>
                  <pic:spPr bwMode="auto">
                    <a:xfrm>
                      <a:off x="0" y="0"/>
                      <a:ext cx="6713220" cy="5822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n-US"/>
        </w:rPr>
        <w:t>Figure S</w:t>
      </w:r>
      <w:r w:rsidR="00C61606">
        <w:rPr>
          <w:lang w:val="en-US"/>
        </w:rPr>
        <w:t>2</w:t>
      </w:r>
      <w:r>
        <w:rPr>
          <w:lang w:val="en-US"/>
        </w:rPr>
        <w:t xml:space="preserve"> – Eh (mV, x-axis) plotted against concentration of electron acceptors, reduced products of electron acceptors or phosphorus (y-axis and columns) for the reference locations (rows) at depths of 45 and 75 cm. Orange zones represent the Eh breakpoint range that was found with the mean breakpoint depicted as a dashed orange line. Grey zones illustrate</w:t>
      </w:r>
      <w:r w:rsidRPr="006F4F46">
        <w:rPr>
          <w:lang w:val="en-US"/>
        </w:rPr>
        <w:t xml:space="preserve"> the ranges in </w:t>
      </w:r>
      <w:r>
        <w:rPr>
          <w:lang w:val="en-US"/>
        </w:rPr>
        <w:t>Eh</w:t>
      </w:r>
      <w:r w:rsidRPr="006F4F46">
        <w:rPr>
          <w:lang w:val="en-US"/>
        </w:rPr>
        <w:t xml:space="preserve"> for reduction </w:t>
      </w:r>
      <w:r>
        <w:rPr>
          <w:lang w:val="en-US"/>
        </w:rPr>
        <w:t>each electron acceptor that is related to the plotted solute that were found in the literature and normalized to pH 5.5 (Table 1). Note different y-axis scales.</w:t>
      </w:r>
      <w:r>
        <w:rPr>
          <w:lang w:val="en-US"/>
        </w:rPr>
        <w:br w:type="page"/>
      </w:r>
    </w:p>
    <w:p w14:paraId="3A9C32EC" w14:textId="77777777" w:rsidR="00237DF4" w:rsidRPr="007F3FF6" w:rsidRDefault="00237DF4" w:rsidP="00237DF4">
      <w:pPr>
        <w:rPr>
          <w:lang w:val="en-US"/>
        </w:rPr>
      </w:pPr>
      <w:r w:rsidRPr="00336CEF">
        <w:rPr>
          <w:noProof/>
          <w:lang w:val="en-US"/>
        </w:rPr>
        <w:lastRenderedPageBreak/>
        <w:drawing>
          <wp:anchor distT="0" distB="0" distL="114300" distR="114300" simplePos="0" relativeHeight="251660288" behindDoc="0" locked="0" layoutInCell="1" allowOverlap="1" wp14:anchorId="46FE72CD" wp14:editId="2A86FD5D">
            <wp:simplePos x="0" y="0"/>
            <wp:positionH relativeFrom="page">
              <wp:posOffset>263549</wp:posOffset>
            </wp:positionH>
            <wp:positionV relativeFrom="paragraph">
              <wp:posOffset>36769</wp:posOffset>
            </wp:positionV>
            <wp:extent cx="7297947" cy="6327801"/>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592"/>
                    <a:stretch/>
                  </pic:blipFill>
                  <pic:spPr bwMode="auto">
                    <a:xfrm>
                      <a:off x="0" y="0"/>
                      <a:ext cx="7303041" cy="63322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55A4C26" w14:textId="2FDFC4D8" w:rsidR="00237DF4" w:rsidRDefault="00237DF4" w:rsidP="00237DF4">
      <w:pPr>
        <w:pStyle w:val="Caption"/>
        <w:rPr>
          <w:lang w:val="en-US"/>
        </w:rPr>
      </w:pPr>
      <w:r>
        <w:rPr>
          <w:lang w:val="en-US"/>
        </w:rPr>
        <w:t>Figure S</w:t>
      </w:r>
      <w:r w:rsidR="00C61606">
        <w:rPr>
          <w:lang w:val="en-US"/>
        </w:rPr>
        <w:t>3</w:t>
      </w:r>
      <w:r>
        <w:rPr>
          <w:lang w:val="en-US"/>
        </w:rPr>
        <w:t xml:space="preserve"> – Eh (mV, x-axis) plotted against concentration of electron acceptors, reduced products of electron acceptors or phosphorus (y-axis and columns) for the SSI locations (rows) at depths of 45 and 75 cm. Orange zones represent the Eh breakpoint range that was found with the mean breakpoint depicted as a dashed orange line. Grey zones illustrate</w:t>
      </w:r>
      <w:r w:rsidRPr="006F4F46">
        <w:rPr>
          <w:lang w:val="en-US"/>
        </w:rPr>
        <w:t xml:space="preserve"> the ranges in </w:t>
      </w:r>
      <w:r>
        <w:rPr>
          <w:lang w:val="en-US"/>
        </w:rPr>
        <w:t>Eh</w:t>
      </w:r>
      <w:r w:rsidRPr="006F4F46">
        <w:rPr>
          <w:lang w:val="en-US"/>
        </w:rPr>
        <w:t xml:space="preserve"> for reduction </w:t>
      </w:r>
      <w:r>
        <w:rPr>
          <w:lang w:val="en-US"/>
        </w:rPr>
        <w:t>each electron acceptor that is related to the plotted solute that were found in the literature and normalized to pH 5.5 (Table 1). Note different y-axis scales.</w:t>
      </w:r>
    </w:p>
    <w:p w14:paraId="4E080E41" w14:textId="77777777" w:rsidR="00663700" w:rsidRDefault="00663700" w:rsidP="00237DF4">
      <w:pPr>
        <w:rPr>
          <w:lang w:val="en-US"/>
        </w:rPr>
      </w:pPr>
    </w:p>
    <w:p w14:paraId="309C7957" w14:textId="77777777" w:rsidR="00663700" w:rsidRDefault="00663700" w:rsidP="00237DF4">
      <w:pPr>
        <w:rPr>
          <w:lang w:val="en-US"/>
        </w:rPr>
      </w:pPr>
    </w:p>
    <w:p w14:paraId="11F7E55A" w14:textId="3E34396D" w:rsidR="00663700" w:rsidRDefault="00663700" w:rsidP="00237DF4">
      <w:pPr>
        <w:rPr>
          <w:lang w:val="en-US"/>
        </w:rPr>
      </w:pPr>
    </w:p>
    <w:p w14:paraId="4CD76390" w14:textId="66818479" w:rsidR="00237DF4" w:rsidRDefault="00200C54" w:rsidP="00237DF4">
      <w:pPr>
        <w:rPr>
          <w:sz w:val="18"/>
          <w:lang w:val="en-US"/>
        </w:rPr>
      </w:pPr>
      <w:r>
        <w:rPr>
          <w:noProof/>
        </w:rPr>
        <w:lastRenderedPageBreak/>
        <w:drawing>
          <wp:inline distT="0" distB="0" distL="0" distR="0" wp14:anchorId="11C41377" wp14:editId="1A5C7CB1">
            <wp:extent cx="6371590" cy="1673225"/>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371590" cy="1673225"/>
                    </a:xfrm>
                    <a:prstGeom prst="rect">
                      <a:avLst/>
                    </a:prstGeom>
                  </pic:spPr>
                </pic:pic>
              </a:graphicData>
            </a:graphic>
          </wp:inline>
        </w:drawing>
      </w:r>
    </w:p>
    <w:p w14:paraId="488F812D" w14:textId="6E02E61D" w:rsidR="00237DF4" w:rsidRDefault="00237DF4" w:rsidP="00237DF4">
      <w:pPr>
        <w:pStyle w:val="Caption"/>
        <w:rPr>
          <w:lang w:val="en-US"/>
        </w:rPr>
      </w:pPr>
      <w:r>
        <w:rPr>
          <w:lang w:val="en-US"/>
        </w:rPr>
        <w:t>Figure S</w:t>
      </w:r>
      <w:r w:rsidR="00C61606">
        <w:rPr>
          <w:lang w:val="en-US"/>
        </w:rPr>
        <w:t>4</w:t>
      </w:r>
      <w:r>
        <w:rPr>
          <w:lang w:val="en-US"/>
        </w:rPr>
        <w:t xml:space="preserve"> – Histogram of occurrence of Eh (mV)</w:t>
      </w:r>
      <w:r w:rsidR="00245D47">
        <w:rPr>
          <w:lang w:val="en-US"/>
        </w:rPr>
        <w:t xml:space="preserve"> at pH = 5.5.</w:t>
      </w:r>
      <w:r>
        <w:rPr>
          <w:lang w:val="en-US"/>
        </w:rPr>
        <w:t xml:space="preserve"> during porewater sample events</w:t>
      </w:r>
      <w:r w:rsidR="0059675F">
        <w:rPr>
          <w:lang w:val="en-US"/>
        </w:rPr>
        <w:t xml:space="preserve"> in (a) reference, (b) SSI and (c) all plots. </w:t>
      </w:r>
      <w:r>
        <w:rPr>
          <w:lang w:val="en-US"/>
        </w:rPr>
        <w:t xml:space="preserve"> </w:t>
      </w:r>
    </w:p>
    <w:p w14:paraId="21AA618D" w14:textId="77777777" w:rsidR="0062140E" w:rsidRDefault="0062140E" w:rsidP="0062140E">
      <w:pPr>
        <w:rPr>
          <w:lang w:val="en-US"/>
        </w:rPr>
      </w:pPr>
    </w:p>
    <w:p w14:paraId="075AD62F" w14:textId="4F4BE037" w:rsidR="0062140E" w:rsidRDefault="00735239" w:rsidP="0062140E">
      <w:pPr>
        <w:rPr>
          <w:lang w:val="en-US"/>
        </w:rPr>
      </w:pPr>
      <w:r>
        <w:rPr>
          <w:noProof/>
        </w:rPr>
        <w:drawing>
          <wp:inline distT="0" distB="0" distL="0" distR="0" wp14:anchorId="2CE57BB8" wp14:editId="4A66AE24">
            <wp:extent cx="5957247" cy="1151196"/>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026526" cy="1164584"/>
                    </a:xfrm>
                    <a:prstGeom prst="rect">
                      <a:avLst/>
                    </a:prstGeom>
                  </pic:spPr>
                </pic:pic>
              </a:graphicData>
            </a:graphic>
          </wp:inline>
        </w:drawing>
      </w:r>
    </w:p>
    <w:p w14:paraId="3FFF27E7" w14:textId="1B6F6280" w:rsidR="0062140E" w:rsidRPr="0062140E" w:rsidRDefault="0062140E" w:rsidP="0062140E">
      <w:pPr>
        <w:pStyle w:val="Caption"/>
        <w:rPr>
          <w:lang w:val="en-US"/>
        </w:rPr>
      </w:pPr>
      <w:r w:rsidRPr="4C7D8686">
        <w:rPr>
          <w:lang w:val="en-US"/>
        </w:rPr>
        <w:t>Figure S5 – Violin plots of groundwater</w:t>
      </w:r>
      <w:r w:rsidR="00CF3F37" w:rsidRPr="4C7D8686">
        <w:rPr>
          <w:lang w:val="en-US"/>
        </w:rPr>
        <w:t xml:space="preserve"> level</w:t>
      </w:r>
      <w:r w:rsidRPr="4C7D8686">
        <w:rPr>
          <w:lang w:val="en-US"/>
        </w:rPr>
        <w:t xml:space="preserve"> measurements (cm below surface) at RF and MS/MP </w:t>
      </w:r>
      <w:r w:rsidR="009D390F" w:rsidRPr="4C7D8686">
        <w:rPr>
          <w:lang w:val="en-US"/>
        </w:rPr>
        <w:t>for</w:t>
      </w:r>
      <w:r w:rsidRPr="4C7D8686">
        <w:rPr>
          <w:lang w:val="en-US"/>
        </w:rPr>
        <w:t xml:space="preserve"> each location. </w:t>
      </w:r>
      <w:r w:rsidRPr="4C7D8686">
        <w:rPr>
          <w:noProof/>
          <w:lang w:val="en-US" w:eastAsia="nl-NL"/>
        </w:rPr>
        <w:t>The SSI groundwater measurement at a distance of 1 or 1.5 meter perpendicular to the drain</w:t>
      </w:r>
      <w:r w:rsidR="009D2D51" w:rsidRPr="4C7D8686">
        <w:rPr>
          <w:noProof/>
          <w:lang w:val="en-US" w:eastAsia="nl-NL"/>
        </w:rPr>
        <w:t xml:space="preserve"> was used</w:t>
      </w:r>
      <w:r w:rsidRPr="4C7D8686">
        <w:rPr>
          <w:noProof/>
          <w:lang w:val="en-US" w:eastAsia="nl-NL"/>
        </w:rPr>
        <w:t>. Abbr</w:t>
      </w:r>
      <w:r w:rsidR="1060AD77" w:rsidRPr="4C7D8686">
        <w:rPr>
          <w:noProof/>
          <w:lang w:val="en-US" w:eastAsia="nl-NL"/>
        </w:rPr>
        <w:t>e</w:t>
      </w:r>
      <w:r w:rsidRPr="4C7D8686">
        <w:rPr>
          <w:noProof/>
          <w:lang w:val="en-US" w:eastAsia="nl-NL"/>
        </w:rPr>
        <w:t xml:space="preserve">viations: VLI = Vlist, ZEG = Zegveld, ASD = Assendelft, ALB = Aldeboarn, ROV = Rouveen, RF = reference, MS/MP = SSI. Above each plot, the p values of the Levene test is given; p values closer to 0 indicate that the variance of both groups (RF and MS/MP) is more likely to be different. </w:t>
      </w:r>
      <w:r w:rsidR="009D2D51" w:rsidRPr="4C7D8686">
        <w:rPr>
          <w:noProof/>
          <w:lang w:val="en-US" w:eastAsia="nl-NL"/>
        </w:rPr>
        <w:t xml:space="preserve">For all locations except Rouveen </w:t>
      </w:r>
      <w:r w:rsidR="00735239" w:rsidRPr="4C7D8686">
        <w:rPr>
          <w:noProof/>
          <w:lang w:val="en-US" w:eastAsia="nl-NL"/>
        </w:rPr>
        <w:t xml:space="preserve">the variance in measured groundwater level is higher. </w:t>
      </w:r>
    </w:p>
    <w:p w14:paraId="421ED17F" w14:textId="77777777" w:rsidR="007C1E5C" w:rsidRPr="007C1E5C" w:rsidRDefault="007C1E5C" w:rsidP="007C1E5C">
      <w:pPr>
        <w:rPr>
          <w:lang w:val="en-US"/>
        </w:rPr>
      </w:pPr>
    </w:p>
    <w:p w14:paraId="445B7EED" w14:textId="77777777" w:rsidR="00237DF4" w:rsidRDefault="00237DF4" w:rsidP="00237DF4">
      <w:pPr>
        <w:rPr>
          <w:iCs/>
          <w:lang w:val="en-US"/>
        </w:rPr>
      </w:pPr>
      <w:r>
        <w:rPr>
          <w:noProof/>
        </w:rPr>
        <w:drawing>
          <wp:inline distT="0" distB="0" distL="0" distR="0" wp14:anchorId="040B0C01" wp14:editId="5946AEED">
            <wp:extent cx="5564038" cy="185467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79411" cy="1859803"/>
                    </a:xfrm>
                    <a:prstGeom prst="rect">
                      <a:avLst/>
                    </a:prstGeom>
                    <a:noFill/>
                    <a:ln>
                      <a:noFill/>
                    </a:ln>
                  </pic:spPr>
                </pic:pic>
              </a:graphicData>
            </a:graphic>
          </wp:inline>
        </w:drawing>
      </w:r>
    </w:p>
    <w:p w14:paraId="0521334D" w14:textId="15F22812" w:rsidR="00237DF4" w:rsidRDefault="00237DF4" w:rsidP="00237DF4">
      <w:pPr>
        <w:pStyle w:val="Caption"/>
        <w:rPr>
          <w:lang w:val="en-US"/>
        </w:rPr>
      </w:pPr>
      <w:r>
        <w:rPr>
          <w:lang w:val="en-US"/>
        </w:rPr>
        <w:t>Figure S</w:t>
      </w:r>
      <w:r w:rsidR="00735239">
        <w:rPr>
          <w:lang w:val="en-US"/>
        </w:rPr>
        <w:t>6</w:t>
      </w:r>
      <w:r>
        <w:rPr>
          <w:lang w:val="en-US"/>
        </w:rPr>
        <w:t xml:space="preserve"> – (a) Sulfide and iron(II), (b) methane and iron(II) and (c) methane and sulfide concentrations for all pore water samples.</w:t>
      </w:r>
    </w:p>
    <w:p w14:paraId="286A95EC" w14:textId="77777777" w:rsidR="001F5157" w:rsidRPr="001F5157" w:rsidRDefault="001F5157" w:rsidP="001F5157">
      <w:pPr>
        <w:rPr>
          <w:lang w:val="en-US"/>
        </w:rPr>
      </w:pPr>
    </w:p>
    <w:p w14:paraId="65B9C558" w14:textId="77777777" w:rsidR="00237DF4" w:rsidRDefault="00237DF4" w:rsidP="00237DF4">
      <w:pPr>
        <w:rPr>
          <w:iCs/>
          <w:sz w:val="18"/>
          <w:szCs w:val="18"/>
          <w:lang w:val="en-US"/>
        </w:rPr>
      </w:pPr>
      <w:r>
        <w:rPr>
          <w:noProof/>
        </w:rPr>
        <w:lastRenderedPageBreak/>
        <w:drawing>
          <wp:inline distT="0" distB="0" distL="0" distR="0" wp14:anchorId="2195F3C2" wp14:editId="30AD5A13">
            <wp:extent cx="6868466" cy="32262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6056"/>
                    <a:stretch/>
                  </pic:blipFill>
                  <pic:spPr bwMode="auto">
                    <a:xfrm>
                      <a:off x="0" y="0"/>
                      <a:ext cx="6874737" cy="3229225"/>
                    </a:xfrm>
                    <a:prstGeom prst="rect">
                      <a:avLst/>
                    </a:prstGeom>
                    <a:noFill/>
                    <a:ln>
                      <a:noFill/>
                    </a:ln>
                    <a:extLst>
                      <a:ext uri="{53640926-AAD7-44D8-BBD7-CCE9431645EC}">
                        <a14:shadowObscured xmlns:a14="http://schemas.microsoft.com/office/drawing/2010/main"/>
                      </a:ext>
                    </a:extLst>
                  </pic:spPr>
                </pic:pic>
              </a:graphicData>
            </a:graphic>
          </wp:inline>
        </w:drawing>
      </w:r>
    </w:p>
    <w:p w14:paraId="22D4BFE6" w14:textId="70560C8A" w:rsidR="00237DF4" w:rsidRDefault="00237DF4" w:rsidP="00237DF4">
      <w:pPr>
        <w:pStyle w:val="Caption"/>
        <w:rPr>
          <w:lang w:val="en-US"/>
        </w:rPr>
      </w:pPr>
      <w:r>
        <w:rPr>
          <w:lang w:val="en-US"/>
        </w:rPr>
        <w:t>Figure S</w:t>
      </w:r>
      <w:r w:rsidR="00735239">
        <w:rPr>
          <w:lang w:val="en-US"/>
        </w:rPr>
        <w:t>7</w:t>
      </w:r>
      <w:r>
        <w:rPr>
          <w:lang w:val="en-US"/>
        </w:rPr>
        <w:t xml:space="preserve"> – Boxplots of (a)</w:t>
      </w:r>
      <w:r w:rsidRPr="00C632BF">
        <w:rPr>
          <w:lang w:val="en-US"/>
        </w:rPr>
        <w:t xml:space="preserve"> </w:t>
      </w:r>
      <w:r>
        <w:rPr>
          <w:lang w:val="en-US"/>
        </w:rPr>
        <w:t>nitrate</w:t>
      </w:r>
      <w:r w:rsidRPr="00C632BF">
        <w:rPr>
          <w:lang w:val="en-US"/>
        </w:rPr>
        <w:t xml:space="preserve">, </w:t>
      </w:r>
      <w:r>
        <w:rPr>
          <w:lang w:val="en-US"/>
        </w:rPr>
        <w:t xml:space="preserve">(b) </w:t>
      </w:r>
      <w:r w:rsidRPr="00C632BF">
        <w:rPr>
          <w:lang w:val="en-US"/>
        </w:rPr>
        <w:t xml:space="preserve">Mn(II), </w:t>
      </w:r>
      <w:r>
        <w:rPr>
          <w:lang w:val="en-US"/>
        </w:rPr>
        <w:t xml:space="preserve">(c) </w:t>
      </w:r>
      <w:r w:rsidRPr="00C632BF">
        <w:rPr>
          <w:lang w:val="en-US"/>
        </w:rPr>
        <w:t xml:space="preserve">Fe(II), </w:t>
      </w:r>
      <w:r>
        <w:rPr>
          <w:lang w:val="en-US"/>
        </w:rPr>
        <w:t xml:space="preserve">(d) </w:t>
      </w:r>
      <w:r w:rsidRPr="00C632BF">
        <w:rPr>
          <w:lang w:val="en-US"/>
        </w:rPr>
        <w:t xml:space="preserve">phosphorous, </w:t>
      </w:r>
      <w:r>
        <w:rPr>
          <w:lang w:val="en-US"/>
        </w:rPr>
        <w:t xml:space="preserve">(e) </w:t>
      </w:r>
      <w:r w:rsidRPr="00C632BF">
        <w:rPr>
          <w:lang w:val="en-US"/>
        </w:rPr>
        <w:t>sulfides and</w:t>
      </w:r>
      <w:r>
        <w:rPr>
          <w:lang w:val="en-US"/>
        </w:rPr>
        <w:t xml:space="preserve"> (f)</w:t>
      </w:r>
      <w:r w:rsidRPr="00C632BF">
        <w:rPr>
          <w:lang w:val="en-US"/>
        </w:rPr>
        <w:t xml:space="preserve"> </w:t>
      </w:r>
      <w:r>
        <w:rPr>
          <w:lang w:val="en-US"/>
        </w:rPr>
        <w:t xml:space="preserve">methane concentrations along the Eh spectrum (normalized for pH 5.5) for all </w:t>
      </w:r>
      <w:r w:rsidRPr="00C632BF">
        <w:rPr>
          <w:lang w:val="en-US"/>
        </w:rPr>
        <w:t>study sites.</w:t>
      </w:r>
      <w:r>
        <w:rPr>
          <w:lang w:val="en-US"/>
        </w:rPr>
        <w:t xml:space="preserve"> Above each boxplot n is given. Y-axis limitation may exclude outliers. </w:t>
      </w:r>
    </w:p>
    <w:p w14:paraId="205660EE" w14:textId="193CF088" w:rsidR="00DF6347" w:rsidRDefault="00DF6347" w:rsidP="00C867FD">
      <w:pPr>
        <w:rPr>
          <w:lang w:val="en-US"/>
        </w:rPr>
      </w:pPr>
    </w:p>
    <w:p w14:paraId="6DE2876E" w14:textId="5340095D" w:rsidR="00DF6347" w:rsidRDefault="00DF6347" w:rsidP="00DF6347">
      <w:pPr>
        <w:pStyle w:val="Caption"/>
        <w:rPr>
          <w:lang w:val="en-US"/>
        </w:rPr>
      </w:pPr>
      <w:r>
        <w:rPr>
          <w:noProof/>
          <w:lang w:val="en-US" w:eastAsia="en-US"/>
        </w:rPr>
        <w:drawing>
          <wp:inline distT="0" distB="0" distL="0" distR="0" wp14:anchorId="2672763B" wp14:editId="30EB2C47">
            <wp:extent cx="1876965" cy="1679119"/>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0541"/>
                    <a:stretch/>
                  </pic:blipFill>
                  <pic:spPr bwMode="auto">
                    <a:xfrm>
                      <a:off x="0" y="0"/>
                      <a:ext cx="1889266" cy="1690123"/>
                    </a:xfrm>
                    <a:prstGeom prst="rect">
                      <a:avLst/>
                    </a:prstGeom>
                    <a:noFill/>
                    <a:ln>
                      <a:noFill/>
                    </a:ln>
                    <a:extLst>
                      <a:ext uri="{53640926-AAD7-44D8-BBD7-CCE9431645EC}">
                        <a14:shadowObscured xmlns:a14="http://schemas.microsoft.com/office/drawing/2010/main"/>
                      </a:ext>
                    </a:extLst>
                  </pic:spPr>
                </pic:pic>
              </a:graphicData>
            </a:graphic>
          </wp:inline>
        </w:drawing>
      </w:r>
      <w:r>
        <w:rPr>
          <w:lang w:val="en-US"/>
        </w:rPr>
        <w:br/>
        <w:t>Figure S</w:t>
      </w:r>
      <w:r w:rsidR="00735239">
        <w:rPr>
          <w:lang w:val="en-US"/>
        </w:rPr>
        <w:t>8</w:t>
      </w:r>
      <w:r w:rsidRPr="00BF70DE">
        <w:rPr>
          <w:lang w:val="en-US"/>
        </w:rPr>
        <w:t xml:space="preserve"> – </w:t>
      </w:r>
      <w:r>
        <w:rPr>
          <w:lang w:val="en-US"/>
        </w:rPr>
        <w:t>D</w:t>
      </w:r>
      <w:r w:rsidRPr="00BF70DE">
        <w:rPr>
          <w:lang w:val="en-US"/>
        </w:rPr>
        <w:t>isti</w:t>
      </w:r>
      <w:r>
        <w:rPr>
          <w:lang w:val="en-US"/>
        </w:rPr>
        <w:t>n</w:t>
      </w:r>
      <w:r w:rsidRPr="00BF70DE">
        <w:rPr>
          <w:lang w:val="en-US"/>
        </w:rPr>
        <w:t xml:space="preserve">ct </w:t>
      </w:r>
      <w:r>
        <w:rPr>
          <w:lang w:val="en-US"/>
        </w:rPr>
        <w:t>pattern of sulfide abundance over Eh (mV) in Assendelft with peaking concentrations between an Eh of -60 and -10 mV.</w:t>
      </w:r>
    </w:p>
    <w:p w14:paraId="51E457D7" w14:textId="77777777" w:rsidR="00DF6347" w:rsidRDefault="00DF6347" w:rsidP="00C867FD">
      <w:pPr>
        <w:rPr>
          <w:lang w:val="en-US"/>
        </w:rPr>
      </w:pPr>
    </w:p>
    <w:p w14:paraId="47C5F0CD" w14:textId="0B323636" w:rsidR="00C867FD" w:rsidRDefault="00C867FD" w:rsidP="00C867FD">
      <w:pPr>
        <w:rPr>
          <w:lang w:val="en-US"/>
        </w:rPr>
      </w:pPr>
      <w:r>
        <w:rPr>
          <w:noProof/>
        </w:rPr>
        <w:drawing>
          <wp:inline distT="0" distB="0" distL="0" distR="0" wp14:anchorId="00E149D4" wp14:editId="7B07916E">
            <wp:extent cx="1929777" cy="192977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32869" cy="1932869"/>
                    </a:xfrm>
                    <a:prstGeom prst="rect">
                      <a:avLst/>
                    </a:prstGeom>
                    <a:noFill/>
                    <a:ln>
                      <a:noFill/>
                    </a:ln>
                  </pic:spPr>
                </pic:pic>
              </a:graphicData>
            </a:graphic>
          </wp:inline>
        </w:drawing>
      </w:r>
    </w:p>
    <w:p w14:paraId="0FB3D439" w14:textId="2A7E060F" w:rsidR="00C867FD" w:rsidRDefault="00C867FD" w:rsidP="00C867FD">
      <w:pPr>
        <w:pStyle w:val="Caption"/>
        <w:rPr>
          <w:lang w:val="en-US"/>
        </w:rPr>
      </w:pPr>
      <w:bookmarkStart w:id="0" w:name="_Hlk132201921"/>
      <w:r>
        <w:rPr>
          <w:lang w:val="en-US"/>
        </w:rPr>
        <w:t>Figure S</w:t>
      </w:r>
      <w:r w:rsidR="00735239">
        <w:rPr>
          <w:lang w:val="en-US"/>
        </w:rPr>
        <w:t>9</w:t>
      </w:r>
      <w:r>
        <w:rPr>
          <w:lang w:val="en-US"/>
        </w:rPr>
        <w:t xml:space="preserve"> </w:t>
      </w:r>
      <w:bookmarkEnd w:id="0"/>
      <w:r>
        <w:rPr>
          <w:lang w:val="en-US"/>
        </w:rPr>
        <w:t>– Log of the ratio of SO</w:t>
      </w:r>
      <w:r>
        <w:rPr>
          <w:vertAlign w:val="subscript"/>
          <w:lang w:val="en-US"/>
        </w:rPr>
        <w:t>4</w:t>
      </w:r>
      <w:r>
        <w:rPr>
          <w:lang w:val="en-US"/>
        </w:rPr>
        <w:noBreakHyphen/>
      </w:r>
      <w:r>
        <w:rPr>
          <w:vertAlign w:val="superscript"/>
          <w:lang w:val="en-US"/>
        </w:rPr>
        <w:t>2-</w:t>
      </w:r>
      <w:r>
        <w:rPr>
          <w:lang w:val="en-US"/>
        </w:rPr>
        <w:t xml:space="preserve"> and Cl</w:t>
      </w:r>
      <w:r>
        <w:rPr>
          <w:vertAlign w:val="superscript"/>
          <w:lang w:val="en-US"/>
        </w:rPr>
        <w:t>-</w:t>
      </w:r>
      <w:r>
        <w:rPr>
          <w:lang w:val="en-US"/>
        </w:rPr>
        <w:t xml:space="preserve">.  </w:t>
      </w:r>
      <w:r w:rsidRPr="00663700">
        <w:rPr>
          <w:lang w:val="en-US"/>
        </w:rPr>
        <w:t>The</w:t>
      </w:r>
      <w:r>
        <w:rPr>
          <w:lang w:val="en-US"/>
        </w:rPr>
        <w:t xml:space="preserve"> horizontal</w:t>
      </w:r>
      <w:r w:rsidRPr="00663700">
        <w:rPr>
          <w:lang w:val="en-US"/>
        </w:rPr>
        <w:t xml:space="preserve"> red line in the plot </w:t>
      </w:r>
      <w:r>
        <w:rPr>
          <w:lang w:val="en-US"/>
        </w:rPr>
        <w:t xml:space="preserve">at the </w:t>
      </w:r>
      <w:r w:rsidRPr="00663700">
        <w:rPr>
          <w:lang w:val="en-US"/>
        </w:rPr>
        <w:t>threshold 0.14 indicates long term reduction of sulphate.</w:t>
      </w:r>
    </w:p>
    <w:p w14:paraId="6AA4AC47" w14:textId="220D6558" w:rsidR="00237DF4" w:rsidRDefault="00237DF4" w:rsidP="00237DF4">
      <w:pPr>
        <w:rPr>
          <w:iCs/>
          <w:sz w:val="18"/>
          <w:szCs w:val="18"/>
          <w:lang w:val="en-US"/>
        </w:rPr>
      </w:pPr>
      <w:r>
        <w:rPr>
          <w:noProof/>
        </w:rPr>
        <w:lastRenderedPageBreak/>
        <w:drawing>
          <wp:anchor distT="0" distB="0" distL="114300" distR="114300" simplePos="0" relativeHeight="251661312" behindDoc="0" locked="0" layoutInCell="1" allowOverlap="1" wp14:anchorId="11BB04E5" wp14:editId="4EB783E8">
            <wp:simplePos x="0" y="0"/>
            <wp:positionH relativeFrom="margin">
              <wp:align>left</wp:align>
            </wp:positionH>
            <wp:positionV relativeFrom="paragraph">
              <wp:posOffset>210185</wp:posOffset>
            </wp:positionV>
            <wp:extent cx="6305550" cy="63055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05550" cy="6305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720E03" w14:textId="10800E7A" w:rsidR="00237DF4" w:rsidRPr="00BE0B09" w:rsidRDefault="00237DF4" w:rsidP="00237DF4">
      <w:pPr>
        <w:pStyle w:val="Caption"/>
        <w:rPr>
          <w:lang w:val="en-US"/>
        </w:rPr>
      </w:pPr>
      <w:r w:rsidRPr="4C7D8686">
        <w:rPr>
          <w:lang w:val="en-US"/>
        </w:rPr>
        <w:t>Figure S</w:t>
      </w:r>
      <w:r w:rsidR="00735239" w:rsidRPr="4C7D8686">
        <w:rPr>
          <w:lang w:val="en-US"/>
        </w:rPr>
        <w:t>10</w:t>
      </w:r>
      <w:r w:rsidRPr="4C7D8686">
        <w:rPr>
          <w:lang w:val="en-US"/>
        </w:rPr>
        <w:t xml:space="preserve"> – Chemical composition boxplots per location and depth. </w:t>
      </w:r>
      <w:r w:rsidR="00DD6B5B" w:rsidRPr="4C7D8686">
        <w:rPr>
          <w:lang w:val="en-US"/>
        </w:rPr>
        <w:t>RP stands for a reference plot, MS or MP stands for a</w:t>
      </w:r>
      <w:r w:rsidR="0D3209E1" w:rsidRPr="4C7D8686">
        <w:rPr>
          <w:lang w:val="en-US"/>
        </w:rPr>
        <w:t>n</w:t>
      </w:r>
      <w:r w:rsidR="00DD6B5B" w:rsidRPr="4C7D8686">
        <w:rPr>
          <w:lang w:val="en-US"/>
        </w:rPr>
        <w:t xml:space="preserve"> SSI plot.</w:t>
      </w:r>
      <w:r w:rsidR="00DF3C5F" w:rsidRPr="4C7D8686">
        <w:rPr>
          <w:lang w:val="en-US"/>
        </w:rPr>
        <w:t xml:space="preserve"> Colors represent different depths</w:t>
      </w:r>
      <w:r w:rsidR="00F13F20" w:rsidRPr="4C7D8686">
        <w:rPr>
          <w:lang w:val="en-US"/>
        </w:rPr>
        <w:t xml:space="preserve"> (45 and 75 cm)</w:t>
      </w:r>
      <w:r w:rsidR="00DF3C5F" w:rsidRPr="4C7D8686">
        <w:rPr>
          <w:lang w:val="en-US"/>
        </w:rPr>
        <w:t xml:space="preserve">. </w:t>
      </w:r>
    </w:p>
    <w:p w14:paraId="14906A5A" w14:textId="77777777" w:rsidR="00237DF4" w:rsidRDefault="00237DF4" w:rsidP="00237DF4">
      <w:pPr>
        <w:rPr>
          <w:i/>
          <w:lang w:val="en-US"/>
        </w:rPr>
      </w:pPr>
    </w:p>
    <w:p w14:paraId="034CA955" w14:textId="77777777" w:rsidR="00237DF4" w:rsidRDefault="00237DF4" w:rsidP="00237DF4">
      <w:pPr>
        <w:rPr>
          <w:i/>
          <w:lang w:val="en-US"/>
        </w:rPr>
      </w:pPr>
    </w:p>
    <w:p w14:paraId="36F63589" w14:textId="387ACAC4" w:rsidR="0007730F" w:rsidRDefault="0007730F">
      <w:pPr>
        <w:spacing w:after="160" w:line="259" w:lineRule="auto"/>
        <w:jc w:val="left"/>
        <w:rPr>
          <w:iCs/>
          <w:lang w:val="en-US"/>
        </w:rPr>
      </w:pPr>
      <w:r>
        <w:rPr>
          <w:iCs/>
          <w:lang w:val="en-US"/>
        </w:rPr>
        <w:br w:type="page"/>
      </w:r>
    </w:p>
    <w:p w14:paraId="59C18B4E" w14:textId="77777777" w:rsidR="00237DF4" w:rsidRDefault="00237DF4" w:rsidP="00237DF4">
      <w:pPr>
        <w:rPr>
          <w:iCs/>
          <w:lang w:val="en-US"/>
        </w:rPr>
      </w:pPr>
    </w:p>
    <w:p w14:paraId="517DD764" w14:textId="7C321A25" w:rsidR="00477DB1" w:rsidRPr="00382B80" w:rsidRDefault="00477DB1" w:rsidP="00477DB1">
      <w:pPr>
        <w:pStyle w:val="Caption"/>
        <w:rPr>
          <w:noProof/>
          <w:lang w:val="en-US" w:eastAsia="nl-NL"/>
        </w:rPr>
      </w:pPr>
      <w:r w:rsidRPr="4C7D8686">
        <w:rPr>
          <w:lang w:val="en-US"/>
        </w:rPr>
        <w:t>Figures S</w:t>
      </w:r>
      <w:r w:rsidR="00C61606" w:rsidRPr="4C7D8686">
        <w:rPr>
          <w:lang w:val="en-US"/>
        </w:rPr>
        <w:t>1</w:t>
      </w:r>
      <w:r w:rsidR="00735239" w:rsidRPr="4C7D8686">
        <w:rPr>
          <w:lang w:val="en-US"/>
        </w:rPr>
        <w:t>1</w:t>
      </w:r>
      <w:r w:rsidRPr="4C7D8686">
        <w:rPr>
          <w:lang w:val="en-US"/>
        </w:rPr>
        <w:t>-S</w:t>
      </w:r>
      <w:r w:rsidR="00735239" w:rsidRPr="4C7D8686">
        <w:rPr>
          <w:lang w:val="en-US"/>
        </w:rPr>
        <w:t>20</w:t>
      </w:r>
      <w:r w:rsidRPr="4C7D8686">
        <w:rPr>
          <w:lang w:val="en-US"/>
        </w:rPr>
        <w:t xml:space="preserve"> – </w:t>
      </w:r>
      <w:r w:rsidRPr="4C7D8686">
        <w:rPr>
          <w:noProof/>
          <w:lang w:val="en-US" w:eastAsia="nl-NL"/>
        </w:rPr>
        <w:t xml:space="preserve">Metabolic depth (y-axis) zonation with dominant oxidizing agent (the product in the case of </w:t>
      </w:r>
      <w:r w:rsidRPr="4C7D8686">
        <w:rPr>
          <w:lang w:val="en-US"/>
        </w:rPr>
        <w:t>CH</w:t>
      </w:r>
      <w:r w:rsidRPr="4C7D8686">
        <w:rPr>
          <w:vertAlign w:val="subscript"/>
          <w:lang w:val="en-US"/>
        </w:rPr>
        <w:t>4</w:t>
      </w:r>
      <w:r w:rsidRPr="4C7D8686">
        <w:rPr>
          <w:noProof/>
          <w:lang w:val="en-US" w:eastAsia="nl-NL"/>
        </w:rPr>
        <w:t>) over time (x-axis) based on Eh (pH = 5.5) at all research plots. The black line represents measured groundwater levels. The SSI redox probe and groundwater measurement were located at a distance of</w:t>
      </w:r>
      <w:r w:rsidR="00FC3BD1" w:rsidRPr="4C7D8686">
        <w:rPr>
          <w:noProof/>
          <w:lang w:val="en-US" w:eastAsia="nl-NL"/>
        </w:rPr>
        <w:t xml:space="preserve"> 1 or</w:t>
      </w:r>
      <w:r w:rsidRPr="4C7D8686">
        <w:rPr>
          <w:noProof/>
          <w:lang w:val="en-US" w:eastAsia="nl-NL"/>
        </w:rPr>
        <w:t xml:space="preserve"> 1.5 meter perpendicular to the drain. Eh measuring depths are depicted with horizontal dashed lines. </w:t>
      </w:r>
      <w:r w:rsidR="00382B80" w:rsidRPr="4C7D8686">
        <w:rPr>
          <w:noProof/>
          <w:lang w:val="en-US" w:eastAsia="nl-NL"/>
        </w:rPr>
        <w:t>Abbr</w:t>
      </w:r>
      <w:r w:rsidR="1BFF89C4" w:rsidRPr="4C7D8686">
        <w:rPr>
          <w:noProof/>
          <w:lang w:val="en-US" w:eastAsia="nl-NL"/>
        </w:rPr>
        <w:t>e</w:t>
      </w:r>
      <w:r w:rsidR="00382B80" w:rsidRPr="4C7D8686">
        <w:rPr>
          <w:noProof/>
          <w:lang w:val="en-US" w:eastAsia="nl-NL"/>
        </w:rPr>
        <w:t>viations: VLI = Vlist, ZEG = Zegveld, ASD = Assendelft, ALB = Aldeboarn, ROV = Rouveen, RF = reference, MS/MP = SSI.</w:t>
      </w:r>
      <w:r w:rsidR="00955F2D" w:rsidRPr="4C7D8686">
        <w:rPr>
          <w:noProof/>
          <w:lang w:val="en-US" w:eastAsia="nl-NL"/>
        </w:rPr>
        <w:t xml:space="preserve"> Each color reflects a different metabolic state, as in Fig. 6. </w:t>
      </w:r>
    </w:p>
    <w:p w14:paraId="2E94EE25" w14:textId="5C3604F2" w:rsidR="00237DF4" w:rsidRDefault="00237DF4" w:rsidP="00C61606">
      <w:pPr>
        <w:rPr>
          <w:iCs/>
          <w:lang w:val="en-US"/>
        </w:rPr>
      </w:pPr>
      <w:r>
        <w:rPr>
          <w:noProof/>
        </w:rPr>
        <w:drawing>
          <wp:inline distT="0" distB="0" distL="0" distR="0" wp14:anchorId="714C3664" wp14:editId="13CF95BD">
            <wp:extent cx="6372225" cy="2124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r w:rsidRPr="00955F2D">
        <w:rPr>
          <w:noProof/>
          <w:lang w:val="en-US"/>
        </w:rPr>
        <w:t xml:space="preserve"> </w:t>
      </w:r>
      <w:r>
        <w:rPr>
          <w:noProof/>
        </w:rPr>
        <w:drawing>
          <wp:inline distT="0" distB="0" distL="0" distR="0" wp14:anchorId="1DB02D6F" wp14:editId="0ACBB087">
            <wp:extent cx="6372225" cy="21240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r>
        <w:rPr>
          <w:noProof/>
        </w:rPr>
        <w:lastRenderedPageBreak/>
        <w:drawing>
          <wp:inline distT="0" distB="0" distL="0" distR="0" wp14:anchorId="433FDD2C" wp14:editId="0414A852">
            <wp:extent cx="6372225" cy="21240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r>
        <w:rPr>
          <w:noProof/>
        </w:rPr>
        <w:t xml:space="preserve"> </w:t>
      </w:r>
      <w:r>
        <w:rPr>
          <w:noProof/>
        </w:rPr>
        <w:drawing>
          <wp:inline distT="0" distB="0" distL="0" distR="0" wp14:anchorId="278A0245" wp14:editId="7485D88C">
            <wp:extent cx="6372225" cy="21240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r w:rsidRPr="00FA1A3B">
        <w:rPr>
          <w:noProof/>
          <w:lang w:val="en-US"/>
        </w:rPr>
        <w:t xml:space="preserve"> </w:t>
      </w:r>
    </w:p>
    <w:p w14:paraId="2280CC4C" w14:textId="77777777" w:rsidR="00237DF4" w:rsidRPr="00925BBE" w:rsidRDefault="00237DF4" w:rsidP="00237DF4">
      <w:pPr>
        <w:rPr>
          <w:lang w:val="en-US"/>
        </w:rPr>
      </w:pPr>
      <w:r>
        <w:rPr>
          <w:noProof/>
        </w:rPr>
        <w:drawing>
          <wp:inline distT="0" distB="0" distL="0" distR="0" wp14:anchorId="4DD157A3" wp14:editId="731BEDE4">
            <wp:extent cx="6372225" cy="2124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p>
    <w:p w14:paraId="422A44B2" w14:textId="77777777" w:rsidR="00237DF4" w:rsidRDefault="00237DF4" w:rsidP="00237DF4">
      <w:pPr>
        <w:rPr>
          <w:noProof/>
        </w:rPr>
      </w:pPr>
    </w:p>
    <w:p w14:paraId="6A9A2645" w14:textId="3AC4AC29" w:rsidR="00237DF4" w:rsidRDefault="00364B91" w:rsidP="00237DF4">
      <w:pPr>
        <w:rPr>
          <w:noProof/>
        </w:rPr>
      </w:pPr>
      <w:r>
        <w:rPr>
          <w:noProof/>
        </w:rPr>
        <w:drawing>
          <wp:inline distT="0" distB="0" distL="0" distR="0" wp14:anchorId="64968F42" wp14:editId="5F067C60">
            <wp:extent cx="6372225" cy="2124710"/>
            <wp:effectExtent l="0" t="0" r="952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372225" cy="2124710"/>
                    </a:xfrm>
                    <a:prstGeom prst="rect">
                      <a:avLst/>
                    </a:prstGeom>
                    <a:noFill/>
                    <a:ln>
                      <a:noFill/>
                    </a:ln>
                  </pic:spPr>
                </pic:pic>
              </a:graphicData>
            </a:graphic>
          </wp:inline>
        </w:drawing>
      </w:r>
    </w:p>
    <w:p w14:paraId="36BB1B74" w14:textId="77777777" w:rsidR="00237DF4" w:rsidRPr="002F249C" w:rsidRDefault="00237DF4" w:rsidP="00237DF4">
      <w:pPr>
        <w:rPr>
          <w:noProof/>
        </w:rPr>
      </w:pPr>
      <w:r>
        <w:rPr>
          <w:noProof/>
        </w:rPr>
        <w:lastRenderedPageBreak/>
        <w:drawing>
          <wp:inline distT="0" distB="0" distL="0" distR="0" wp14:anchorId="60F715E9" wp14:editId="02106A6F">
            <wp:extent cx="6372225" cy="21240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p>
    <w:p w14:paraId="43190AAE" w14:textId="77777777" w:rsidR="00237DF4" w:rsidRDefault="00237DF4" w:rsidP="00237DF4">
      <w:pPr>
        <w:rPr>
          <w:noProof/>
          <w:lang w:val="en-US" w:eastAsia="nl-NL"/>
        </w:rPr>
      </w:pPr>
      <w:r>
        <w:rPr>
          <w:noProof/>
        </w:rPr>
        <w:drawing>
          <wp:inline distT="0" distB="0" distL="0" distR="0" wp14:anchorId="4ACFCF2F" wp14:editId="214C1406">
            <wp:extent cx="6372225" cy="21240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p>
    <w:p w14:paraId="32BB9160" w14:textId="77777777" w:rsidR="00237DF4" w:rsidRDefault="00237DF4" w:rsidP="00237DF4">
      <w:pPr>
        <w:rPr>
          <w:noProof/>
        </w:rPr>
      </w:pPr>
      <w:r>
        <w:rPr>
          <w:noProof/>
        </w:rPr>
        <w:drawing>
          <wp:inline distT="0" distB="0" distL="0" distR="0" wp14:anchorId="7EA8DB67" wp14:editId="2EF60B96">
            <wp:extent cx="6372225" cy="21240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r w:rsidRPr="00FB29E2">
        <w:rPr>
          <w:noProof/>
        </w:rPr>
        <w:t xml:space="preserve"> </w:t>
      </w:r>
      <w:r>
        <w:rPr>
          <w:noProof/>
        </w:rPr>
        <w:drawing>
          <wp:inline distT="0" distB="0" distL="0" distR="0" wp14:anchorId="30273510" wp14:editId="6B2B69CC">
            <wp:extent cx="6372225" cy="21240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372225" cy="2124075"/>
                    </a:xfrm>
                    <a:prstGeom prst="rect">
                      <a:avLst/>
                    </a:prstGeom>
                    <a:noFill/>
                    <a:ln>
                      <a:noFill/>
                    </a:ln>
                  </pic:spPr>
                </pic:pic>
              </a:graphicData>
            </a:graphic>
          </wp:inline>
        </w:drawing>
      </w:r>
    </w:p>
    <w:p w14:paraId="797DEDD7" w14:textId="77777777" w:rsidR="00921732" w:rsidRDefault="00921732" w:rsidP="00237DF4">
      <w:pPr>
        <w:rPr>
          <w:noProof/>
        </w:rPr>
      </w:pPr>
    </w:p>
    <w:p w14:paraId="5EF05DFB" w14:textId="77777777" w:rsidR="00921732" w:rsidRDefault="00921732" w:rsidP="00921732">
      <w:pPr>
        <w:rPr>
          <w:iCs/>
          <w:sz w:val="18"/>
          <w:szCs w:val="18"/>
          <w:lang w:val="en-US"/>
        </w:rPr>
      </w:pPr>
    </w:p>
    <w:p w14:paraId="46524A10" w14:textId="6AAF17C4" w:rsidR="00921732" w:rsidRDefault="00535B8C" w:rsidP="00921732">
      <w:pPr>
        <w:rPr>
          <w:iCs/>
          <w:sz w:val="18"/>
          <w:szCs w:val="18"/>
          <w:lang w:val="en-US"/>
        </w:rPr>
      </w:pPr>
      <w:r>
        <w:rPr>
          <w:noProof/>
        </w:rPr>
        <w:lastRenderedPageBreak/>
        <w:drawing>
          <wp:inline distT="0" distB="0" distL="0" distR="0" wp14:anchorId="5A2FA187" wp14:editId="27334352">
            <wp:extent cx="5252474" cy="5252474"/>
            <wp:effectExtent l="0" t="0" r="5715"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58594" cy="5258594"/>
                    </a:xfrm>
                    <a:prstGeom prst="rect">
                      <a:avLst/>
                    </a:prstGeom>
                  </pic:spPr>
                </pic:pic>
              </a:graphicData>
            </a:graphic>
          </wp:inline>
        </w:drawing>
      </w:r>
    </w:p>
    <w:p w14:paraId="5DF02685" w14:textId="2FCA6176" w:rsidR="00921732" w:rsidRDefault="00921732" w:rsidP="00921732">
      <w:pPr>
        <w:pStyle w:val="Caption"/>
        <w:rPr>
          <w:lang w:val="en-US"/>
        </w:rPr>
      </w:pPr>
      <w:r>
        <w:rPr>
          <w:lang w:val="en-US"/>
        </w:rPr>
        <w:t>Figure S2</w:t>
      </w:r>
      <w:r w:rsidR="00735239">
        <w:rPr>
          <w:lang w:val="en-US"/>
        </w:rPr>
        <w:t>1</w:t>
      </w:r>
      <w:r>
        <w:rPr>
          <w:lang w:val="en-US"/>
        </w:rPr>
        <w:t xml:space="preserve"> – </w:t>
      </w:r>
      <w:r w:rsidR="002503DD">
        <w:rPr>
          <w:lang w:val="en-US"/>
        </w:rPr>
        <w:t>Violin plots of Eh measurements</w:t>
      </w:r>
      <w:r w:rsidR="00053607">
        <w:rPr>
          <w:lang w:val="en-US"/>
        </w:rPr>
        <w:t xml:space="preserve"> (mV)</w:t>
      </w:r>
      <w:r w:rsidR="00F45373">
        <w:rPr>
          <w:lang w:val="en-US"/>
        </w:rPr>
        <w:t xml:space="preserve"> at RF and MS/MP</w:t>
      </w:r>
      <w:r w:rsidR="002503DD">
        <w:rPr>
          <w:lang w:val="en-US"/>
        </w:rPr>
        <w:t xml:space="preserve"> at each location and depth. </w:t>
      </w:r>
      <w:r w:rsidR="00FC3BD1">
        <w:rPr>
          <w:noProof/>
          <w:lang w:val="en-US" w:eastAsia="nl-NL"/>
        </w:rPr>
        <w:t xml:space="preserve">The SSI redox probe was located at a distance of 1 or 1.5 meter perpendicular to the drain. </w:t>
      </w:r>
      <w:r w:rsidR="00FC3BD1" w:rsidRPr="00382B80">
        <w:rPr>
          <w:noProof/>
          <w:lang w:val="en-US" w:eastAsia="nl-NL"/>
        </w:rPr>
        <w:t>Abb</w:t>
      </w:r>
      <w:r w:rsidR="00627159">
        <w:rPr>
          <w:noProof/>
          <w:lang w:val="en-US" w:eastAsia="nl-NL"/>
        </w:rPr>
        <w:t>re</w:t>
      </w:r>
      <w:r w:rsidR="00FC3BD1" w:rsidRPr="00382B80">
        <w:rPr>
          <w:noProof/>
          <w:lang w:val="en-US" w:eastAsia="nl-NL"/>
        </w:rPr>
        <w:t xml:space="preserve">viations: VLI = Vlist, ZEG = Zegveld, ASD = Assendelft, ALB = Aldeboarn, ROV = Rouveen, RF = reference, </w:t>
      </w:r>
      <w:r w:rsidR="00FC3BD1">
        <w:rPr>
          <w:noProof/>
          <w:lang w:val="en-US" w:eastAsia="nl-NL"/>
        </w:rPr>
        <w:t>MS/MP = SSI.</w:t>
      </w:r>
      <w:r w:rsidR="00B46929">
        <w:rPr>
          <w:noProof/>
          <w:lang w:val="en-US" w:eastAsia="nl-NL"/>
        </w:rPr>
        <w:t xml:space="preserve"> </w:t>
      </w:r>
      <w:r w:rsidR="00A53220">
        <w:rPr>
          <w:noProof/>
          <w:lang w:val="en-US" w:eastAsia="nl-NL"/>
        </w:rPr>
        <w:t>Above each plot, the p</w:t>
      </w:r>
      <w:r w:rsidR="00B46929">
        <w:rPr>
          <w:noProof/>
          <w:lang w:val="en-US" w:eastAsia="nl-NL"/>
        </w:rPr>
        <w:t xml:space="preserve"> values of </w:t>
      </w:r>
      <w:r w:rsidR="00A53220">
        <w:rPr>
          <w:noProof/>
          <w:lang w:val="en-US" w:eastAsia="nl-NL"/>
        </w:rPr>
        <w:t xml:space="preserve">the </w:t>
      </w:r>
      <w:r w:rsidR="00B46929">
        <w:rPr>
          <w:noProof/>
          <w:lang w:val="en-US" w:eastAsia="nl-NL"/>
        </w:rPr>
        <w:t xml:space="preserve">Levene test </w:t>
      </w:r>
      <w:r w:rsidR="00A53220">
        <w:rPr>
          <w:noProof/>
          <w:lang w:val="en-US" w:eastAsia="nl-NL"/>
        </w:rPr>
        <w:t>is given</w:t>
      </w:r>
      <w:r w:rsidR="00AC1242">
        <w:rPr>
          <w:noProof/>
          <w:lang w:val="en-US" w:eastAsia="nl-NL"/>
        </w:rPr>
        <w:t xml:space="preserve">; p values closer to 0 indicate that </w:t>
      </w:r>
      <w:r w:rsidR="003E5165">
        <w:rPr>
          <w:noProof/>
          <w:lang w:val="en-US" w:eastAsia="nl-NL"/>
        </w:rPr>
        <w:t xml:space="preserve">the variance of both </w:t>
      </w:r>
      <w:r w:rsidR="00E20A0B">
        <w:rPr>
          <w:noProof/>
          <w:lang w:val="en-US" w:eastAsia="nl-NL"/>
        </w:rPr>
        <w:t xml:space="preserve">groups (RF and MS/MP) is more likely to be different. </w:t>
      </w:r>
      <w:r w:rsidR="00751AF3">
        <w:rPr>
          <w:noProof/>
          <w:lang w:val="en-US" w:eastAsia="nl-NL"/>
        </w:rPr>
        <w:t xml:space="preserve">In Vlist and Zegveld, </w:t>
      </w:r>
      <w:r w:rsidR="0018640A">
        <w:rPr>
          <w:noProof/>
          <w:lang w:val="en-US" w:eastAsia="nl-NL"/>
        </w:rPr>
        <w:t xml:space="preserve">the variance is clearly higher in the RF plot. </w:t>
      </w:r>
      <w:r w:rsidR="00B95D8F">
        <w:rPr>
          <w:noProof/>
          <w:lang w:val="en-US" w:eastAsia="nl-NL"/>
        </w:rPr>
        <w:t>This is also true for the topsoil (50 cm and above) in</w:t>
      </w:r>
      <w:r w:rsidR="009C5ED9">
        <w:rPr>
          <w:noProof/>
          <w:lang w:val="en-US" w:eastAsia="nl-NL"/>
        </w:rPr>
        <w:t xml:space="preserve"> Assendelft </w:t>
      </w:r>
      <w:r w:rsidR="00B95D8F">
        <w:rPr>
          <w:noProof/>
          <w:lang w:val="en-US" w:eastAsia="nl-NL"/>
        </w:rPr>
        <w:t xml:space="preserve">and subsoil (70 cm and below) in Aldeboarn. </w:t>
      </w:r>
      <w:r w:rsidR="0020329D">
        <w:rPr>
          <w:noProof/>
          <w:lang w:val="en-US" w:eastAsia="nl-NL"/>
        </w:rPr>
        <w:t xml:space="preserve">In the subsoil in Assendelft </w:t>
      </w:r>
      <w:r w:rsidR="008926CB">
        <w:rPr>
          <w:noProof/>
          <w:lang w:val="en-US" w:eastAsia="nl-NL"/>
        </w:rPr>
        <w:t>we find a higher Eh variance for the SSI parcel</w:t>
      </w:r>
      <w:r w:rsidR="00312CD0">
        <w:rPr>
          <w:noProof/>
          <w:lang w:val="en-US" w:eastAsia="nl-NL"/>
        </w:rPr>
        <w:t xml:space="preserve"> which could be due to the impact of drain water. </w:t>
      </w:r>
    </w:p>
    <w:p w14:paraId="60C4D362" w14:textId="50697A19" w:rsidR="00237DF4" w:rsidRDefault="00237DF4" w:rsidP="00237DF4">
      <w:pPr>
        <w:rPr>
          <w:noProof/>
        </w:rPr>
      </w:pPr>
      <w:r>
        <w:rPr>
          <w:noProof/>
        </w:rPr>
        <w:br w:type="page"/>
      </w:r>
    </w:p>
    <w:p w14:paraId="458DE524" w14:textId="77777777" w:rsidR="00237DF4" w:rsidRDefault="00237DF4" w:rsidP="00237DF4">
      <w:pPr>
        <w:rPr>
          <w:lang w:val="en-US"/>
        </w:rPr>
      </w:pPr>
      <w:r>
        <w:rPr>
          <w:noProof/>
        </w:rPr>
        <w:lastRenderedPageBreak/>
        <w:drawing>
          <wp:inline distT="0" distB="0" distL="0" distR="0" wp14:anchorId="7B869FC8" wp14:editId="627D2C5E">
            <wp:extent cx="4430848" cy="6521569"/>
            <wp:effectExtent l="0" t="0" r="8255"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834" b="1040"/>
                    <a:stretch/>
                  </pic:blipFill>
                  <pic:spPr bwMode="auto">
                    <a:xfrm>
                      <a:off x="0" y="0"/>
                      <a:ext cx="4439900" cy="6534892"/>
                    </a:xfrm>
                    <a:prstGeom prst="rect">
                      <a:avLst/>
                    </a:prstGeom>
                    <a:noFill/>
                    <a:ln>
                      <a:noFill/>
                    </a:ln>
                    <a:extLst>
                      <a:ext uri="{53640926-AAD7-44D8-BBD7-CCE9431645EC}">
                        <a14:shadowObscured xmlns:a14="http://schemas.microsoft.com/office/drawing/2010/main"/>
                      </a:ext>
                    </a:extLst>
                  </pic:spPr>
                </pic:pic>
              </a:graphicData>
            </a:graphic>
          </wp:inline>
        </w:drawing>
      </w:r>
    </w:p>
    <w:p w14:paraId="617E6434" w14:textId="73FC750C" w:rsidR="003C7C9E" w:rsidRDefault="00237DF4" w:rsidP="00472428">
      <w:pPr>
        <w:pStyle w:val="Caption"/>
      </w:pPr>
      <w:r w:rsidRPr="006470DC">
        <w:rPr>
          <w:lang w:val="en-US"/>
        </w:rPr>
        <w:t>Fig</w:t>
      </w:r>
      <w:r w:rsidR="00617548">
        <w:rPr>
          <w:lang w:val="en-US"/>
        </w:rPr>
        <w:t>ure</w:t>
      </w:r>
      <w:r w:rsidRPr="006470DC">
        <w:rPr>
          <w:lang w:val="en-US"/>
        </w:rPr>
        <w:t xml:space="preserve"> </w:t>
      </w:r>
      <w:r>
        <w:rPr>
          <w:lang w:val="en-US"/>
        </w:rPr>
        <w:t>S</w:t>
      </w:r>
      <w:r w:rsidR="00C61606">
        <w:rPr>
          <w:lang w:val="en-US"/>
        </w:rPr>
        <w:t>2</w:t>
      </w:r>
      <w:r w:rsidR="00735239">
        <w:rPr>
          <w:lang w:val="en-US"/>
        </w:rPr>
        <w:t>2</w:t>
      </w:r>
      <w:r>
        <w:rPr>
          <w:lang w:val="en-US"/>
        </w:rPr>
        <w:t xml:space="preserve"> – Summary of all</w:t>
      </w:r>
      <w:r w:rsidR="00C61606">
        <w:rPr>
          <w:lang w:val="en-US"/>
        </w:rPr>
        <w:t xml:space="preserve"> interpreted</w:t>
      </w:r>
      <w:r>
        <w:rPr>
          <w:lang w:val="en-US"/>
        </w:rPr>
        <w:t xml:space="preserve"> Eh (at pH = 5.5) measurements for the reference (RF) and SSI (MS</w:t>
      </w:r>
      <w:r w:rsidR="00C61606">
        <w:rPr>
          <w:lang w:val="en-US"/>
        </w:rPr>
        <w:t>/MP</w:t>
      </w:r>
      <w:r>
        <w:rPr>
          <w:lang w:val="en-US"/>
        </w:rPr>
        <w:t>) plots at all measured depths over the complete timeseries (S</w:t>
      </w:r>
      <w:r w:rsidR="00897C8D">
        <w:rPr>
          <w:lang w:val="en-US"/>
        </w:rPr>
        <w:t>10-19</w:t>
      </w:r>
      <w:r>
        <w:rPr>
          <w:lang w:val="en-US"/>
        </w:rPr>
        <w:t xml:space="preserve">). Colors represent dominant metabolic state of the soil (Table 2): blue for oxygen reduction, orange for manganese and nitrate reduction, red for iron reduction, green for sulfate reduction and black for methanogenesis. </w:t>
      </w:r>
    </w:p>
    <w:sectPr w:rsidR="003C7C9E" w:rsidSect="0007730F">
      <w:footerReference w:type="default" r:id="rId29"/>
      <w:pgSz w:w="11906" w:h="16838" w:code="9"/>
      <w:pgMar w:top="567" w:right="936" w:bottom="1338" w:left="936" w:header="0" w:footer="737" w:gutter="0"/>
      <w:lnNumType w:countBy="5" w:distance="227"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4A222" w14:textId="77777777" w:rsidR="00AF7AC3" w:rsidRDefault="00AF7AC3">
      <w:pPr>
        <w:spacing w:line="240" w:lineRule="auto"/>
      </w:pPr>
      <w:r>
        <w:separator/>
      </w:r>
    </w:p>
  </w:endnote>
  <w:endnote w:type="continuationSeparator" w:id="0">
    <w:p w14:paraId="1C6251C7" w14:textId="77777777" w:rsidR="00AF7AC3" w:rsidRDefault="00AF7A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7788171"/>
      <w:docPartObj>
        <w:docPartGallery w:val="Page Numbers (Bottom of Page)"/>
        <w:docPartUnique/>
      </w:docPartObj>
    </w:sdtPr>
    <w:sdtEndPr>
      <w:rPr>
        <w:noProof/>
      </w:rPr>
    </w:sdtEndPr>
    <w:sdtContent>
      <w:p w14:paraId="5A4588F6" w14:textId="77777777" w:rsidR="006D0C96" w:rsidRDefault="004724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A43A55" w14:textId="77777777" w:rsidR="006D0C96" w:rsidRDefault="006175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5F785" w14:textId="77777777" w:rsidR="00AF7AC3" w:rsidRDefault="00AF7AC3">
      <w:pPr>
        <w:spacing w:line="240" w:lineRule="auto"/>
      </w:pPr>
      <w:r>
        <w:separator/>
      </w:r>
    </w:p>
  </w:footnote>
  <w:footnote w:type="continuationSeparator" w:id="0">
    <w:p w14:paraId="611D8449" w14:textId="77777777" w:rsidR="00AF7AC3" w:rsidRDefault="00AF7A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4666D2"/>
    <w:multiLevelType w:val="multilevel"/>
    <w:tmpl w:val="5694F5BA"/>
    <w:lvl w:ilvl="0">
      <w:start w:val="1"/>
      <w:numFmt w:val="decimal"/>
      <w:pStyle w:val="Heading1"/>
      <w:lvlText w:val="%1."/>
      <w:lvlJc w:val="left"/>
      <w:pPr>
        <w:ind w:left="357" w:hanging="357"/>
      </w:pPr>
      <w:rPr>
        <w:rFonts w:hint="default"/>
      </w:rPr>
    </w:lvl>
    <w:lvl w:ilvl="1">
      <w:start w:val="1"/>
      <w:numFmt w:val="decimal"/>
      <w:pStyle w:val="Heading2"/>
      <w:lvlText w:val="%1.%2."/>
      <w:lvlJc w:val="left"/>
      <w:pPr>
        <w:ind w:left="357" w:hanging="357"/>
      </w:pPr>
      <w:rPr>
        <w:rFonts w:hint="default"/>
      </w:rPr>
    </w:lvl>
    <w:lvl w:ilvl="2">
      <w:start w:val="1"/>
      <w:numFmt w:val="decimal"/>
      <w:lvlText w:val="%1.%2.%3."/>
      <w:lvlJc w:val="left"/>
      <w:pPr>
        <w:ind w:left="357" w:hanging="357"/>
      </w:pPr>
      <w:rPr>
        <w:rFonts w:hint="default"/>
      </w:rPr>
    </w:lvl>
    <w:lvl w:ilvl="3">
      <w:start w:val="1"/>
      <w:numFmt w:val="decimal"/>
      <w:pStyle w:val="Heading3"/>
      <w:lvlText w:val="%1.%2.%3.%4."/>
      <w:lvlJc w:val="left"/>
      <w:pPr>
        <w:ind w:left="357" w:hanging="357"/>
      </w:pPr>
      <w:rPr>
        <w:rFonts w:hint="default"/>
      </w:rPr>
    </w:lvl>
    <w:lvl w:ilvl="4">
      <w:start w:val="1"/>
      <w:numFmt w:val="decimal"/>
      <w:lvlText w:val="%1.%2.%3.%4.%5."/>
      <w:lvlJc w:val="left"/>
      <w:pPr>
        <w:ind w:left="357" w:hanging="357"/>
      </w:pPr>
      <w:rPr>
        <w:rFonts w:hint="default"/>
      </w:rPr>
    </w:lvl>
    <w:lvl w:ilvl="5">
      <w:start w:val="1"/>
      <w:numFmt w:val="decimal"/>
      <w:lvlText w:val="%1.%2.%3.%4.%5.%6."/>
      <w:lvlJc w:val="left"/>
      <w:pPr>
        <w:ind w:left="357" w:hanging="357"/>
      </w:pPr>
      <w:rPr>
        <w:rFonts w:hint="default"/>
      </w:rPr>
    </w:lvl>
    <w:lvl w:ilvl="6">
      <w:start w:val="1"/>
      <w:numFmt w:val="decimal"/>
      <w:lvlText w:val="%1.%2.%3.%4.%5.%6.%7."/>
      <w:lvlJc w:val="left"/>
      <w:pPr>
        <w:ind w:left="357" w:hanging="357"/>
      </w:pPr>
      <w:rPr>
        <w:rFonts w:hint="default"/>
      </w:rPr>
    </w:lvl>
    <w:lvl w:ilvl="7">
      <w:start w:val="1"/>
      <w:numFmt w:val="decimal"/>
      <w:lvlText w:val="%1.%2.%3.%4.%5.%6.%7.%8."/>
      <w:lvlJc w:val="left"/>
      <w:pPr>
        <w:ind w:left="357" w:hanging="357"/>
      </w:pPr>
      <w:rPr>
        <w:rFonts w:hint="default"/>
      </w:rPr>
    </w:lvl>
    <w:lvl w:ilvl="8">
      <w:start w:val="1"/>
      <w:numFmt w:val="decimal"/>
      <w:lvlText w:val="%1.%2.%3.%4.%5.%6.%7.%8.%9."/>
      <w:lvlJc w:val="left"/>
      <w:pPr>
        <w:ind w:left="357" w:hanging="357"/>
      </w:pPr>
      <w:rPr>
        <w:rFonts w:hint="default"/>
      </w:rPr>
    </w:lvl>
  </w:abstractNum>
  <w:abstractNum w:abstractNumId="1" w15:restartNumberingAfterBreak="0">
    <w:nsid w:val="525A0661"/>
    <w:multiLevelType w:val="hybridMultilevel"/>
    <w:tmpl w:val="E9085886"/>
    <w:lvl w:ilvl="0" w:tplc="27902CBE">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21280470">
    <w:abstractNumId w:val="0"/>
  </w:num>
  <w:num w:numId="2" w16cid:durableId="12862800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DF4"/>
    <w:rsid w:val="00053607"/>
    <w:rsid w:val="0007730F"/>
    <w:rsid w:val="00090212"/>
    <w:rsid w:val="000D607A"/>
    <w:rsid w:val="00142BBC"/>
    <w:rsid w:val="0018640A"/>
    <w:rsid w:val="001F5157"/>
    <w:rsid w:val="00200C54"/>
    <w:rsid w:val="0020329D"/>
    <w:rsid w:val="00237DF4"/>
    <w:rsid w:val="00245D47"/>
    <w:rsid w:val="002503DD"/>
    <w:rsid w:val="0026359E"/>
    <w:rsid w:val="00312CD0"/>
    <w:rsid w:val="00364B91"/>
    <w:rsid w:val="00382B80"/>
    <w:rsid w:val="003845F2"/>
    <w:rsid w:val="003C7C9E"/>
    <w:rsid w:val="003E5165"/>
    <w:rsid w:val="004375A8"/>
    <w:rsid w:val="004471CE"/>
    <w:rsid w:val="00472428"/>
    <w:rsid w:val="00477DB1"/>
    <w:rsid w:val="004941DF"/>
    <w:rsid w:val="004C5944"/>
    <w:rsid w:val="00532631"/>
    <w:rsid w:val="00535B8C"/>
    <w:rsid w:val="005705FF"/>
    <w:rsid w:val="00573AF9"/>
    <w:rsid w:val="0059675F"/>
    <w:rsid w:val="00617548"/>
    <w:rsid w:val="0062140E"/>
    <w:rsid w:val="00627159"/>
    <w:rsid w:val="00663700"/>
    <w:rsid w:val="00663EF2"/>
    <w:rsid w:val="006E3360"/>
    <w:rsid w:val="006F12E2"/>
    <w:rsid w:val="00735239"/>
    <w:rsid w:val="00751AF3"/>
    <w:rsid w:val="007C1E5C"/>
    <w:rsid w:val="00802597"/>
    <w:rsid w:val="008926CB"/>
    <w:rsid w:val="00897C8D"/>
    <w:rsid w:val="008A49C6"/>
    <w:rsid w:val="00921732"/>
    <w:rsid w:val="00955F2D"/>
    <w:rsid w:val="009C5ED9"/>
    <w:rsid w:val="009D2D51"/>
    <w:rsid w:val="009D390F"/>
    <w:rsid w:val="00A53220"/>
    <w:rsid w:val="00AC1242"/>
    <w:rsid w:val="00AE6BE5"/>
    <w:rsid w:val="00AF32FC"/>
    <w:rsid w:val="00AF7AC3"/>
    <w:rsid w:val="00B23252"/>
    <w:rsid w:val="00B46929"/>
    <w:rsid w:val="00B95D8F"/>
    <w:rsid w:val="00BD0C36"/>
    <w:rsid w:val="00BF4488"/>
    <w:rsid w:val="00C23095"/>
    <w:rsid w:val="00C529F8"/>
    <w:rsid w:val="00C61606"/>
    <w:rsid w:val="00C867FD"/>
    <w:rsid w:val="00CF3F37"/>
    <w:rsid w:val="00DD6B5B"/>
    <w:rsid w:val="00DF3C5F"/>
    <w:rsid w:val="00DF6347"/>
    <w:rsid w:val="00E20A0B"/>
    <w:rsid w:val="00EB1768"/>
    <w:rsid w:val="00EC1D78"/>
    <w:rsid w:val="00EF4155"/>
    <w:rsid w:val="00F13F20"/>
    <w:rsid w:val="00F45373"/>
    <w:rsid w:val="00FC3BD1"/>
    <w:rsid w:val="04D6BA8E"/>
    <w:rsid w:val="09FA1713"/>
    <w:rsid w:val="0D3209E1"/>
    <w:rsid w:val="1060AD77"/>
    <w:rsid w:val="1BFF89C4"/>
    <w:rsid w:val="2C9FE8D4"/>
    <w:rsid w:val="4C7D8686"/>
    <w:rsid w:val="58F16B2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A5C76"/>
  <w15:chartTrackingRefBased/>
  <w15:docId w15:val="{58B651A0-370E-4D28-B117-AA8F05E9D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DF4"/>
    <w:pPr>
      <w:spacing w:after="0" w:line="360" w:lineRule="auto"/>
      <w:jc w:val="both"/>
    </w:pPr>
    <w:rPr>
      <w:rFonts w:ascii="Times New Roman" w:eastAsia="Times New Roman" w:hAnsi="Times New Roman" w:cs="Times New Roman"/>
      <w:sz w:val="20"/>
      <w:szCs w:val="24"/>
      <w:lang w:val="en-GB" w:eastAsia="de-DE"/>
    </w:rPr>
  </w:style>
  <w:style w:type="paragraph" w:styleId="Heading1">
    <w:name w:val="heading 1"/>
    <w:basedOn w:val="Normal"/>
    <w:next w:val="Normal"/>
    <w:link w:val="Heading1Char"/>
    <w:qFormat/>
    <w:rsid w:val="00237DF4"/>
    <w:pPr>
      <w:keepNext/>
      <w:numPr>
        <w:numId w:val="1"/>
      </w:numPr>
      <w:spacing w:before="480" w:after="240" w:line="240" w:lineRule="auto"/>
      <w:outlineLvl w:val="0"/>
    </w:pPr>
    <w:rPr>
      <w:rFonts w:cs="Arial"/>
      <w:b/>
      <w:bCs/>
      <w:color w:val="000000"/>
      <w:kern w:val="32"/>
      <w:szCs w:val="32"/>
    </w:rPr>
  </w:style>
  <w:style w:type="paragraph" w:styleId="Heading2">
    <w:name w:val="heading 2"/>
    <w:basedOn w:val="Normal"/>
    <w:next w:val="Normal"/>
    <w:link w:val="Heading2Char"/>
    <w:qFormat/>
    <w:rsid w:val="00237DF4"/>
    <w:pPr>
      <w:keepNext/>
      <w:numPr>
        <w:ilvl w:val="1"/>
        <w:numId w:val="1"/>
      </w:numPr>
      <w:spacing w:before="240" w:after="240" w:line="240" w:lineRule="auto"/>
      <w:outlineLvl w:val="1"/>
    </w:pPr>
    <w:rPr>
      <w:rFonts w:cs="Arial"/>
      <w:b/>
      <w:bCs/>
      <w:iCs/>
      <w:szCs w:val="28"/>
    </w:rPr>
  </w:style>
  <w:style w:type="paragraph" w:styleId="Heading3">
    <w:name w:val="heading 3"/>
    <w:basedOn w:val="Normal"/>
    <w:next w:val="Normal"/>
    <w:link w:val="Heading3Char"/>
    <w:qFormat/>
    <w:rsid w:val="00237DF4"/>
    <w:pPr>
      <w:keepNext/>
      <w:numPr>
        <w:ilvl w:val="3"/>
        <w:numId w:val="1"/>
      </w:numPr>
      <w:spacing w:before="240" w:after="240" w:line="240" w:lineRule="auto"/>
      <w:outlineLvl w:val="2"/>
    </w:pPr>
    <w:rPr>
      <w:rFonts w:cs="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37DF4"/>
    <w:rPr>
      <w:rFonts w:ascii="Times New Roman" w:eastAsia="Times New Roman" w:hAnsi="Times New Roman" w:cs="Arial"/>
      <w:b/>
      <w:bCs/>
      <w:color w:val="000000"/>
      <w:kern w:val="32"/>
      <w:sz w:val="20"/>
      <w:szCs w:val="32"/>
      <w:lang w:val="en-GB" w:eastAsia="de-DE"/>
    </w:rPr>
  </w:style>
  <w:style w:type="character" w:customStyle="1" w:styleId="Heading2Char">
    <w:name w:val="Heading 2 Char"/>
    <w:basedOn w:val="DefaultParagraphFont"/>
    <w:link w:val="Heading2"/>
    <w:rsid w:val="00237DF4"/>
    <w:rPr>
      <w:rFonts w:ascii="Times New Roman" w:eastAsia="Times New Roman" w:hAnsi="Times New Roman" w:cs="Arial"/>
      <w:b/>
      <w:bCs/>
      <w:iCs/>
      <w:sz w:val="20"/>
      <w:szCs w:val="28"/>
      <w:lang w:val="en-GB" w:eastAsia="de-DE"/>
    </w:rPr>
  </w:style>
  <w:style w:type="character" w:customStyle="1" w:styleId="Heading3Char">
    <w:name w:val="Heading 3 Char"/>
    <w:basedOn w:val="DefaultParagraphFont"/>
    <w:link w:val="Heading3"/>
    <w:rsid w:val="00237DF4"/>
    <w:rPr>
      <w:rFonts w:ascii="Times New Roman" w:eastAsia="Times New Roman" w:hAnsi="Times New Roman" w:cs="Arial"/>
      <w:b/>
      <w:bCs/>
      <w:sz w:val="20"/>
      <w:szCs w:val="26"/>
      <w:lang w:val="en-GB" w:eastAsia="de-DE"/>
    </w:rPr>
  </w:style>
  <w:style w:type="paragraph" w:styleId="Caption">
    <w:name w:val="caption"/>
    <w:basedOn w:val="Normal"/>
    <w:next w:val="Normal"/>
    <w:uiPriority w:val="35"/>
    <w:unhideWhenUsed/>
    <w:qFormat/>
    <w:rsid w:val="00237DF4"/>
    <w:pPr>
      <w:spacing w:after="200" w:line="240" w:lineRule="auto"/>
    </w:pPr>
    <w:rPr>
      <w:b/>
      <w:bCs/>
      <w:sz w:val="18"/>
      <w:szCs w:val="18"/>
    </w:rPr>
  </w:style>
  <w:style w:type="paragraph" w:styleId="Footer">
    <w:name w:val="footer"/>
    <w:basedOn w:val="Normal"/>
    <w:link w:val="FooterChar"/>
    <w:uiPriority w:val="99"/>
    <w:unhideWhenUsed/>
    <w:rsid w:val="00237DF4"/>
    <w:pPr>
      <w:tabs>
        <w:tab w:val="center" w:pos="4513"/>
        <w:tab w:val="right" w:pos="9026"/>
      </w:tabs>
      <w:spacing w:line="240" w:lineRule="auto"/>
    </w:pPr>
  </w:style>
  <w:style w:type="character" w:customStyle="1" w:styleId="FooterChar">
    <w:name w:val="Footer Char"/>
    <w:basedOn w:val="DefaultParagraphFont"/>
    <w:link w:val="Footer"/>
    <w:uiPriority w:val="99"/>
    <w:rsid w:val="00237DF4"/>
    <w:rPr>
      <w:rFonts w:ascii="Times New Roman" w:eastAsia="Times New Roman" w:hAnsi="Times New Roman" w:cs="Times New Roman"/>
      <w:sz w:val="20"/>
      <w:szCs w:val="24"/>
      <w:lang w:val="en-GB" w:eastAsia="de-DE"/>
    </w:rPr>
  </w:style>
  <w:style w:type="character" w:styleId="LineNumber">
    <w:name w:val="line number"/>
    <w:basedOn w:val="DefaultParagraphFont"/>
    <w:uiPriority w:val="99"/>
    <w:semiHidden/>
    <w:unhideWhenUsed/>
    <w:rsid w:val="00237DF4"/>
  </w:style>
  <w:style w:type="character" w:styleId="CommentReference">
    <w:name w:val="annotation reference"/>
    <w:basedOn w:val="DefaultParagraphFont"/>
    <w:uiPriority w:val="99"/>
    <w:semiHidden/>
    <w:unhideWhenUsed/>
    <w:rsid w:val="003845F2"/>
    <w:rPr>
      <w:sz w:val="16"/>
      <w:szCs w:val="16"/>
    </w:rPr>
  </w:style>
  <w:style w:type="paragraph" w:styleId="CommentText">
    <w:name w:val="annotation text"/>
    <w:basedOn w:val="Normal"/>
    <w:link w:val="CommentTextChar"/>
    <w:uiPriority w:val="99"/>
    <w:unhideWhenUsed/>
    <w:rsid w:val="003845F2"/>
    <w:pPr>
      <w:spacing w:after="160" w:line="240" w:lineRule="auto"/>
      <w:jc w:val="left"/>
    </w:pPr>
    <w:rPr>
      <w:rFonts w:asciiTheme="minorHAnsi" w:eastAsiaTheme="minorHAnsi" w:hAnsiTheme="minorHAnsi" w:cstheme="minorBidi"/>
      <w:szCs w:val="20"/>
      <w:lang w:val="nl-NL" w:eastAsia="en-US"/>
    </w:rPr>
  </w:style>
  <w:style w:type="character" w:customStyle="1" w:styleId="CommentTextChar">
    <w:name w:val="Comment Text Char"/>
    <w:basedOn w:val="DefaultParagraphFont"/>
    <w:link w:val="CommentText"/>
    <w:uiPriority w:val="99"/>
    <w:rsid w:val="003845F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12</Pages>
  <Words>1326</Words>
  <Characters>7297</Characters>
  <Application>Microsoft Office Word</Application>
  <DocSecurity>0</DocSecurity>
  <Lines>60</Lines>
  <Paragraphs>17</Paragraphs>
  <ScaleCrop>false</ScaleCrop>
  <Company>Vrije Universiteit</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Boonman, J. (Jim)</dc:creator>
  <cp:keywords/>
  <dc:description/>
  <cp:lastModifiedBy>Boonman, J. (Jim)</cp:lastModifiedBy>
  <cp:revision>36</cp:revision>
  <cp:lastPrinted>2022-12-09T09:14:00Z</cp:lastPrinted>
  <dcterms:created xsi:type="dcterms:W3CDTF">2022-12-09T09:14:00Z</dcterms:created>
  <dcterms:modified xsi:type="dcterms:W3CDTF">2023-04-21T09:59:00Z</dcterms:modified>
</cp:coreProperties>
</file>