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49643A" w14:textId="77777777" w:rsidR="0039658E" w:rsidRPr="000E5B90" w:rsidRDefault="00D83E55">
      <w:pPr>
        <w:pStyle w:val="BATitle"/>
        <w:spacing w:before="0" w:after="0" w:line="360" w:lineRule="auto"/>
        <w:jc w:val="center"/>
      </w:pPr>
      <w:r w:rsidRPr="000E5B90">
        <w:rPr>
          <w:rFonts w:ascii="Times New Roman" w:hAnsi="Times New Roman"/>
          <w:b w:val="0"/>
          <w:i/>
          <w:sz w:val="24"/>
          <w:szCs w:val="24"/>
        </w:rPr>
        <w:t>Supporting Information for</w:t>
      </w:r>
    </w:p>
    <w:p w14:paraId="1E96EF65" w14:textId="77777777" w:rsidR="0039658E" w:rsidRPr="000E5B90" w:rsidRDefault="003965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6AC5DE" w14:textId="77777777" w:rsidR="0039658E" w:rsidRPr="000E5B90" w:rsidRDefault="00D83E55">
      <w:pPr>
        <w:spacing w:after="0" w:line="360" w:lineRule="auto"/>
        <w:ind w:firstLine="180"/>
        <w:jc w:val="center"/>
      </w:pPr>
      <w:r w:rsidRPr="000E5B90">
        <w:rPr>
          <w:rFonts w:ascii="Times New Roman" w:eastAsia="Times New Roman" w:hAnsi="Times New Roman" w:cs="Times New Roman"/>
          <w:b/>
          <w:bCs/>
          <w:kern w:val="2"/>
          <w:sz w:val="28"/>
          <w:szCs w:val="28"/>
        </w:rPr>
        <w:t xml:space="preserve">Bottom-up Fabrication and Atomic-scale Characterization of </w:t>
      </w:r>
    </w:p>
    <w:p w14:paraId="5E3596C2" w14:textId="7F0116B5" w:rsidR="0039658E" w:rsidRPr="000E5B90" w:rsidRDefault="00D83E55">
      <w:pPr>
        <w:pStyle w:val="BATitle"/>
        <w:spacing w:before="0" w:after="0" w:line="360" w:lineRule="auto"/>
        <w:jc w:val="center"/>
      </w:pPr>
      <w:r w:rsidRPr="000E5B90">
        <w:rPr>
          <w:rFonts w:ascii="Times New Roman" w:eastAsia="SimSun" w:hAnsi="Times New Roman"/>
          <w:kern w:val="0"/>
          <w:sz w:val="28"/>
          <w:szCs w:val="28"/>
          <w:lang w:val="en-GB"/>
        </w:rPr>
        <w:t xml:space="preserve">Triply-linked, Laterally </w:t>
      </w:r>
      <w:r w:rsidRPr="000E5B90">
        <w:rPr>
          <w:rFonts w:ascii="Times New Roman" w:eastAsia="SimSun" w:hAnsi="Times New Roman"/>
          <w:kern w:val="0"/>
          <w:sz w:val="28"/>
          <w:szCs w:val="28"/>
          <w:lang w:val="es-ES"/>
        </w:rPr>
        <w:t>π</w:t>
      </w:r>
      <w:r w:rsidRPr="000E5B90">
        <w:rPr>
          <w:rFonts w:ascii="Times New Roman" w:eastAsia="SimSun" w:hAnsi="Times New Roman"/>
          <w:kern w:val="0"/>
          <w:sz w:val="28"/>
          <w:szCs w:val="28"/>
          <w:lang w:val="en-GB"/>
        </w:rPr>
        <w:t>-</w:t>
      </w:r>
      <w:r w:rsidR="00013E7E" w:rsidRPr="000E5B90">
        <w:rPr>
          <w:rFonts w:ascii="Times New Roman" w:eastAsia="SimSun" w:hAnsi="Times New Roman"/>
          <w:kern w:val="0"/>
          <w:sz w:val="28"/>
          <w:szCs w:val="28"/>
          <w:lang w:val="en-GB"/>
        </w:rPr>
        <w:t>E</w:t>
      </w:r>
      <w:r w:rsidRPr="000E5B90">
        <w:rPr>
          <w:rFonts w:ascii="Times New Roman" w:eastAsia="SimSun" w:hAnsi="Times New Roman"/>
          <w:kern w:val="0"/>
          <w:sz w:val="28"/>
          <w:szCs w:val="28"/>
          <w:lang w:val="en-GB"/>
        </w:rPr>
        <w:t>xtended Porphyrin Nanotapes</w:t>
      </w:r>
    </w:p>
    <w:p w14:paraId="48E58AC2" w14:textId="77777777" w:rsidR="0039658E" w:rsidRPr="000E5B90" w:rsidRDefault="003965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9091F1A" w14:textId="77777777" w:rsidR="0039658E" w:rsidRPr="000E5B90" w:rsidRDefault="00D83E55">
      <w:pPr>
        <w:spacing w:after="0" w:line="360" w:lineRule="auto"/>
        <w:jc w:val="both"/>
        <w:rPr>
          <w:lang w:val="it-IT"/>
        </w:rPr>
      </w:pPr>
      <w:r w:rsidRPr="000E5B90">
        <w:rPr>
          <w:rFonts w:ascii="Times New Roman" w:eastAsia="SimSun" w:hAnsi="Times New Roman" w:cs="Times New Roman"/>
          <w:kern w:val="2"/>
          <w:sz w:val="24"/>
          <w:szCs w:val="24"/>
          <w:lang w:val="it-IT"/>
        </w:rPr>
        <w:t>Qiang Sun,</w:t>
      </w:r>
      <w:r w:rsidRPr="000E5B90">
        <w:rPr>
          <w:rFonts w:ascii="Cambria Math" w:eastAsia="SimSun" w:hAnsi="Cambria Math" w:cs="Cambria Math"/>
          <w:kern w:val="2"/>
          <w:sz w:val="24"/>
          <w:szCs w:val="24"/>
          <w:vertAlign w:val="superscript"/>
          <w:lang w:val="it-IT"/>
        </w:rPr>
        <w:t>⊥</w:t>
      </w:r>
      <w:r w:rsidRPr="000E5B90">
        <w:rPr>
          <w:rFonts w:ascii="Times New Roman" w:eastAsia="SimSun" w:hAnsi="Times New Roman" w:cs="Times New Roman"/>
          <w:kern w:val="2"/>
          <w:sz w:val="24"/>
          <w:szCs w:val="24"/>
          <w:vertAlign w:val="superscript"/>
          <w:lang w:val="it-IT"/>
        </w:rPr>
        <w:t>,</w:t>
      </w:r>
      <w:r w:rsidRPr="000E5B90">
        <w:rPr>
          <w:rFonts w:ascii="Times New Roman" w:eastAsia="SimSun" w:hAnsi="Times New Roman" w:cs="Times New Roman"/>
          <w:i/>
          <w:kern w:val="2"/>
          <w:sz w:val="24"/>
          <w:szCs w:val="24"/>
          <w:vertAlign w:val="superscript"/>
          <w:lang w:val="it-IT"/>
        </w:rPr>
        <w:t>ǂ,</w:t>
      </w:r>
      <w:r w:rsidRPr="000E5B90">
        <w:rPr>
          <w:rFonts w:ascii="Times New Roman" w:eastAsia="SimSun" w:hAnsi="Times New Roman" w:cs="Times New Roman"/>
          <w:kern w:val="2"/>
          <w:sz w:val="24"/>
          <w:szCs w:val="24"/>
          <w:vertAlign w:val="superscript"/>
          <w:lang w:val="it-IT"/>
        </w:rPr>
        <w:t>¶</w:t>
      </w:r>
      <w:r w:rsidRPr="000E5B90">
        <w:rPr>
          <w:rFonts w:ascii="Times New Roman" w:eastAsia="SimSun" w:hAnsi="Times New Roman" w:cs="Times New Roman"/>
          <w:kern w:val="2"/>
          <w:sz w:val="24"/>
          <w:szCs w:val="24"/>
          <w:lang w:val="it-IT"/>
        </w:rPr>
        <w:t xml:space="preserve"> Luis M. Mateo,</w:t>
      </w:r>
      <w:r w:rsidRPr="000E5B90">
        <w:rPr>
          <w:rFonts w:ascii="Times New Roman" w:eastAsia="SimSun" w:hAnsi="Times New Roman" w:cs="Times New Roman"/>
          <w:kern w:val="2"/>
          <w:sz w:val="24"/>
          <w:szCs w:val="24"/>
          <w:vertAlign w:val="superscript"/>
          <w:lang w:val="it-IT"/>
        </w:rPr>
        <w:t>†,‡,¶</w:t>
      </w:r>
      <w:r w:rsidRPr="000E5B90">
        <w:rPr>
          <w:rFonts w:ascii="Times New Roman" w:eastAsia="SimSun" w:hAnsi="Times New Roman" w:cs="Times New Roman"/>
          <w:kern w:val="2"/>
          <w:sz w:val="24"/>
          <w:szCs w:val="24"/>
          <w:lang w:val="it-IT"/>
        </w:rPr>
        <w:t xml:space="preserve"> Roberto Robles,</w:t>
      </w:r>
      <w:r w:rsidRPr="000E5B90">
        <w:rPr>
          <w:rFonts w:ascii="Times New Roman" w:eastAsia="SimSun" w:hAnsi="Times New Roman" w:cs="Times New Roman"/>
          <w:kern w:val="2"/>
          <w:sz w:val="24"/>
          <w:szCs w:val="24"/>
          <w:vertAlign w:val="superscript"/>
          <w:lang w:val="it-IT"/>
        </w:rPr>
        <w:t>‖,¶</w:t>
      </w:r>
      <w:r w:rsidRPr="000E5B90">
        <w:rPr>
          <w:rFonts w:ascii="Times New Roman" w:eastAsia="SimSun" w:hAnsi="Times New Roman" w:cs="Times New Roman"/>
          <w:kern w:val="2"/>
          <w:sz w:val="24"/>
          <w:szCs w:val="24"/>
          <w:lang w:val="it-IT"/>
        </w:rPr>
        <w:t xml:space="preserve"> Nicolas Lorente,</w:t>
      </w:r>
      <w:r w:rsidRPr="000E5B90">
        <w:rPr>
          <w:rFonts w:ascii="Times New Roman" w:eastAsia="SimSun" w:hAnsi="Times New Roman" w:cs="Times New Roman"/>
          <w:kern w:val="2"/>
          <w:sz w:val="24"/>
          <w:szCs w:val="24"/>
          <w:vertAlign w:val="superscript"/>
          <w:lang w:val="it-IT"/>
        </w:rPr>
        <w:t>‖,º,</w:t>
      </w:r>
      <w:r w:rsidRPr="000E5B90">
        <w:rPr>
          <w:rFonts w:ascii="Times New Roman" w:eastAsia="SimSun" w:hAnsi="Times New Roman" w:cs="Times New Roman"/>
          <w:kern w:val="2"/>
          <w:sz w:val="24"/>
          <w:szCs w:val="24"/>
          <w:lang w:val="it-IT"/>
        </w:rPr>
        <w:t xml:space="preserve">* </w:t>
      </w:r>
      <w:r w:rsidRPr="000E5B90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val="it-IT"/>
        </w:rPr>
        <w:t>Pascal Ruffieux,</w:t>
      </w:r>
      <w:r w:rsidRPr="000E5B90">
        <w:rPr>
          <w:rFonts w:ascii="Cambria Math" w:eastAsia="SimSun" w:hAnsi="Cambria Math" w:cs="Cambria Math"/>
          <w:kern w:val="2"/>
          <w:sz w:val="24"/>
          <w:szCs w:val="24"/>
          <w:vertAlign w:val="superscript"/>
          <w:lang w:val="it-IT"/>
        </w:rPr>
        <w:t>⊥</w:t>
      </w:r>
      <w:r w:rsidRPr="000E5B90">
        <w:rPr>
          <w:rFonts w:ascii="Times New Roman" w:eastAsia="SimSun" w:hAnsi="Times New Roman" w:cs="Times New Roman"/>
          <w:kern w:val="2"/>
          <w:sz w:val="24"/>
          <w:szCs w:val="24"/>
          <w:lang w:val="it-IT"/>
        </w:rPr>
        <w:t xml:space="preserve"> Giovanni Bottari,*</w:t>
      </w:r>
      <w:r w:rsidRPr="000E5B90">
        <w:rPr>
          <w:rFonts w:ascii="Times New Roman" w:eastAsia="SimSun" w:hAnsi="Times New Roman" w:cs="Times New Roman"/>
          <w:kern w:val="2"/>
          <w:sz w:val="24"/>
          <w:szCs w:val="24"/>
          <w:vertAlign w:val="superscript"/>
          <w:lang w:val="it-IT"/>
        </w:rPr>
        <w:t>,†,‡,§</w:t>
      </w:r>
      <w:r w:rsidRPr="000E5B90">
        <w:rPr>
          <w:rFonts w:ascii="Times New Roman" w:eastAsia="SimSun" w:hAnsi="Times New Roman" w:cs="Times New Roman"/>
          <w:kern w:val="2"/>
          <w:sz w:val="24"/>
          <w:szCs w:val="24"/>
          <w:lang w:val="it-IT"/>
        </w:rPr>
        <w:t xml:space="preserve"> Tomás Torres*</w:t>
      </w:r>
      <w:r w:rsidRPr="000E5B90">
        <w:rPr>
          <w:rFonts w:ascii="Times New Roman" w:eastAsia="SimSun" w:hAnsi="Times New Roman" w:cs="Times New Roman"/>
          <w:kern w:val="2"/>
          <w:sz w:val="24"/>
          <w:szCs w:val="24"/>
          <w:vertAlign w:val="superscript"/>
          <w:lang w:val="it-IT"/>
        </w:rPr>
        <w:t>,†,‡,§</w:t>
      </w:r>
      <w:r w:rsidRPr="000E5B90">
        <w:rPr>
          <w:rFonts w:ascii="Times New Roman" w:eastAsia="SimSun" w:hAnsi="Times New Roman" w:cs="Times New Roman"/>
          <w:kern w:val="2"/>
          <w:sz w:val="24"/>
          <w:szCs w:val="24"/>
          <w:lang w:val="it-IT"/>
        </w:rPr>
        <w:t xml:space="preserve"> and Roman Fasel*</w:t>
      </w:r>
      <w:r w:rsidRPr="000E5B90">
        <w:rPr>
          <w:rFonts w:ascii="Times New Roman" w:eastAsia="SimSun" w:hAnsi="Times New Roman" w:cs="Times New Roman"/>
          <w:kern w:val="2"/>
          <w:sz w:val="24"/>
          <w:szCs w:val="24"/>
          <w:vertAlign w:val="superscript"/>
          <w:lang w:val="it-IT"/>
        </w:rPr>
        <w:t>,</w:t>
      </w:r>
      <w:r w:rsidRPr="000E5B90">
        <w:rPr>
          <w:rFonts w:ascii="Cambria Math" w:eastAsia="SimSun" w:hAnsi="Cambria Math" w:cs="Cambria Math"/>
          <w:kern w:val="2"/>
          <w:sz w:val="24"/>
          <w:szCs w:val="24"/>
          <w:vertAlign w:val="superscript"/>
          <w:lang w:val="it-IT"/>
        </w:rPr>
        <w:t>⊥</w:t>
      </w:r>
      <w:r w:rsidRPr="000E5B90">
        <w:rPr>
          <w:rFonts w:ascii="Times New Roman" w:eastAsia="SimSun" w:hAnsi="Times New Roman" w:cs="Times New Roman"/>
          <w:kern w:val="2"/>
          <w:sz w:val="24"/>
          <w:szCs w:val="24"/>
          <w:vertAlign w:val="superscript"/>
          <w:lang w:val="it-IT"/>
        </w:rPr>
        <w:t>,+</w:t>
      </w:r>
    </w:p>
    <w:p w14:paraId="5DFAEE21" w14:textId="77777777" w:rsidR="0039658E" w:rsidRPr="000E5B90" w:rsidRDefault="0039658E">
      <w:pPr>
        <w:spacing w:after="0" w:line="36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val="it-IT"/>
        </w:rPr>
      </w:pPr>
    </w:p>
    <w:p w14:paraId="7E8E3EFA" w14:textId="77777777" w:rsidR="0039658E" w:rsidRPr="000E5B90" w:rsidRDefault="00D83E55">
      <w:pPr>
        <w:spacing w:after="0" w:line="360" w:lineRule="auto"/>
        <w:ind w:left="142" w:hanging="142"/>
        <w:jc w:val="both"/>
      </w:pPr>
      <w:r w:rsidRPr="000E5B90">
        <w:rPr>
          <w:rFonts w:ascii="Cambria Math" w:eastAsia="SimSun" w:hAnsi="Cambria Math" w:cs="Cambria Math"/>
          <w:kern w:val="2"/>
          <w:sz w:val="24"/>
          <w:szCs w:val="24"/>
          <w:vertAlign w:val="superscript"/>
          <w:lang w:val="en-GB"/>
        </w:rPr>
        <w:t>⊥</w:t>
      </w:r>
      <w:r w:rsidRPr="000E5B90">
        <w:rPr>
          <w:rFonts w:ascii="Cambria Math" w:eastAsia="SimSun" w:hAnsi="Cambria Math" w:cs="Cambria Math"/>
          <w:kern w:val="2"/>
          <w:sz w:val="24"/>
          <w:szCs w:val="24"/>
          <w:vertAlign w:val="superscript"/>
          <w:lang w:val="en-GB"/>
        </w:rPr>
        <w:tab/>
      </w:r>
      <w:r w:rsidRPr="000E5B90">
        <w:rPr>
          <w:rFonts w:ascii="Times New Roman" w:eastAsia="SimSun" w:hAnsi="Times New Roman" w:cs="Times New Roman"/>
          <w:kern w:val="2"/>
          <w:sz w:val="24"/>
          <w:szCs w:val="24"/>
          <w:lang w:val="en-GB"/>
        </w:rPr>
        <w:t xml:space="preserve">nanotech@surfaces Laboratory, Empa-Swiss Federal Laboratories for Materials Science and Technology, 8600 Dübendorf, Switzerland. </w:t>
      </w:r>
    </w:p>
    <w:p w14:paraId="3212F89A" w14:textId="77777777" w:rsidR="0039658E" w:rsidRPr="000E5B90" w:rsidRDefault="00D83E55">
      <w:pPr>
        <w:spacing w:after="0" w:line="360" w:lineRule="auto"/>
        <w:ind w:left="142" w:hanging="142"/>
        <w:jc w:val="both"/>
        <w:rPr>
          <w:lang w:val="es-ES"/>
        </w:rPr>
      </w:pPr>
      <w:r w:rsidRPr="000E5B90">
        <w:rPr>
          <w:rFonts w:ascii="Times New Roman" w:eastAsia="SimSun" w:hAnsi="Times New Roman" w:cs="Times New Roman"/>
          <w:kern w:val="2"/>
          <w:sz w:val="24"/>
          <w:szCs w:val="24"/>
          <w:vertAlign w:val="superscript"/>
          <w:lang w:val="es-ES"/>
        </w:rPr>
        <w:t>†</w:t>
      </w:r>
      <w:r w:rsidRPr="000E5B90">
        <w:rPr>
          <w:rFonts w:ascii="Times New Roman" w:eastAsia="SimSun" w:hAnsi="Times New Roman" w:cs="Times New Roman"/>
          <w:kern w:val="2"/>
          <w:sz w:val="24"/>
          <w:szCs w:val="24"/>
          <w:vertAlign w:val="superscript"/>
          <w:lang w:val="es-ES"/>
        </w:rPr>
        <w:tab/>
      </w:r>
      <w:r w:rsidRPr="000E5B90">
        <w:rPr>
          <w:rFonts w:ascii="Times New Roman" w:eastAsia="SimSun" w:hAnsi="Times New Roman" w:cs="Times New Roman"/>
          <w:kern w:val="2"/>
          <w:sz w:val="24"/>
          <w:szCs w:val="24"/>
          <w:lang w:val="es-ES"/>
        </w:rPr>
        <w:t>Departamento de Química Orgánica, Universidad Autónoma de Madrid, 28049 Madrid, Spain</w:t>
      </w:r>
    </w:p>
    <w:p w14:paraId="1CD8087C" w14:textId="77777777" w:rsidR="0039658E" w:rsidRPr="000E5B90" w:rsidRDefault="00D83E55">
      <w:pPr>
        <w:spacing w:after="0" w:line="360" w:lineRule="auto"/>
        <w:ind w:left="142" w:hanging="142"/>
        <w:jc w:val="both"/>
        <w:rPr>
          <w:lang w:val="es-ES"/>
        </w:rPr>
      </w:pPr>
      <w:r w:rsidRPr="000E5B90">
        <w:rPr>
          <w:rFonts w:ascii="Times New Roman" w:eastAsia="SimSun" w:hAnsi="Times New Roman" w:cs="Times New Roman"/>
          <w:kern w:val="2"/>
          <w:sz w:val="24"/>
          <w:szCs w:val="24"/>
          <w:vertAlign w:val="superscript"/>
          <w:lang w:val="es-ES"/>
        </w:rPr>
        <w:t>‡</w:t>
      </w:r>
      <w:r w:rsidRPr="000E5B90">
        <w:rPr>
          <w:rFonts w:ascii="Times New Roman" w:eastAsia="SimSun" w:hAnsi="Times New Roman" w:cs="Times New Roman"/>
          <w:kern w:val="2"/>
          <w:sz w:val="24"/>
          <w:szCs w:val="24"/>
          <w:vertAlign w:val="superscript"/>
          <w:lang w:val="es-ES"/>
        </w:rPr>
        <w:tab/>
      </w:r>
      <w:r w:rsidRPr="000E5B90">
        <w:rPr>
          <w:rFonts w:ascii="Times New Roman" w:eastAsia="SimSun" w:hAnsi="Times New Roman" w:cs="Times New Roman"/>
          <w:kern w:val="2"/>
          <w:sz w:val="24"/>
          <w:szCs w:val="24"/>
          <w:lang w:val="es-ES"/>
        </w:rPr>
        <w:t>IMDEA-Nanociencia, Campus de Cantoblanco, 28049 Madrid, Spain.</w:t>
      </w:r>
    </w:p>
    <w:p w14:paraId="26CA3D0A" w14:textId="77777777" w:rsidR="0039658E" w:rsidRPr="000E5B90" w:rsidRDefault="00D83E55">
      <w:pPr>
        <w:spacing w:after="0" w:line="360" w:lineRule="auto"/>
        <w:ind w:left="142" w:hanging="142"/>
        <w:jc w:val="both"/>
        <w:rPr>
          <w:lang w:val="es-ES"/>
        </w:rPr>
      </w:pPr>
      <w:r w:rsidRPr="000E5B90">
        <w:rPr>
          <w:rFonts w:ascii="Times New Roman" w:eastAsia="SimSun" w:hAnsi="Times New Roman" w:cs="Times New Roman"/>
          <w:sz w:val="24"/>
          <w:szCs w:val="24"/>
          <w:vertAlign w:val="superscript"/>
          <w:lang w:val="es-ES"/>
        </w:rPr>
        <w:t>‖</w:t>
      </w:r>
      <w:r w:rsidRPr="000E5B90">
        <w:rPr>
          <w:rFonts w:ascii="Times New Roman" w:eastAsia="SimSun" w:hAnsi="Times New Roman" w:cs="Times New Roman"/>
          <w:sz w:val="24"/>
          <w:szCs w:val="24"/>
          <w:vertAlign w:val="superscript"/>
          <w:lang w:val="es-ES"/>
        </w:rPr>
        <w:tab/>
      </w:r>
      <w:r w:rsidRPr="000E5B90">
        <w:rPr>
          <w:rFonts w:ascii="Times New Roman" w:eastAsia="SimSun" w:hAnsi="Times New Roman" w:cs="Times New Roman"/>
          <w:sz w:val="24"/>
          <w:szCs w:val="24"/>
          <w:lang w:val="es-ES"/>
        </w:rPr>
        <w:t>Centro de Física de Materiales CFM/MPC (CSIC-UPV/EHU), Paseo de Manuel de Lardizabal 5, 20018 Donostia-San Sebastián.</w:t>
      </w:r>
    </w:p>
    <w:p w14:paraId="379460C1" w14:textId="77777777" w:rsidR="0039658E" w:rsidRPr="000E5B90" w:rsidRDefault="00D83E55">
      <w:pPr>
        <w:spacing w:after="0" w:line="360" w:lineRule="auto"/>
        <w:ind w:left="142" w:hanging="142"/>
        <w:jc w:val="both"/>
        <w:rPr>
          <w:lang w:val="it-IT"/>
        </w:rPr>
      </w:pPr>
      <w:r w:rsidRPr="000E5B90">
        <w:rPr>
          <w:rFonts w:ascii="Times New Roman" w:eastAsia="SimSun" w:hAnsi="Times New Roman" w:cs="Times New Roman"/>
          <w:sz w:val="24"/>
          <w:szCs w:val="24"/>
          <w:vertAlign w:val="superscript"/>
          <w:lang w:val="it-IT"/>
        </w:rPr>
        <w:t xml:space="preserve">º </w:t>
      </w:r>
      <w:r w:rsidRPr="000E5B90">
        <w:rPr>
          <w:rFonts w:ascii="Times New Roman" w:eastAsia="SimSun" w:hAnsi="Times New Roman" w:cs="Times New Roman"/>
          <w:sz w:val="24"/>
          <w:szCs w:val="24"/>
          <w:vertAlign w:val="superscript"/>
          <w:lang w:val="it-IT"/>
        </w:rPr>
        <w:tab/>
      </w:r>
      <w:r w:rsidRPr="000E5B90">
        <w:rPr>
          <w:rFonts w:ascii="Times New Roman" w:eastAsia="SimSun" w:hAnsi="Times New Roman" w:cs="Times New Roman"/>
          <w:sz w:val="24"/>
          <w:szCs w:val="24"/>
          <w:lang w:val="it-IT"/>
        </w:rPr>
        <w:t>Donostia International Physics Center (DIPC), 20018 Donostia-San Sebastián, Spain.</w:t>
      </w:r>
    </w:p>
    <w:p w14:paraId="5250A7D3" w14:textId="77777777" w:rsidR="0039658E" w:rsidRPr="000E5B90" w:rsidRDefault="00D83E55">
      <w:pPr>
        <w:spacing w:after="0" w:line="360" w:lineRule="auto"/>
        <w:ind w:left="142" w:hanging="142"/>
        <w:jc w:val="both"/>
      </w:pPr>
      <w:r w:rsidRPr="000E5B90">
        <w:rPr>
          <w:rFonts w:ascii="Times New Roman" w:eastAsia="SimSun" w:hAnsi="Times New Roman" w:cs="Times New Roman"/>
          <w:kern w:val="2"/>
          <w:sz w:val="24"/>
          <w:szCs w:val="24"/>
          <w:vertAlign w:val="superscript"/>
          <w:lang w:val="en-GB"/>
        </w:rPr>
        <w:t>§</w:t>
      </w:r>
      <w:r w:rsidRPr="000E5B90">
        <w:rPr>
          <w:rFonts w:ascii="Times New Roman" w:eastAsia="SimSun" w:hAnsi="Times New Roman" w:cs="Times New Roman"/>
          <w:kern w:val="2"/>
          <w:sz w:val="24"/>
          <w:szCs w:val="24"/>
          <w:vertAlign w:val="superscript"/>
          <w:lang w:val="en-GB"/>
        </w:rPr>
        <w:tab/>
      </w:r>
      <w:r w:rsidRPr="000E5B90">
        <w:rPr>
          <w:rFonts w:ascii="Times New Roman" w:eastAsia="SimSun" w:hAnsi="Times New Roman" w:cs="Times New Roman"/>
          <w:kern w:val="2"/>
          <w:sz w:val="24"/>
          <w:szCs w:val="24"/>
          <w:lang w:val="en-GB"/>
        </w:rPr>
        <w:t>Institute for Advanced Research in Chemical Sciences (IAdChem), Universidad Autónoma de Madrid, 28049 Madrid, Spain.</w:t>
      </w:r>
    </w:p>
    <w:p w14:paraId="7B433013" w14:textId="77777777" w:rsidR="0039658E" w:rsidRPr="000E5B90" w:rsidRDefault="00D83E55">
      <w:pPr>
        <w:spacing w:after="0" w:line="360" w:lineRule="auto"/>
        <w:ind w:left="142" w:hanging="142"/>
        <w:jc w:val="both"/>
      </w:pPr>
      <w:r w:rsidRPr="000E5B90">
        <w:rPr>
          <w:rFonts w:ascii="Times New Roman" w:eastAsia="SimSun" w:hAnsi="Times New Roman" w:cs="Times New Roman"/>
          <w:kern w:val="2"/>
          <w:sz w:val="24"/>
          <w:szCs w:val="24"/>
          <w:vertAlign w:val="superscript"/>
          <w:lang w:val="en-GB"/>
        </w:rPr>
        <w:t>ǂ</w:t>
      </w:r>
      <w:r w:rsidRPr="000E5B90">
        <w:rPr>
          <w:rFonts w:ascii="Times New Roman" w:eastAsia="SimSun" w:hAnsi="Times New Roman" w:cs="Times New Roman"/>
          <w:kern w:val="2"/>
          <w:sz w:val="24"/>
          <w:szCs w:val="24"/>
          <w:vertAlign w:val="superscript"/>
          <w:lang w:val="en-GB"/>
        </w:rPr>
        <w:tab/>
      </w:r>
      <w:r w:rsidRPr="000E5B90">
        <w:rPr>
          <w:rFonts w:ascii="Times New Roman" w:eastAsia="SimSun" w:hAnsi="Times New Roman" w:cs="Times New Roman"/>
          <w:kern w:val="2"/>
          <w:sz w:val="24"/>
          <w:szCs w:val="24"/>
          <w:lang w:val="en-GB"/>
        </w:rPr>
        <w:t>Materials Genome Institute, Shanghai University, 200444 Shanghai, China.</w:t>
      </w:r>
    </w:p>
    <w:p w14:paraId="5B9854B8" w14:textId="77777777" w:rsidR="0039658E" w:rsidRPr="000E5B90" w:rsidRDefault="00D83E55">
      <w:pPr>
        <w:spacing w:after="0" w:line="360" w:lineRule="auto"/>
        <w:ind w:left="142" w:hanging="142"/>
        <w:jc w:val="both"/>
      </w:pPr>
      <w:r w:rsidRPr="000E5B90">
        <w:rPr>
          <w:rFonts w:ascii="Times New Roman" w:eastAsia="SimSun" w:hAnsi="Times New Roman" w:cs="Times New Roman"/>
          <w:sz w:val="24"/>
          <w:szCs w:val="24"/>
          <w:vertAlign w:val="superscript"/>
          <w:lang w:val="en-GB"/>
        </w:rPr>
        <w:t>+</w:t>
      </w:r>
      <w:r w:rsidRPr="000E5B90">
        <w:rPr>
          <w:rFonts w:ascii="Times New Roman" w:eastAsia="SimSun" w:hAnsi="Times New Roman" w:cs="Times New Roman"/>
          <w:sz w:val="24"/>
          <w:szCs w:val="24"/>
          <w:vertAlign w:val="superscript"/>
          <w:lang w:val="en-GB"/>
        </w:rPr>
        <w:tab/>
      </w:r>
      <w:r w:rsidRPr="000E5B90">
        <w:rPr>
          <w:rFonts w:ascii="Times New Roman" w:eastAsia="SimSun" w:hAnsi="Times New Roman" w:cs="Times New Roman"/>
          <w:sz w:val="24"/>
          <w:szCs w:val="24"/>
          <w:lang w:val="en-GB"/>
        </w:rPr>
        <w:t>Department of Chemistry and Biochemistry, University of Bern, 3012 Bern, Switzerland.</w:t>
      </w:r>
    </w:p>
    <w:p w14:paraId="7DF6EE95" w14:textId="77777777" w:rsidR="0039658E" w:rsidRPr="000E5B90" w:rsidRDefault="00D83E55">
      <w:pPr>
        <w:spacing w:before="60" w:after="360" w:line="360" w:lineRule="auto"/>
        <w:jc w:val="both"/>
      </w:pPr>
      <w:r w:rsidRPr="000E5B90">
        <w:rPr>
          <w:rFonts w:ascii="Times New Roman" w:hAnsi="Times New Roman" w:cs="Times New Roman"/>
          <w:kern w:val="2"/>
          <w:sz w:val="24"/>
          <w:szCs w:val="24"/>
          <w:vertAlign w:val="superscript"/>
          <w:lang w:val="en-GB"/>
        </w:rPr>
        <w:t>¶</w:t>
      </w:r>
      <w:r w:rsidRPr="000E5B90">
        <w:rPr>
          <w:rFonts w:ascii="Times New Roman" w:hAnsi="Times New Roman" w:cs="Times New Roman"/>
          <w:sz w:val="24"/>
          <w:szCs w:val="24"/>
          <w:lang w:val="en-GB"/>
        </w:rPr>
        <w:t xml:space="preserve"> These authors contributed equally to the paper</w:t>
      </w:r>
    </w:p>
    <w:p w14:paraId="052BBEDF" w14:textId="77777777" w:rsidR="0039658E" w:rsidRPr="000E5B90" w:rsidRDefault="00D83E55">
      <w:pPr>
        <w:spacing w:after="0" w:line="360" w:lineRule="auto"/>
        <w:jc w:val="both"/>
        <w:rPr>
          <w:lang w:val="it-IT"/>
        </w:rPr>
      </w:pPr>
      <w:r w:rsidRPr="000E5B90">
        <w:rPr>
          <w:rFonts w:ascii="Times New Roman" w:hAnsi="Times New Roman" w:cs="Times New Roman"/>
          <w:sz w:val="24"/>
          <w:szCs w:val="24"/>
          <w:lang w:val="it-IT"/>
        </w:rPr>
        <w:t>E-mail: roman.fasel@empa.ch (R.F.); tomas.torres@uam.es (T.T); giovanni.bottari@uam.es (G.B.); nicolas.lorente@ehu.eus (N.L.)</w:t>
      </w:r>
    </w:p>
    <w:p w14:paraId="7A46247C" w14:textId="77777777" w:rsidR="0039658E" w:rsidRPr="000E5B90" w:rsidRDefault="00D83E5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0E5B90">
        <w:rPr>
          <w:lang w:val="it-IT"/>
        </w:rPr>
        <w:br w:type="page"/>
      </w:r>
    </w:p>
    <w:p w14:paraId="6FF2A114" w14:textId="77777777" w:rsidR="0039658E" w:rsidRPr="000E5B90" w:rsidRDefault="003965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14:paraId="4A1A7C2B" w14:textId="77777777" w:rsidR="0039658E" w:rsidRPr="000E5B90" w:rsidRDefault="00D83E5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B90">
        <w:rPr>
          <w:noProof/>
          <w:lang w:val="en-GB" w:eastAsia="en-GB"/>
        </w:rPr>
        <w:drawing>
          <wp:inline distT="0" distB="0" distL="0" distR="0" wp14:anchorId="1D2192C5" wp14:editId="2C084A76">
            <wp:extent cx="3207385" cy="8801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A59DB" w14:textId="77777777" w:rsidR="0039658E" w:rsidRPr="000E5B90" w:rsidRDefault="00D83E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B90">
        <w:rPr>
          <w:rFonts w:ascii="Times New Roman" w:hAnsi="Times New Roman" w:cs="Times New Roman"/>
          <w:b/>
          <w:sz w:val="24"/>
          <w:szCs w:val="24"/>
        </w:rPr>
        <w:t>Fig. S1.0</w:t>
      </w:r>
      <w:r w:rsidRPr="000E5B90">
        <w:rPr>
          <w:rFonts w:ascii="Times New Roman" w:hAnsi="Times New Roman" w:cs="Times New Roman"/>
          <w:sz w:val="24"/>
          <w:szCs w:val="24"/>
        </w:rPr>
        <w:t xml:space="preserve"> STM image of </w:t>
      </w:r>
      <w:r w:rsidRPr="000E5B90">
        <w:rPr>
          <w:rFonts w:ascii="Times New Roman" w:eastAsia="Times New Roman" w:hAnsi="Times New Roman" w:cs="Times New Roman"/>
          <w:b/>
          <w:bCs/>
          <w:kern w:val="2"/>
          <w:sz w:val="24"/>
          <w:szCs w:val="24"/>
        </w:rPr>
        <w:t>Por</w:t>
      </w:r>
      <w:r w:rsidRPr="000E5B90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vertAlign w:val="subscript"/>
        </w:rPr>
        <w:t>12</w:t>
      </w:r>
      <w:r w:rsidRPr="000E5B90">
        <w:rPr>
          <w:rFonts w:ascii="Times New Roman" w:eastAsia="Times New Roman" w:hAnsi="Times New Roman" w:cs="Times New Roman"/>
          <w:b/>
          <w:bCs/>
          <w:kern w:val="2"/>
          <w:sz w:val="24"/>
          <w:szCs w:val="24"/>
        </w:rPr>
        <w:t xml:space="preserve"> NT</w:t>
      </w:r>
      <w:r w:rsidRPr="000E5B90">
        <w:rPr>
          <w:rFonts w:ascii="Times New Roman" w:hAnsi="Times New Roman" w:cs="Times New Roman"/>
          <w:sz w:val="24"/>
          <w:szCs w:val="24"/>
        </w:rPr>
        <w:t xml:space="preserve"> comprising 12 triply-fused Por units (</w:t>
      </w:r>
      <w:r w:rsidRPr="000E5B90">
        <w:rPr>
          <w:rFonts w:ascii="Times New Roman" w:hAnsi="Times New Roman" w:cs="Times New Roman"/>
          <w:i/>
          <w:sz w:val="24"/>
          <w:szCs w:val="24"/>
        </w:rPr>
        <w:t>V</w:t>
      </w:r>
      <w:r w:rsidRPr="000E5B90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Pr="000E5B90">
        <w:rPr>
          <w:rFonts w:ascii="Times New Roman" w:hAnsi="Times New Roman" w:cs="Times New Roman"/>
          <w:sz w:val="24"/>
          <w:szCs w:val="24"/>
        </w:rPr>
        <w:t xml:space="preserve"> = ‒0.05 V, </w:t>
      </w:r>
      <w:r w:rsidRPr="000E5B90">
        <w:rPr>
          <w:rFonts w:ascii="Times New Roman" w:hAnsi="Times New Roman" w:cs="Times New Roman"/>
          <w:i/>
          <w:sz w:val="24"/>
          <w:szCs w:val="24"/>
        </w:rPr>
        <w:t>I</w:t>
      </w:r>
      <w:r w:rsidRPr="000E5B90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 w:rsidRPr="000E5B90">
        <w:rPr>
          <w:rFonts w:ascii="Times New Roman" w:hAnsi="Times New Roman" w:cs="Times New Roman"/>
          <w:sz w:val="24"/>
          <w:szCs w:val="24"/>
        </w:rPr>
        <w:t xml:space="preserve"> = 300 pA, Scale bar: 1 nm). Note that the NT is fused to another NT at its left end.</w:t>
      </w:r>
    </w:p>
    <w:p w14:paraId="0E0F70D8" w14:textId="77777777" w:rsidR="00125E1F" w:rsidRPr="000E5B90" w:rsidRDefault="00125E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EC932D" w14:textId="77777777" w:rsidR="0039658E" w:rsidRPr="000E5B90" w:rsidRDefault="00D83E5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5B90">
        <w:rPr>
          <w:noProof/>
          <w:lang w:val="en-GB" w:eastAsia="en-GB"/>
        </w:rPr>
        <w:drawing>
          <wp:inline distT="0" distB="0" distL="0" distR="0" wp14:anchorId="551D61DD" wp14:editId="634042AF">
            <wp:extent cx="5759450" cy="33229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6E723" w14:textId="567408AF" w:rsidR="0039658E" w:rsidRPr="000E5B90" w:rsidRDefault="00D83E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B90">
        <w:rPr>
          <w:rFonts w:ascii="Times New Roman" w:hAnsi="Times New Roman" w:cs="Times New Roman"/>
          <w:b/>
          <w:sz w:val="24"/>
          <w:szCs w:val="24"/>
        </w:rPr>
        <w:t>Fig. S1.1</w:t>
      </w:r>
      <w:r w:rsidRPr="000E5B90">
        <w:rPr>
          <w:rFonts w:ascii="Times New Roman" w:hAnsi="Times New Roman" w:cs="Times New Roman"/>
          <w:sz w:val="24"/>
          <w:szCs w:val="24"/>
        </w:rPr>
        <w:t xml:space="preserve"> </w:t>
      </w:r>
      <w:r w:rsidRPr="000E5B90">
        <w:rPr>
          <w:rFonts w:ascii="Times New Roman" w:hAnsi="Times New Roman" w:cs="Times New Roman"/>
          <w:b/>
          <w:sz w:val="24"/>
          <w:szCs w:val="24"/>
        </w:rPr>
        <w:t>a</w:t>
      </w:r>
      <w:r w:rsidRPr="000E5B90">
        <w:rPr>
          <w:rFonts w:ascii="Times New Roman" w:hAnsi="Times New Roman" w:cs="Times New Roman"/>
          <w:sz w:val="24"/>
          <w:szCs w:val="24"/>
        </w:rPr>
        <w:t>, Chemical scheme of the tip-induced dehydrogenation of the CH</w:t>
      </w:r>
      <w:r w:rsidRPr="000E5B9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E5B90">
        <w:rPr>
          <w:rFonts w:ascii="Times New Roman" w:hAnsi="Times New Roman" w:cs="Times New Roman"/>
          <w:sz w:val="24"/>
          <w:szCs w:val="24"/>
        </w:rPr>
        <w:t xml:space="preserve"> sites at the ends of </w:t>
      </w:r>
      <w:r w:rsidRPr="000E5B90">
        <w:rPr>
          <w:rFonts w:ascii="Times New Roman" w:eastAsia="Times New Roman" w:hAnsi="Times New Roman" w:cs="Times New Roman"/>
          <w:b/>
          <w:bCs/>
          <w:kern w:val="2"/>
          <w:sz w:val="24"/>
          <w:szCs w:val="24"/>
        </w:rPr>
        <w:t>Por</w:t>
      </w:r>
      <w:r w:rsidRPr="000E5B90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vertAlign w:val="subscript"/>
        </w:rPr>
        <w:t>4</w:t>
      </w:r>
      <w:r w:rsidRPr="000E5B90">
        <w:rPr>
          <w:rFonts w:ascii="Times New Roman" w:eastAsia="Times New Roman" w:hAnsi="Times New Roman" w:cs="Times New Roman"/>
          <w:b/>
          <w:bCs/>
          <w:kern w:val="2"/>
          <w:sz w:val="24"/>
          <w:szCs w:val="24"/>
        </w:rPr>
        <w:t xml:space="preserve"> NT</w:t>
      </w:r>
      <w:r w:rsidRPr="000E5B90">
        <w:rPr>
          <w:rFonts w:ascii="Times New Roman" w:hAnsi="Times New Roman" w:cs="Times New Roman"/>
          <w:sz w:val="24"/>
          <w:szCs w:val="24"/>
        </w:rPr>
        <w:t xml:space="preserve">. </w:t>
      </w:r>
      <w:r w:rsidRPr="000E5B90">
        <w:rPr>
          <w:rFonts w:ascii="Times New Roman" w:hAnsi="Times New Roman" w:cs="Times New Roman"/>
          <w:b/>
          <w:sz w:val="24"/>
          <w:szCs w:val="24"/>
        </w:rPr>
        <w:t>b</w:t>
      </w:r>
      <w:r w:rsidRPr="000E5B90">
        <w:rPr>
          <w:rFonts w:ascii="Times New Roman" w:hAnsi="Times New Roman" w:cs="Times New Roman"/>
          <w:sz w:val="24"/>
          <w:szCs w:val="24"/>
        </w:rPr>
        <w:t xml:space="preserve">, Constant-height nc-AFM images of </w:t>
      </w:r>
      <w:r w:rsidRPr="000E5B90">
        <w:rPr>
          <w:rFonts w:ascii="Times New Roman" w:eastAsia="Times New Roman" w:hAnsi="Times New Roman" w:cs="Times New Roman"/>
          <w:b/>
          <w:bCs/>
          <w:kern w:val="2"/>
          <w:sz w:val="24"/>
          <w:szCs w:val="24"/>
        </w:rPr>
        <w:t>Por</w:t>
      </w:r>
      <w:r w:rsidRPr="000E5B90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vertAlign w:val="subscript"/>
        </w:rPr>
        <w:t>4</w:t>
      </w:r>
      <w:r w:rsidRPr="000E5B90">
        <w:rPr>
          <w:rFonts w:ascii="Times New Roman" w:eastAsia="Times New Roman" w:hAnsi="Times New Roman" w:cs="Times New Roman"/>
          <w:b/>
          <w:bCs/>
          <w:kern w:val="2"/>
          <w:sz w:val="24"/>
          <w:szCs w:val="24"/>
        </w:rPr>
        <w:t xml:space="preserve"> NT</w:t>
      </w:r>
      <w:r w:rsidRPr="000E5B90">
        <w:rPr>
          <w:rFonts w:ascii="Times New Roman" w:hAnsi="Times New Roman" w:cs="Times New Roman"/>
          <w:sz w:val="24"/>
          <w:szCs w:val="24"/>
        </w:rPr>
        <w:t xml:space="preserve"> before (left) and after consecutive tip-induced dehydrogenations (center and right). The arrows indicate the CH</w:t>
      </w:r>
      <w:r w:rsidRPr="000E5B9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E5B90">
        <w:rPr>
          <w:rFonts w:ascii="Times New Roman" w:hAnsi="Times New Roman" w:cs="Times New Roman"/>
          <w:sz w:val="24"/>
          <w:szCs w:val="24"/>
        </w:rPr>
        <w:t xml:space="preserve"> structures at the </w:t>
      </w:r>
      <w:r w:rsidRPr="000E5B90">
        <w:rPr>
          <w:rFonts w:ascii="Times New Roman" w:eastAsia="Times New Roman" w:hAnsi="Times New Roman" w:cs="Times New Roman"/>
          <w:bCs/>
          <w:i/>
          <w:kern w:val="2"/>
          <w:sz w:val="24"/>
          <w:szCs w:val="24"/>
        </w:rPr>
        <w:t>β</w:t>
      </w:r>
      <w:r w:rsidRPr="000E5B90">
        <w:rPr>
          <w:rFonts w:ascii="Times New Roman" w:eastAsia="Times New Roman" w:hAnsi="Times New Roman" w:cs="Times New Roman"/>
          <w:bCs/>
          <w:kern w:val="2"/>
          <w:sz w:val="24"/>
          <w:szCs w:val="24"/>
        </w:rPr>
        <w:t xml:space="preserve"> positions of the Por core. </w:t>
      </w:r>
      <w:r w:rsidRPr="000E5B90">
        <w:rPr>
          <w:rFonts w:ascii="Times New Roman" w:hAnsi="Times New Roman" w:cs="Times New Roman"/>
          <w:b/>
          <w:sz w:val="24"/>
          <w:szCs w:val="24"/>
        </w:rPr>
        <w:t>c</w:t>
      </w:r>
      <w:r w:rsidRPr="000E5B90">
        <w:rPr>
          <w:rFonts w:ascii="Times New Roman" w:hAnsi="Times New Roman" w:cs="Times New Roman"/>
          <w:sz w:val="24"/>
          <w:szCs w:val="24"/>
        </w:rPr>
        <w:t>, Constant-height STM images of the corresponding structures at – 5 mV, revealing the Kondo resonance spatially localized at the ends without CH</w:t>
      </w:r>
      <w:r w:rsidRPr="000E5B9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E5B90">
        <w:rPr>
          <w:rFonts w:ascii="Times New Roman" w:hAnsi="Times New Roman" w:cs="Times New Roman"/>
          <w:sz w:val="24"/>
          <w:szCs w:val="24"/>
        </w:rPr>
        <w:t xml:space="preserve"> structures. Scale bars: 5 Å. The removal of the hydrogens was carried out by positioning the tip above the CH</w:t>
      </w:r>
      <w:r w:rsidRPr="000E5B9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E5B90">
        <w:rPr>
          <w:rFonts w:ascii="Times New Roman" w:hAnsi="Times New Roman" w:cs="Times New Roman"/>
          <w:sz w:val="24"/>
          <w:szCs w:val="24"/>
        </w:rPr>
        <w:t xml:space="preserve"> site at a typical set point of V = ‒0.1 V and I = 10 pA, followed by a tip retraction of 4 Å. Thereafter, the bias </w:t>
      </w:r>
      <w:r w:rsidR="00366549" w:rsidRPr="000E5B90">
        <w:rPr>
          <w:rFonts w:ascii="Times New Roman" w:hAnsi="Times New Roman" w:cs="Times New Roman"/>
          <w:sz w:val="24"/>
          <w:szCs w:val="24"/>
        </w:rPr>
        <w:t xml:space="preserve">voltage </w:t>
      </w:r>
      <w:r w:rsidRPr="000E5B90">
        <w:rPr>
          <w:rFonts w:ascii="Times New Roman" w:hAnsi="Times New Roman" w:cs="Times New Roman"/>
          <w:sz w:val="24"/>
          <w:szCs w:val="24"/>
        </w:rPr>
        <w:t>was ramped up to 3.4 eV until an abrupt change of the tunneling current occurred.</w:t>
      </w:r>
    </w:p>
    <w:p w14:paraId="3E6DEFA0" w14:textId="049DA168" w:rsidR="00125E1F" w:rsidRPr="000E5B90" w:rsidRDefault="00125E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5B90">
        <w:rPr>
          <w:rFonts w:ascii="Times New Roman" w:hAnsi="Times New Roman" w:cs="Times New Roman"/>
          <w:sz w:val="24"/>
          <w:szCs w:val="24"/>
        </w:rPr>
        <w:br w:type="page"/>
      </w:r>
    </w:p>
    <w:p w14:paraId="1A8E92A9" w14:textId="6A13F45B" w:rsidR="0039658E" w:rsidRPr="000E5B90" w:rsidRDefault="0083466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5B90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7A1FA698" wp14:editId="53389A84">
            <wp:extent cx="5760720" cy="2971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D2673" w14:textId="60278404" w:rsidR="0039658E" w:rsidRPr="000E5B90" w:rsidRDefault="00D83E55">
      <w:pPr>
        <w:spacing w:after="0" w:line="360" w:lineRule="auto"/>
        <w:jc w:val="both"/>
      </w:pPr>
      <w:r w:rsidRPr="000E5B90">
        <w:rPr>
          <w:rFonts w:ascii="Times New Roman" w:hAnsi="Times New Roman" w:cs="Times New Roman"/>
          <w:b/>
          <w:sz w:val="24"/>
          <w:szCs w:val="24"/>
        </w:rPr>
        <w:t>Fig. S1.2</w:t>
      </w:r>
      <w:r w:rsidRPr="000E5B90">
        <w:rPr>
          <w:rFonts w:ascii="Times New Roman" w:hAnsi="Times New Roman" w:cs="Times New Roman"/>
          <w:sz w:val="24"/>
          <w:szCs w:val="24"/>
        </w:rPr>
        <w:t xml:space="preserve"> </w:t>
      </w:r>
      <w:r w:rsidRPr="000E5B90">
        <w:rPr>
          <w:rFonts w:ascii="Times New Roman" w:hAnsi="Times New Roman" w:cs="Times New Roman"/>
          <w:b/>
          <w:sz w:val="24"/>
          <w:szCs w:val="24"/>
        </w:rPr>
        <w:t>a</w:t>
      </w:r>
      <w:r w:rsidRPr="000E5B90">
        <w:rPr>
          <w:rFonts w:ascii="Times New Roman" w:hAnsi="Times New Roman" w:cs="Times New Roman"/>
          <w:sz w:val="24"/>
          <w:szCs w:val="24"/>
        </w:rPr>
        <w:t xml:space="preserve">, STM image of a decoupled </w:t>
      </w:r>
      <w:r w:rsidRPr="000E5B90">
        <w:rPr>
          <w:rFonts w:ascii="Times New Roman" w:eastAsia="Times New Roman" w:hAnsi="Times New Roman" w:cs="Times New Roman"/>
          <w:b/>
          <w:bCs/>
          <w:kern w:val="2"/>
          <w:sz w:val="24"/>
          <w:szCs w:val="24"/>
        </w:rPr>
        <w:t>Por</w:t>
      </w:r>
      <w:r w:rsidRPr="000E5B90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vertAlign w:val="subscript"/>
        </w:rPr>
        <w:t>4</w:t>
      </w:r>
      <w:r w:rsidRPr="000E5B90">
        <w:rPr>
          <w:rFonts w:ascii="Times New Roman" w:eastAsia="Times New Roman" w:hAnsi="Times New Roman" w:cs="Times New Roman"/>
          <w:b/>
          <w:bCs/>
          <w:kern w:val="2"/>
          <w:sz w:val="24"/>
          <w:szCs w:val="24"/>
        </w:rPr>
        <w:t xml:space="preserve"> NT</w:t>
      </w:r>
      <w:r w:rsidRPr="000E5B90">
        <w:rPr>
          <w:rFonts w:ascii="Times New Roman" w:hAnsi="Times New Roman" w:cs="Times New Roman"/>
          <w:sz w:val="24"/>
          <w:szCs w:val="24"/>
        </w:rPr>
        <w:t xml:space="preserve"> (</w:t>
      </w:r>
      <w:r w:rsidR="008D66DF" w:rsidRPr="000E5B90">
        <w:rPr>
          <w:rFonts w:ascii="Times New Roman" w:hAnsi="Times New Roman" w:cs="Times New Roman"/>
          <w:sz w:val="24"/>
          <w:szCs w:val="24"/>
        </w:rPr>
        <w:t xml:space="preserve">on NaCl/Au(111), </w:t>
      </w:r>
      <w:r w:rsidRPr="000E5B90">
        <w:rPr>
          <w:rFonts w:ascii="Times New Roman" w:hAnsi="Times New Roman" w:cs="Times New Roman"/>
          <w:i/>
          <w:sz w:val="24"/>
          <w:szCs w:val="24"/>
        </w:rPr>
        <w:t>V</w:t>
      </w:r>
      <w:r w:rsidRPr="000E5B90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Pr="000E5B90">
        <w:rPr>
          <w:rFonts w:ascii="Times New Roman" w:hAnsi="Times New Roman" w:cs="Times New Roman"/>
          <w:sz w:val="24"/>
          <w:szCs w:val="24"/>
        </w:rPr>
        <w:t xml:space="preserve"> = ‒0.3 V, </w:t>
      </w:r>
      <w:r w:rsidRPr="000E5B90">
        <w:rPr>
          <w:rFonts w:ascii="Times New Roman" w:hAnsi="Times New Roman" w:cs="Times New Roman"/>
          <w:i/>
          <w:sz w:val="24"/>
          <w:szCs w:val="24"/>
        </w:rPr>
        <w:t>I</w:t>
      </w:r>
      <w:r w:rsidRPr="000E5B90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 w:rsidRPr="000E5B90">
        <w:rPr>
          <w:rFonts w:ascii="Times New Roman" w:hAnsi="Times New Roman" w:cs="Times New Roman"/>
          <w:sz w:val="24"/>
          <w:szCs w:val="24"/>
        </w:rPr>
        <w:t xml:space="preserve"> =30 pA). </w:t>
      </w:r>
      <w:r w:rsidRPr="000E5B90">
        <w:rPr>
          <w:rFonts w:ascii="Times New Roman" w:hAnsi="Times New Roman" w:cs="Times New Roman"/>
          <w:b/>
          <w:sz w:val="24"/>
          <w:szCs w:val="24"/>
        </w:rPr>
        <w:t>b</w:t>
      </w:r>
      <w:r w:rsidRPr="000E5B90">
        <w:rPr>
          <w:rFonts w:ascii="Times New Roman" w:hAnsi="Times New Roman" w:cs="Times New Roman"/>
          <w:sz w:val="24"/>
          <w:szCs w:val="24"/>
        </w:rPr>
        <w:t>, d</w:t>
      </w:r>
      <w:r w:rsidRPr="000E5B90">
        <w:rPr>
          <w:rFonts w:ascii="Times New Roman" w:hAnsi="Times New Roman" w:cs="Times New Roman"/>
          <w:i/>
          <w:sz w:val="24"/>
          <w:szCs w:val="24"/>
        </w:rPr>
        <w:t>I</w:t>
      </w:r>
      <w:r w:rsidRPr="000E5B90">
        <w:rPr>
          <w:rFonts w:ascii="Times New Roman" w:hAnsi="Times New Roman" w:cs="Times New Roman"/>
          <w:sz w:val="24"/>
          <w:szCs w:val="24"/>
        </w:rPr>
        <w:t>/d</w:t>
      </w:r>
      <w:r w:rsidRPr="000E5B90">
        <w:rPr>
          <w:rFonts w:ascii="Times New Roman" w:hAnsi="Times New Roman" w:cs="Times New Roman"/>
          <w:i/>
          <w:sz w:val="24"/>
          <w:szCs w:val="24"/>
        </w:rPr>
        <w:t>V</w:t>
      </w:r>
      <w:r w:rsidRPr="000E5B90">
        <w:rPr>
          <w:rFonts w:ascii="Times New Roman" w:hAnsi="Times New Roman" w:cs="Times New Roman"/>
          <w:sz w:val="24"/>
          <w:szCs w:val="24"/>
        </w:rPr>
        <w:t xml:space="preserve"> and simultaneously acquired current spectra recorded over the tape (spectra positions indicated by crosses in </w:t>
      </w:r>
      <w:r w:rsidRPr="000E5B90">
        <w:rPr>
          <w:rFonts w:ascii="Times New Roman" w:hAnsi="Times New Roman" w:cs="Times New Roman"/>
          <w:b/>
          <w:sz w:val="24"/>
          <w:szCs w:val="24"/>
        </w:rPr>
        <w:t>a</w:t>
      </w:r>
      <w:r w:rsidRPr="000E5B90">
        <w:rPr>
          <w:rFonts w:ascii="Times New Roman" w:hAnsi="Times New Roman" w:cs="Times New Roman"/>
          <w:sz w:val="24"/>
          <w:szCs w:val="24"/>
        </w:rPr>
        <w:t xml:space="preserve">). </w:t>
      </w:r>
      <w:r w:rsidRPr="000E5B90">
        <w:rPr>
          <w:rFonts w:ascii="Times New Roman" w:hAnsi="Times New Roman" w:cs="Times New Roman"/>
          <w:b/>
          <w:sz w:val="24"/>
          <w:szCs w:val="24"/>
        </w:rPr>
        <w:t>c</w:t>
      </w:r>
      <w:r w:rsidRPr="000E5B90">
        <w:rPr>
          <w:rFonts w:ascii="Times New Roman" w:hAnsi="Times New Roman" w:cs="Times New Roman"/>
          <w:sz w:val="24"/>
          <w:szCs w:val="24"/>
        </w:rPr>
        <w:t>, Constant-height STS maps at different bias voltages.</w:t>
      </w:r>
      <w:r w:rsidRPr="000E5B90">
        <w:rPr>
          <w:rFonts w:ascii="Times New Roman" w:hAnsi="Times New Roman" w:cs="Times New Roman"/>
          <w:b/>
          <w:sz w:val="24"/>
          <w:szCs w:val="24"/>
        </w:rPr>
        <w:t xml:space="preserve"> d</w:t>
      </w:r>
      <w:r w:rsidRPr="000E5B90">
        <w:rPr>
          <w:rFonts w:ascii="Times New Roman" w:hAnsi="Times New Roman" w:cs="Times New Roman"/>
          <w:sz w:val="24"/>
          <w:szCs w:val="24"/>
        </w:rPr>
        <w:t xml:space="preserve">, Spin-polarized DFT calculated molecular orbitals and energy levels of </w:t>
      </w:r>
      <w:r w:rsidRPr="000E5B90">
        <w:rPr>
          <w:rFonts w:ascii="Times New Roman" w:eastAsia="Times New Roman" w:hAnsi="Times New Roman" w:cs="Times New Roman"/>
          <w:b/>
          <w:bCs/>
          <w:kern w:val="2"/>
          <w:sz w:val="24"/>
          <w:szCs w:val="24"/>
        </w:rPr>
        <w:t>Por</w:t>
      </w:r>
      <w:r w:rsidRPr="000E5B90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vertAlign w:val="subscript"/>
        </w:rPr>
        <w:t>4</w:t>
      </w:r>
      <w:r w:rsidRPr="000E5B90">
        <w:rPr>
          <w:rFonts w:ascii="Times New Roman" w:eastAsia="Times New Roman" w:hAnsi="Times New Roman" w:cs="Times New Roman"/>
          <w:b/>
          <w:bCs/>
          <w:kern w:val="2"/>
          <w:sz w:val="24"/>
          <w:szCs w:val="24"/>
        </w:rPr>
        <w:t xml:space="preserve"> NT</w:t>
      </w:r>
      <w:r w:rsidRPr="000E5B90">
        <w:rPr>
          <w:rFonts w:ascii="Times New Roman" w:hAnsi="Times New Roman" w:cs="Times New Roman"/>
          <w:sz w:val="24"/>
          <w:szCs w:val="24"/>
        </w:rPr>
        <w:t xml:space="preserve"> in gas phase. There are two degenerate states for both SOMO and SUMO</w:t>
      </w:r>
      <w:r w:rsidR="008B07A4" w:rsidRPr="000E5B90">
        <w:rPr>
          <w:rFonts w:ascii="Times New Roman" w:hAnsi="Times New Roman" w:cs="Times New Roman"/>
          <w:sz w:val="24"/>
          <w:szCs w:val="24"/>
        </w:rPr>
        <w:t xml:space="preserve"> </w:t>
      </w:r>
      <w:r w:rsidRPr="000E5B90">
        <w:rPr>
          <w:rFonts w:ascii="Times New Roman" w:hAnsi="Times New Roman" w:cs="Times New Roman"/>
          <w:sz w:val="24"/>
          <w:szCs w:val="24"/>
        </w:rPr>
        <w:t>located at the ends of the tape.</w:t>
      </w:r>
    </w:p>
    <w:p w14:paraId="29D8E770" w14:textId="13246089" w:rsidR="00125E1F" w:rsidRPr="000E5B90" w:rsidRDefault="00125E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338F7B" w14:textId="77777777" w:rsidR="0039658E" w:rsidRPr="000E5B90" w:rsidRDefault="00D83E5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5B90">
        <w:rPr>
          <w:noProof/>
          <w:lang w:val="en-GB" w:eastAsia="en-GB"/>
        </w:rPr>
        <w:drawing>
          <wp:inline distT="0" distB="0" distL="0" distR="0" wp14:anchorId="0E43F9EE" wp14:editId="60D7D39C">
            <wp:extent cx="5759450" cy="31324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4025A" w14:textId="751E2CD9" w:rsidR="0039658E" w:rsidRPr="000E5B90" w:rsidRDefault="00D83E55">
      <w:pPr>
        <w:spacing w:after="0" w:line="360" w:lineRule="auto"/>
        <w:jc w:val="both"/>
      </w:pPr>
      <w:r w:rsidRPr="000E5B90">
        <w:rPr>
          <w:rFonts w:ascii="Times New Roman" w:hAnsi="Times New Roman" w:cs="Times New Roman"/>
          <w:b/>
          <w:sz w:val="24"/>
          <w:szCs w:val="24"/>
        </w:rPr>
        <w:t>Fig. S1.3</w:t>
      </w:r>
      <w:r w:rsidRPr="000E5B90">
        <w:rPr>
          <w:rFonts w:ascii="Times New Roman" w:hAnsi="Times New Roman" w:cs="Times New Roman"/>
          <w:sz w:val="24"/>
          <w:szCs w:val="24"/>
        </w:rPr>
        <w:t xml:space="preserve"> </w:t>
      </w:r>
      <w:r w:rsidRPr="000E5B90">
        <w:rPr>
          <w:rFonts w:ascii="Times New Roman" w:hAnsi="Times New Roman" w:cs="Times New Roman"/>
          <w:b/>
          <w:sz w:val="24"/>
          <w:szCs w:val="24"/>
        </w:rPr>
        <w:t>a</w:t>
      </w:r>
      <w:r w:rsidRPr="000E5B90">
        <w:rPr>
          <w:rFonts w:ascii="Times New Roman" w:hAnsi="Times New Roman" w:cs="Times New Roman"/>
          <w:sz w:val="24"/>
          <w:szCs w:val="24"/>
        </w:rPr>
        <w:t xml:space="preserve">, Model structure of an infinite Por NT in gas phase with its unit cell indicated by a rectangle. </w:t>
      </w:r>
      <w:r w:rsidRPr="000E5B90">
        <w:rPr>
          <w:rFonts w:ascii="Times New Roman" w:hAnsi="Times New Roman" w:cs="Times New Roman"/>
          <w:b/>
          <w:sz w:val="24"/>
          <w:szCs w:val="24"/>
        </w:rPr>
        <w:t>b</w:t>
      </w:r>
      <w:r w:rsidRPr="000E5B90">
        <w:rPr>
          <w:rFonts w:ascii="Times New Roman" w:hAnsi="Times New Roman" w:cs="Times New Roman"/>
          <w:sz w:val="24"/>
          <w:szCs w:val="24"/>
        </w:rPr>
        <w:t xml:space="preserve">, DFT calculated band structure of the infinite Por NT and its corresponding projected density of states. The band gap of the Por NT is determined to be 0.46 eV. </w:t>
      </w:r>
      <w:r w:rsidRPr="000E5B90">
        <w:rPr>
          <w:rFonts w:ascii="Times New Roman" w:hAnsi="Times New Roman" w:cs="Times New Roman"/>
          <w:b/>
          <w:sz w:val="24"/>
          <w:szCs w:val="24"/>
        </w:rPr>
        <w:t>c</w:t>
      </w:r>
      <w:r w:rsidRPr="000E5B90">
        <w:rPr>
          <w:rFonts w:ascii="Times New Roman" w:hAnsi="Times New Roman" w:cs="Times New Roman"/>
          <w:sz w:val="24"/>
          <w:szCs w:val="24"/>
        </w:rPr>
        <w:t>, Plots of the square of the wave functions at indicated energies.</w:t>
      </w:r>
    </w:p>
    <w:p w14:paraId="132DE7B6" w14:textId="117DBE44" w:rsidR="006900CE" w:rsidRPr="000E5B90" w:rsidRDefault="006900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5B90">
        <w:rPr>
          <w:rFonts w:ascii="Times New Roman" w:hAnsi="Times New Roman" w:cs="Times New Roman"/>
          <w:sz w:val="24"/>
          <w:szCs w:val="24"/>
        </w:rPr>
        <w:br w:type="page"/>
      </w:r>
    </w:p>
    <w:p w14:paraId="72C5A802" w14:textId="250EB735" w:rsidR="0039658E" w:rsidRPr="000E5B90" w:rsidRDefault="00D83E55" w:rsidP="006900C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B90">
        <w:rPr>
          <w:noProof/>
          <w:lang w:val="en-GB" w:eastAsia="en-GB"/>
        </w:rPr>
        <w:lastRenderedPageBreak/>
        <w:drawing>
          <wp:inline distT="0" distB="0" distL="0" distR="0" wp14:anchorId="52DDF1B2" wp14:editId="278E1454">
            <wp:extent cx="14605" cy="146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0CE" w:rsidRPr="000E5B90">
        <w:drawing>
          <wp:inline distT="0" distB="0" distL="0" distR="0" wp14:anchorId="3A092412" wp14:editId="210CD017">
            <wp:extent cx="5760720" cy="2717556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B469F" w14:textId="0CCF8BD1" w:rsidR="0039658E" w:rsidRPr="000E5B90" w:rsidRDefault="00D83E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B90">
        <w:rPr>
          <w:rFonts w:ascii="Times New Roman" w:hAnsi="Times New Roman" w:cs="Times New Roman"/>
          <w:b/>
          <w:sz w:val="24"/>
          <w:szCs w:val="24"/>
        </w:rPr>
        <w:t>Fig. S1.4</w:t>
      </w:r>
      <w:r w:rsidRPr="000E5B90">
        <w:rPr>
          <w:rFonts w:ascii="Times New Roman" w:hAnsi="Times New Roman" w:cs="Times New Roman"/>
          <w:sz w:val="24"/>
          <w:szCs w:val="24"/>
        </w:rPr>
        <w:t xml:space="preserve"> Some of the possible resonance structures of </w:t>
      </w:r>
      <w:r w:rsidRPr="000E5B90">
        <w:rPr>
          <w:rFonts w:ascii="Times New Roman" w:hAnsi="Times New Roman" w:cs="Times New Roman"/>
          <w:b/>
          <w:sz w:val="24"/>
          <w:szCs w:val="24"/>
        </w:rPr>
        <w:t>Por</w:t>
      </w:r>
      <w:r w:rsidRPr="000E5B90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0E5B90">
        <w:rPr>
          <w:rFonts w:ascii="Times New Roman" w:hAnsi="Times New Roman" w:cs="Times New Roman"/>
          <w:b/>
          <w:sz w:val="24"/>
          <w:szCs w:val="24"/>
        </w:rPr>
        <w:t xml:space="preserve"> NT</w:t>
      </w:r>
      <w:r w:rsidRPr="000E5B90">
        <w:rPr>
          <w:rFonts w:ascii="Times New Roman" w:hAnsi="Times New Roman" w:cs="Times New Roman"/>
          <w:sz w:val="24"/>
          <w:szCs w:val="24"/>
        </w:rPr>
        <w:t>.</w:t>
      </w:r>
    </w:p>
    <w:p w14:paraId="2F02B584" w14:textId="31319DC5" w:rsidR="00125E1F" w:rsidRPr="000E5B90" w:rsidRDefault="00125E1F" w:rsidP="007B2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8A80C4" w14:textId="77777777" w:rsidR="00D85256" w:rsidRPr="000E5B90" w:rsidRDefault="00D85256" w:rsidP="00D8525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5B90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drawing>
          <wp:inline distT="0" distB="0" distL="0" distR="0" wp14:anchorId="2670144D" wp14:editId="40308337">
            <wp:extent cx="5667712" cy="2576286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board 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809" cy="257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AB49F" w14:textId="467BB24E" w:rsidR="00D85256" w:rsidRPr="000E5B90" w:rsidRDefault="00D85256" w:rsidP="00D85256">
      <w:pPr>
        <w:spacing w:after="0" w:line="360" w:lineRule="auto"/>
        <w:jc w:val="both"/>
        <w:rPr>
          <w:lang w:val="en-GB"/>
        </w:rPr>
      </w:pPr>
      <w:r w:rsidRPr="000E5B90">
        <w:rPr>
          <w:rFonts w:ascii="Times New Roman" w:hAnsi="Times New Roman" w:cs="Times New Roman"/>
          <w:b/>
          <w:sz w:val="24"/>
          <w:szCs w:val="24"/>
        </w:rPr>
        <w:t>Fig. S1.5</w:t>
      </w:r>
      <w:r w:rsidRPr="000E5B90">
        <w:rPr>
          <w:rFonts w:ascii="Times New Roman" w:hAnsi="Times New Roman" w:cs="Times New Roman"/>
          <w:sz w:val="24"/>
          <w:szCs w:val="24"/>
        </w:rPr>
        <w:t xml:space="preserve"> </w:t>
      </w:r>
      <w:r w:rsidRPr="000E5B90">
        <w:rPr>
          <w:rFonts w:ascii="Times New Roman" w:hAnsi="Times New Roman" w:cs="Times New Roman"/>
          <w:b/>
          <w:sz w:val="24"/>
          <w:szCs w:val="24"/>
        </w:rPr>
        <w:t>Frontier orbital gap of Por NT on Au(111). a</w:t>
      </w:r>
      <w:r w:rsidRPr="000E5B90">
        <w:rPr>
          <w:rFonts w:ascii="Times New Roman" w:hAnsi="Times New Roman" w:cs="Times New Roman"/>
          <w:sz w:val="24"/>
          <w:szCs w:val="24"/>
        </w:rPr>
        <w:t xml:space="preserve"> STM image of </w:t>
      </w:r>
      <w:r w:rsidRPr="000E5B90">
        <w:rPr>
          <w:rFonts w:ascii="Times New Roman" w:hAnsi="Times New Roman" w:cs="Times New Roman"/>
          <w:b/>
          <w:sz w:val="24"/>
          <w:szCs w:val="24"/>
        </w:rPr>
        <w:t>Por</w:t>
      </w:r>
      <w:r w:rsidRPr="000E5B90">
        <w:rPr>
          <w:rFonts w:ascii="Times New Roman" w:hAnsi="Times New Roman" w:cs="Times New Roman"/>
          <w:b/>
          <w:sz w:val="24"/>
          <w:szCs w:val="24"/>
          <w:vertAlign w:val="subscript"/>
        </w:rPr>
        <w:t>6</w:t>
      </w:r>
      <w:r w:rsidRPr="000E5B90">
        <w:rPr>
          <w:rFonts w:ascii="Times New Roman" w:hAnsi="Times New Roman" w:cs="Times New Roman"/>
          <w:b/>
          <w:sz w:val="24"/>
          <w:szCs w:val="24"/>
        </w:rPr>
        <w:t xml:space="preserve"> NT</w:t>
      </w:r>
      <w:r w:rsidRPr="000E5B90">
        <w:rPr>
          <w:rFonts w:ascii="Times New Roman" w:hAnsi="Times New Roman" w:cs="Times New Roman"/>
          <w:sz w:val="24"/>
          <w:szCs w:val="24"/>
        </w:rPr>
        <w:t xml:space="preserve"> on Au(111) (</w:t>
      </w:r>
      <w:r w:rsidRPr="000E5B90">
        <w:rPr>
          <w:rFonts w:ascii="Times New Roman" w:hAnsi="Times New Roman" w:cs="Times New Roman"/>
          <w:i/>
          <w:sz w:val="24"/>
          <w:szCs w:val="24"/>
        </w:rPr>
        <w:t>V</w:t>
      </w:r>
      <w:r w:rsidRPr="000E5B90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Pr="000E5B90">
        <w:rPr>
          <w:rFonts w:ascii="Times New Roman" w:hAnsi="Times New Roman" w:cs="Times New Roman"/>
          <w:sz w:val="24"/>
          <w:szCs w:val="24"/>
        </w:rPr>
        <w:t xml:space="preserve"> = ‒0.4 V, </w:t>
      </w:r>
      <w:r w:rsidRPr="000E5B90">
        <w:rPr>
          <w:rFonts w:ascii="Times New Roman" w:hAnsi="Times New Roman" w:cs="Times New Roman"/>
          <w:i/>
          <w:sz w:val="24"/>
          <w:szCs w:val="24"/>
        </w:rPr>
        <w:t>I</w:t>
      </w:r>
      <w:r w:rsidRPr="000E5B90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 w:rsidRPr="000E5B90">
        <w:rPr>
          <w:rFonts w:ascii="Times New Roman" w:hAnsi="Times New Roman" w:cs="Times New Roman"/>
          <w:sz w:val="24"/>
          <w:szCs w:val="24"/>
        </w:rPr>
        <w:t xml:space="preserve"> = 220 pA). </w:t>
      </w:r>
      <w:r w:rsidRPr="000E5B90">
        <w:rPr>
          <w:rFonts w:ascii="Times New Roman" w:hAnsi="Times New Roman" w:cs="Times New Roman"/>
          <w:b/>
          <w:sz w:val="24"/>
          <w:szCs w:val="24"/>
        </w:rPr>
        <w:t>b</w:t>
      </w:r>
      <w:r w:rsidRPr="000E5B90">
        <w:rPr>
          <w:rFonts w:ascii="Times New Roman" w:hAnsi="Times New Roman" w:cs="Times New Roman"/>
          <w:sz w:val="24"/>
          <w:szCs w:val="24"/>
        </w:rPr>
        <w:t xml:space="preserve">, </w:t>
      </w:r>
      <w:r w:rsidR="00366549" w:rsidRPr="000E5B90">
        <w:rPr>
          <w:rFonts w:ascii="Times New Roman" w:hAnsi="Times New Roman" w:cs="Times New Roman"/>
          <w:sz w:val="24"/>
          <w:szCs w:val="24"/>
        </w:rPr>
        <w:t xml:space="preserve">Differential conductance </w:t>
      </w:r>
      <w:r w:rsidRPr="000E5B90">
        <w:rPr>
          <w:rFonts w:ascii="Times New Roman" w:hAnsi="Times New Roman" w:cs="Times New Roman"/>
          <w:sz w:val="24"/>
          <w:szCs w:val="24"/>
        </w:rPr>
        <w:t>d</w:t>
      </w:r>
      <w:r w:rsidRPr="000E5B90">
        <w:rPr>
          <w:rFonts w:ascii="Times New Roman" w:hAnsi="Times New Roman" w:cs="Times New Roman"/>
          <w:i/>
          <w:sz w:val="24"/>
          <w:szCs w:val="24"/>
        </w:rPr>
        <w:t>I</w:t>
      </w:r>
      <w:r w:rsidRPr="000E5B90">
        <w:rPr>
          <w:rFonts w:ascii="Times New Roman" w:hAnsi="Times New Roman" w:cs="Times New Roman"/>
          <w:sz w:val="24"/>
          <w:szCs w:val="24"/>
        </w:rPr>
        <w:t>/d</w:t>
      </w:r>
      <w:r w:rsidRPr="000E5B90">
        <w:rPr>
          <w:rFonts w:ascii="Times New Roman" w:hAnsi="Times New Roman" w:cs="Times New Roman"/>
          <w:i/>
          <w:sz w:val="24"/>
          <w:szCs w:val="24"/>
        </w:rPr>
        <w:t>V</w:t>
      </w:r>
      <w:r w:rsidRPr="000E5B90">
        <w:rPr>
          <w:rFonts w:ascii="Times New Roman" w:hAnsi="Times New Roman" w:cs="Times New Roman"/>
          <w:sz w:val="24"/>
          <w:szCs w:val="24"/>
        </w:rPr>
        <w:t xml:space="preserve"> spectrum revealing the gap of the Por NT (</w:t>
      </w:r>
      <w:r w:rsidRPr="000E5B90">
        <w:rPr>
          <w:rFonts w:ascii="Times New Roman" w:hAnsi="Times New Roman" w:cs="Times New Roman"/>
          <w:i/>
          <w:sz w:val="24"/>
          <w:szCs w:val="24"/>
        </w:rPr>
        <w:t>V</w:t>
      </w:r>
      <w:r w:rsidRPr="000E5B90">
        <w:rPr>
          <w:rFonts w:ascii="Times New Roman" w:hAnsi="Times New Roman" w:cs="Times New Roman"/>
          <w:sz w:val="24"/>
          <w:szCs w:val="24"/>
          <w:vertAlign w:val="subscript"/>
        </w:rPr>
        <w:t>mod</w:t>
      </w:r>
      <w:r w:rsidRPr="000E5B90">
        <w:rPr>
          <w:rFonts w:ascii="Times New Roman" w:hAnsi="Times New Roman" w:cs="Times New Roman"/>
          <w:sz w:val="24"/>
          <w:szCs w:val="24"/>
        </w:rPr>
        <w:t xml:space="preserve"> = 20 mV) (spectrum </w:t>
      </w:r>
      <w:r w:rsidR="00366549" w:rsidRPr="000E5B90">
        <w:rPr>
          <w:rFonts w:ascii="Times New Roman" w:hAnsi="Times New Roman" w:cs="Times New Roman"/>
          <w:sz w:val="24"/>
          <w:szCs w:val="24"/>
        </w:rPr>
        <w:t xml:space="preserve">acquisition </w:t>
      </w:r>
      <w:r w:rsidRPr="000E5B90">
        <w:rPr>
          <w:rFonts w:ascii="Times New Roman" w:hAnsi="Times New Roman" w:cs="Times New Roman"/>
          <w:sz w:val="24"/>
          <w:szCs w:val="24"/>
        </w:rPr>
        <w:t xml:space="preserve">position indicated by red cross in </w:t>
      </w:r>
      <w:r w:rsidRPr="000E5B90">
        <w:rPr>
          <w:rFonts w:ascii="Times New Roman" w:hAnsi="Times New Roman" w:cs="Times New Roman"/>
          <w:b/>
          <w:sz w:val="24"/>
          <w:szCs w:val="24"/>
        </w:rPr>
        <w:t>a</w:t>
      </w:r>
      <w:r w:rsidRPr="000E5B90">
        <w:rPr>
          <w:rFonts w:ascii="Times New Roman" w:hAnsi="Times New Roman" w:cs="Times New Roman"/>
          <w:sz w:val="24"/>
          <w:szCs w:val="24"/>
        </w:rPr>
        <w:t>). The frontier orbitals</w:t>
      </w:r>
      <w:r w:rsidRPr="000E5B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5B90">
        <w:rPr>
          <w:rFonts w:ascii="Times New Roman" w:hAnsi="Times New Roman" w:cs="Times New Roman"/>
          <w:sz w:val="24"/>
          <w:szCs w:val="24"/>
        </w:rPr>
        <w:t>are indicated by red arrows.</w:t>
      </w:r>
      <w:r w:rsidRPr="000E5B90">
        <w:rPr>
          <w:rFonts w:ascii="Times New Roman" w:hAnsi="Times New Roman" w:cs="Times New Roman"/>
          <w:b/>
          <w:sz w:val="24"/>
          <w:szCs w:val="24"/>
        </w:rPr>
        <w:t xml:space="preserve"> c</w:t>
      </w:r>
      <w:r w:rsidRPr="000E5B90">
        <w:rPr>
          <w:rFonts w:ascii="Times New Roman" w:hAnsi="Times New Roman" w:cs="Times New Roman"/>
          <w:sz w:val="24"/>
          <w:szCs w:val="24"/>
        </w:rPr>
        <w:t>, Constant-current d</w:t>
      </w:r>
      <w:r w:rsidRPr="000E5B90">
        <w:rPr>
          <w:rFonts w:ascii="Times New Roman" w:hAnsi="Times New Roman" w:cs="Times New Roman"/>
          <w:i/>
          <w:sz w:val="24"/>
          <w:szCs w:val="24"/>
        </w:rPr>
        <w:t>I</w:t>
      </w:r>
      <w:r w:rsidRPr="000E5B90">
        <w:rPr>
          <w:rFonts w:ascii="Times New Roman" w:hAnsi="Times New Roman" w:cs="Times New Roman"/>
          <w:sz w:val="24"/>
          <w:szCs w:val="24"/>
        </w:rPr>
        <w:t>/d</w:t>
      </w:r>
      <w:r w:rsidRPr="000E5B90">
        <w:rPr>
          <w:rFonts w:ascii="Times New Roman" w:hAnsi="Times New Roman" w:cs="Times New Roman"/>
          <w:i/>
          <w:sz w:val="24"/>
          <w:szCs w:val="24"/>
        </w:rPr>
        <w:t>V</w:t>
      </w:r>
      <w:r w:rsidRPr="000E5B90">
        <w:rPr>
          <w:rFonts w:ascii="Times New Roman" w:hAnsi="Times New Roman" w:cs="Times New Roman"/>
          <w:sz w:val="24"/>
          <w:szCs w:val="24"/>
        </w:rPr>
        <w:t xml:space="preserve"> maps of </w:t>
      </w:r>
      <w:r w:rsidRPr="000E5B90">
        <w:rPr>
          <w:rFonts w:ascii="Times New Roman" w:hAnsi="Times New Roman" w:cs="Times New Roman"/>
          <w:b/>
          <w:sz w:val="24"/>
          <w:szCs w:val="24"/>
        </w:rPr>
        <w:t>Por</w:t>
      </w:r>
      <w:r w:rsidRPr="000E5B90">
        <w:rPr>
          <w:rFonts w:ascii="Times New Roman" w:hAnsi="Times New Roman" w:cs="Times New Roman"/>
          <w:b/>
          <w:sz w:val="24"/>
          <w:szCs w:val="24"/>
          <w:vertAlign w:val="subscript"/>
        </w:rPr>
        <w:t>6</w:t>
      </w:r>
      <w:r w:rsidRPr="000E5B90">
        <w:rPr>
          <w:rFonts w:ascii="Times New Roman" w:hAnsi="Times New Roman" w:cs="Times New Roman"/>
          <w:b/>
          <w:sz w:val="24"/>
          <w:szCs w:val="24"/>
        </w:rPr>
        <w:t xml:space="preserve"> NT</w:t>
      </w:r>
      <w:r w:rsidRPr="000E5B90">
        <w:rPr>
          <w:rFonts w:ascii="Times New Roman" w:hAnsi="Times New Roman" w:cs="Times New Roman"/>
          <w:sz w:val="24"/>
          <w:szCs w:val="24"/>
        </w:rPr>
        <w:t xml:space="preserve"> at different bias voltages, with -0.2 V and 0.7 V corresponding to HOMO and LUMO, respectively. </w:t>
      </w:r>
      <w:r w:rsidRPr="000E5B90">
        <w:rPr>
          <w:rFonts w:ascii="Times New Roman" w:hAnsi="Times New Roman" w:cs="Times New Roman"/>
          <w:b/>
          <w:sz w:val="24"/>
          <w:szCs w:val="24"/>
        </w:rPr>
        <w:t>d</w:t>
      </w:r>
      <w:r w:rsidRPr="000E5B90">
        <w:rPr>
          <w:rFonts w:ascii="Times New Roman" w:hAnsi="Times New Roman" w:cs="Times New Roman"/>
          <w:sz w:val="24"/>
          <w:szCs w:val="24"/>
        </w:rPr>
        <w:t xml:space="preserve">, DFT optimized structural model of an infinite Por NT. The periodic unit cell is marked by black lines. </w:t>
      </w:r>
      <w:r w:rsidRPr="000E5B90">
        <w:rPr>
          <w:rFonts w:ascii="Times New Roman" w:hAnsi="Times New Roman" w:cs="Times New Roman"/>
          <w:b/>
          <w:sz w:val="24"/>
          <w:szCs w:val="24"/>
        </w:rPr>
        <w:t>e</w:t>
      </w:r>
      <w:r w:rsidRPr="000E5B90">
        <w:rPr>
          <w:rFonts w:ascii="Times New Roman" w:hAnsi="Times New Roman" w:cs="Times New Roman"/>
          <w:sz w:val="24"/>
          <w:szCs w:val="24"/>
        </w:rPr>
        <w:t xml:space="preserve">, DFT simulated topographic STM image of Por NT in </w:t>
      </w:r>
      <w:r w:rsidRPr="000E5B90">
        <w:rPr>
          <w:rFonts w:ascii="Times New Roman" w:hAnsi="Times New Roman" w:cs="Times New Roman"/>
          <w:b/>
          <w:sz w:val="24"/>
          <w:szCs w:val="24"/>
        </w:rPr>
        <w:t>d</w:t>
      </w:r>
      <w:r w:rsidRPr="000E5B90">
        <w:rPr>
          <w:rFonts w:ascii="Times New Roman" w:hAnsi="Times New Roman" w:cs="Times New Roman"/>
          <w:sz w:val="24"/>
          <w:szCs w:val="24"/>
        </w:rPr>
        <w:t xml:space="preserve">. </w:t>
      </w:r>
      <w:r w:rsidRPr="000E5B90">
        <w:rPr>
          <w:rFonts w:ascii="Times New Roman" w:hAnsi="Times New Roman" w:cs="Times New Roman"/>
          <w:b/>
          <w:sz w:val="24"/>
          <w:szCs w:val="24"/>
        </w:rPr>
        <w:t>f</w:t>
      </w:r>
      <w:r w:rsidRPr="000E5B90">
        <w:rPr>
          <w:rFonts w:ascii="Times New Roman" w:hAnsi="Times New Roman" w:cs="Times New Roman"/>
          <w:sz w:val="24"/>
          <w:szCs w:val="24"/>
        </w:rPr>
        <w:t xml:space="preserve">, </w:t>
      </w:r>
      <w:r w:rsidR="00366549" w:rsidRPr="000E5B90">
        <w:rPr>
          <w:rFonts w:ascii="Times New Roman" w:hAnsi="Times New Roman" w:cs="Times New Roman"/>
          <w:sz w:val="24"/>
          <w:szCs w:val="24"/>
        </w:rPr>
        <w:t>P</w:t>
      </w:r>
      <w:r w:rsidRPr="000E5B90">
        <w:rPr>
          <w:rFonts w:ascii="Times New Roman" w:hAnsi="Times New Roman" w:cs="Times New Roman"/>
          <w:sz w:val="24"/>
          <w:szCs w:val="24"/>
        </w:rPr>
        <w:t xml:space="preserve">rojected density of states </w:t>
      </w:r>
      <w:r w:rsidR="00366549" w:rsidRPr="000E5B90">
        <w:rPr>
          <w:rFonts w:ascii="Times New Roman" w:hAnsi="Times New Roman" w:cs="Times New Roman"/>
          <w:sz w:val="24"/>
          <w:szCs w:val="24"/>
        </w:rPr>
        <w:t xml:space="preserve">(PDOS) </w:t>
      </w:r>
      <w:r w:rsidRPr="000E5B90">
        <w:rPr>
          <w:rFonts w:ascii="Times New Roman" w:hAnsi="Times New Roman" w:cs="Times New Roman"/>
          <w:sz w:val="24"/>
          <w:szCs w:val="24"/>
        </w:rPr>
        <w:t xml:space="preserve">of Por NT on Au(111) computed by DFT. The red arrows indicate the energy positions of the valence band edge (VBE) and conduction band edge (CBE). </w:t>
      </w:r>
      <w:r w:rsidRPr="000E5B90">
        <w:rPr>
          <w:rFonts w:ascii="Times New Roman" w:hAnsi="Times New Roman" w:cs="Times New Roman"/>
          <w:b/>
          <w:sz w:val="24"/>
          <w:szCs w:val="24"/>
        </w:rPr>
        <w:t>g</w:t>
      </w:r>
      <w:r w:rsidRPr="000E5B90">
        <w:rPr>
          <w:rFonts w:ascii="Times New Roman" w:hAnsi="Times New Roman" w:cs="Times New Roman"/>
          <w:sz w:val="24"/>
          <w:szCs w:val="24"/>
        </w:rPr>
        <w:t>, DFT simulated d</w:t>
      </w:r>
      <w:r w:rsidRPr="000E5B90">
        <w:rPr>
          <w:rFonts w:ascii="Times New Roman" w:hAnsi="Times New Roman" w:cs="Times New Roman"/>
          <w:i/>
          <w:sz w:val="24"/>
          <w:szCs w:val="24"/>
        </w:rPr>
        <w:t>I</w:t>
      </w:r>
      <w:r w:rsidRPr="000E5B90">
        <w:rPr>
          <w:rFonts w:ascii="Times New Roman" w:hAnsi="Times New Roman" w:cs="Times New Roman"/>
          <w:sz w:val="24"/>
          <w:szCs w:val="24"/>
        </w:rPr>
        <w:t>/d</w:t>
      </w:r>
      <w:r w:rsidRPr="000E5B90">
        <w:rPr>
          <w:rFonts w:ascii="Times New Roman" w:hAnsi="Times New Roman" w:cs="Times New Roman"/>
          <w:i/>
          <w:sz w:val="24"/>
          <w:szCs w:val="24"/>
        </w:rPr>
        <w:t>V</w:t>
      </w:r>
      <w:r w:rsidRPr="000E5B90">
        <w:rPr>
          <w:rFonts w:ascii="Times New Roman" w:hAnsi="Times New Roman" w:cs="Times New Roman"/>
          <w:sz w:val="24"/>
          <w:szCs w:val="24"/>
        </w:rPr>
        <w:t xml:space="preserve"> maps of the surface supported Por NT at different energies including the VBE (-0.16 V) and CBE (0.56 V), corresponding to the maps in the central parts of the finite Por NT in </w:t>
      </w:r>
      <w:r w:rsidRPr="000E5B90">
        <w:rPr>
          <w:rFonts w:ascii="Times New Roman" w:hAnsi="Times New Roman" w:cs="Times New Roman"/>
          <w:b/>
          <w:sz w:val="24"/>
          <w:szCs w:val="24"/>
        </w:rPr>
        <w:t>c</w:t>
      </w:r>
      <w:r w:rsidRPr="000E5B90">
        <w:rPr>
          <w:rFonts w:ascii="Times New Roman" w:hAnsi="Times New Roman" w:cs="Times New Roman"/>
          <w:sz w:val="24"/>
          <w:szCs w:val="24"/>
        </w:rPr>
        <w:t>.</w:t>
      </w:r>
    </w:p>
    <w:p w14:paraId="2A187AD3" w14:textId="4B2F0FAC" w:rsidR="00D85256" w:rsidRPr="000E5B90" w:rsidRDefault="00D85256" w:rsidP="00D85256">
      <w:pPr>
        <w:spacing w:after="0" w:line="360" w:lineRule="auto"/>
        <w:jc w:val="both"/>
      </w:pPr>
      <w:r w:rsidRPr="000E5B90">
        <w:rPr>
          <w:rFonts w:ascii="Times New Roman" w:hAnsi="Times New Roman" w:cs="Times New Roman"/>
          <w:sz w:val="24"/>
          <w:szCs w:val="24"/>
        </w:rPr>
        <w:lastRenderedPageBreak/>
        <w:t>Experimentally, d</w:t>
      </w:r>
      <w:r w:rsidRPr="000E5B90">
        <w:rPr>
          <w:rFonts w:ascii="Times New Roman" w:hAnsi="Times New Roman" w:cs="Times New Roman"/>
          <w:i/>
          <w:sz w:val="24"/>
          <w:szCs w:val="24"/>
        </w:rPr>
        <w:t>I</w:t>
      </w:r>
      <w:r w:rsidRPr="000E5B90">
        <w:rPr>
          <w:rFonts w:ascii="Times New Roman" w:hAnsi="Times New Roman" w:cs="Times New Roman"/>
          <w:sz w:val="24"/>
          <w:szCs w:val="24"/>
        </w:rPr>
        <w:t>/d</w:t>
      </w:r>
      <w:r w:rsidRPr="000E5B90">
        <w:rPr>
          <w:rFonts w:ascii="Times New Roman" w:hAnsi="Times New Roman" w:cs="Times New Roman"/>
          <w:i/>
          <w:sz w:val="24"/>
          <w:szCs w:val="24"/>
        </w:rPr>
        <w:t>V</w:t>
      </w:r>
      <w:r w:rsidRPr="000E5B90">
        <w:rPr>
          <w:rFonts w:ascii="Times New Roman" w:hAnsi="Times New Roman" w:cs="Times New Roman"/>
          <w:sz w:val="24"/>
          <w:szCs w:val="24"/>
        </w:rPr>
        <w:t xml:space="preserve"> spectra were recorded on the central part of a finite</w:t>
      </w:r>
      <w:r w:rsidR="00366549" w:rsidRPr="000E5B90">
        <w:rPr>
          <w:rFonts w:ascii="Times New Roman" w:hAnsi="Times New Roman" w:cs="Times New Roman"/>
          <w:sz w:val="24"/>
          <w:szCs w:val="24"/>
        </w:rPr>
        <w:t>-length</w:t>
      </w:r>
      <w:r w:rsidRPr="000E5B90">
        <w:rPr>
          <w:rFonts w:ascii="Times New Roman" w:hAnsi="Times New Roman" w:cs="Times New Roman"/>
          <w:sz w:val="24"/>
          <w:szCs w:val="24"/>
        </w:rPr>
        <w:t xml:space="preserve"> Por NT, namely </w:t>
      </w:r>
      <w:r w:rsidRPr="000E5B90">
        <w:rPr>
          <w:rFonts w:ascii="Times New Roman" w:hAnsi="Times New Roman" w:cs="Times New Roman"/>
          <w:b/>
          <w:sz w:val="24"/>
          <w:szCs w:val="24"/>
        </w:rPr>
        <w:t>Por</w:t>
      </w:r>
      <w:r w:rsidRPr="000E5B90">
        <w:rPr>
          <w:rFonts w:ascii="Times New Roman" w:hAnsi="Times New Roman" w:cs="Times New Roman"/>
          <w:b/>
          <w:sz w:val="24"/>
          <w:szCs w:val="24"/>
          <w:vertAlign w:val="subscript"/>
        </w:rPr>
        <w:t>6</w:t>
      </w:r>
      <w:r w:rsidRPr="000E5B90">
        <w:rPr>
          <w:rFonts w:ascii="Times New Roman" w:hAnsi="Times New Roman" w:cs="Times New Roman"/>
          <w:b/>
          <w:sz w:val="24"/>
          <w:szCs w:val="24"/>
        </w:rPr>
        <w:t xml:space="preserve"> NT</w:t>
      </w:r>
      <w:r w:rsidRPr="000E5B90">
        <w:rPr>
          <w:rFonts w:ascii="Times New Roman" w:hAnsi="Times New Roman" w:cs="Times New Roman"/>
          <w:sz w:val="24"/>
          <w:szCs w:val="24"/>
        </w:rPr>
        <w:t xml:space="preserve">, to access its "bulk" electronic properties on Au(111) (Figs. </w:t>
      </w:r>
      <w:r w:rsidR="006511E1" w:rsidRPr="000E5B90">
        <w:rPr>
          <w:rFonts w:ascii="Times New Roman" w:hAnsi="Times New Roman" w:cs="Times New Roman"/>
          <w:sz w:val="24"/>
          <w:szCs w:val="24"/>
        </w:rPr>
        <w:t>S1.</w:t>
      </w:r>
      <w:r w:rsidRPr="000E5B90">
        <w:rPr>
          <w:rFonts w:ascii="Times New Roman" w:hAnsi="Times New Roman" w:cs="Times New Roman"/>
          <w:sz w:val="24"/>
          <w:szCs w:val="24"/>
        </w:rPr>
        <w:t xml:space="preserve">5a and </w:t>
      </w:r>
      <w:r w:rsidR="006511E1" w:rsidRPr="000E5B90">
        <w:rPr>
          <w:rFonts w:ascii="Times New Roman" w:hAnsi="Times New Roman" w:cs="Times New Roman"/>
          <w:sz w:val="24"/>
          <w:szCs w:val="24"/>
        </w:rPr>
        <w:t>S1.</w:t>
      </w:r>
      <w:r w:rsidRPr="000E5B90">
        <w:rPr>
          <w:rFonts w:ascii="Times New Roman" w:hAnsi="Times New Roman" w:cs="Times New Roman"/>
          <w:sz w:val="24"/>
          <w:szCs w:val="24"/>
        </w:rPr>
        <w:t>5b). Two broad peaks in the negative and positive bias range are discerned. By recording d</w:t>
      </w:r>
      <w:r w:rsidRPr="000E5B90">
        <w:rPr>
          <w:rFonts w:ascii="Times New Roman" w:hAnsi="Times New Roman" w:cs="Times New Roman"/>
          <w:i/>
          <w:sz w:val="24"/>
          <w:szCs w:val="24"/>
        </w:rPr>
        <w:t>I</w:t>
      </w:r>
      <w:r w:rsidRPr="000E5B90">
        <w:rPr>
          <w:rFonts w:ascii="Times New Roman" w:hAnsi="Times New Roman" w:cs="Times New Roman"/>
          <w:sz w:val="24"/>
          <w:szCs w:val="24"/>
        </w:rPr>
        <w:t>/d</w:t>
      </w:r>
      <w:r w:rsidRPr="000E5B90">
        <w:rPr>
          <w:rFonts w:ascii="Times New Roman" w:hAnsi="Times New Roman" w:cs="Times New Roman"/>
          <w:i/>
          <w:sz w:val="24"/>
          <w:szCs w:val="24"/>
        </w:rPr>
        <w:t>V</w:t>
      </w:r>
      <w:r w:rsidRPr="000E5B90">
        <w:rPr>
          <w:rFonts w:ascii="Times New Roman" w:hAnsi="Times New Roman" w:cs="Times New Roman"/>
          <w:sz w:val="24"/>
          <w:szCs w:val="24"/>
        </w:rPr>
        <w:t xml:space="preserve"> maps at the characteristic bias voltages, we could clearly see the density of states distributing along the NT (Fig. </w:t>
      </w:r>
      <w:r w:rsidR="006511E1" w:rsidRPr="000E5B90">
        <w:rPr>
          <w:rFonts w:ascii="Times New Roman" w:hAnsi="Times New Roman" w:cs="Times New Roman"/>
          <w:sz w:val="24"/>
          <w:szCs w:val="24"/>
        </w:rPr>
        <w:t>S1.</w:t>
      </w:r>
      <w:r w:rsidRPr="000E5B90">
        <w:rPr>
          <w:rFonts w:ascii="Times New Roman" w:hAnsi="Times New Roman" w:cs="Times New Roman"/>
          <w:sz w:val="24"/>
          <w:szCs w:val="24"/>
        </w:rPr>
        <w:t xml:space="preserve">5c). The DFT calculated projected density of states (PDOS) of an infinite Por NT on Au(111) nicely reproduces the two broad peaks at negative and positive energies, respectively (Fig. </w:t>
      </w:r>
      <w:r w:rsidR="006511E1" w:rsidRPr="000E5B90">
        <w:rPr>
          <w:rFonts w:ascii="Times New Roman" w:hAnsi="Times New Roman" w:cs="Times New Roman"/>
          <w:sz w:val="24"/>
          <w:szCs w:val="24"/>
        </w:rPr>
        <w:t>S1.</w:t>
      </w:r>
      <w:r w:rsidRPr="000E5B90">
        <w:rPr>
          <w:rFonts w:ascii="Times New Roman" w:hAnsi="Times New Roman" w:cs="Times New Roman"/>
          <w:sz w:val="24"/>
          <w:szCs w:val="24"/>
        </w:rPr>
        <w:t>5f). Moreover, the simulated d</w:t>
      </w:r>
      <w:r w:rsidRPr="000E5B90">
        <w:rPr>
          <w:rFonts w:ascii="Times New Roman" w:hAnsi="Times New Roman" w:cs="Times New Roman"/>
          <w:i/>
          <w:sz w:val="24"/>
          <w:szCs w:val="24"/>
        </w:rPr>
        <w:t>I</w:t>
      </w:r>
      <w:r w:rsidRPr="000E5B90">
        <w:rPr>
          <w:rFonts w:ascii="Times New Roman" w:hAnsi="Times New Roman" w:cs="Times New Roman"/>
          <w:sz w:val="24"/>
          <w:szCs w:val="24"/>
        </w:rPr>
        <w:t>/d</w:t>
      </w:r>
      <w:r w:rsidRPr="000E5B90">
        <w:rPr>
          <w:rFonts w:ascii="Times New Roman" w:hAnsi="Times New Roman" w:cs="Times New Roman"/>
          <w:i/>
          <w:sz w:val="24"/>
          <w:szCs w:val="24"/>
        </w:rPr>
        <w:t>V</w:t>
      </w:r>
      <w:r w:rsidRPr="000E5B90">
        <w:rPr>
          <w:rFonts w:ascii="Times New Roman" w:hAnsi="Times New Roman" w:cs="Times New Roman"/>
          <w:sz w:val="24"/>
          <w:szCs w:val="24"/>
        </w:rPr>
        <w:t xml:space="preserve"> maps at the corresponding energies with respect to their experimental counterparts show remarkable agreement with the "bulk" parts of the experimental d</w:t>
      </w:r>
      <w:r w:rsidRPr="000E5B90">
        <w:rPr>
          <w:rFonts w:ascii="Times New Roman" w:hAnsi="Times New Roman" w:cs="Times New Roman"/>
          <w:i/>
          <w:sz w:val="24"/>
          <w:szCs w:val="24"/>
        </w:rPr>
        <w:t>I</w:t>
      </w:r>
      <w:r w:rsidRPr="000E5B90">
        <w:rPr>
          <w:rFonts w:ascii="Times New Roman" w:hAnsi="Times New Roman" w:cs="Times New Roman"/>
          <w:sz w:val="24"/>
          <w:szCs w:val="24"/>
        </w:rPr>
        <w:t>/d</w:t>
      </w:r>
      <w:r w:rsidRPr="000E5B90">
        <w:rPr>
          <w:rFonts w:ascii="Times New Roman" w:hAnsi="Times New Roman" w:cs="Times New Roman"/>
          <w:i/>
          <w:sz w:val="24"/>
          <w:szCs w:val="24"/>
        </w:rPr>
        <w:t>V</w:t>
      </w:r>
      <w:r w:rsidRPr="000E5B90">
        <w:rPr>
          <w:rFonts w:ascii="Times New Roman" w:hAnsi="Times New Roman" w:cs="Times New Roman"/>
          <w:sz w:val="24"/>
          <w:szCs w:val="24"/>
        </w:rPr>
        <w:t xml:space="preserve"> maps (Fig. </w:t>
      </w:r>
      <w:r w:rsidR="006511E1" w:rsidRPr="000E5B90">
        <w:rPr>
          <w:rFonts w:ascii="Times New Roman" w:hAnsi="Times New Roman" w:cs="Times New Roman"/>
          <w:sz w:val="24"/>
          <w:szCs w:val="24"/>
        </w:rPr>
        <w:t>S1.</w:t>
      </w:r>
      <w:r w:rsidRPr="000E5B90">
        <w:rPr>
          <w:rFonts w:ascii="Times New Roman" w:hAnsi="Times New Roman" w:cs="Times New Roman"/>
          <w:sz w:val="24"/>
          <w:szCs w:val="24"/>
        </w:rPr>
        <w:t xml:space="preserve">5g). These observations suggest that the frontier orbitals of the </w:t>
      </w:r>
      <w:r w:rsidR="00366549" w:rsidRPr="000E5B90">
        <w:rPr>
          <w:rFonts w:ascii="Times New Roman" w:hAnsi="Times New Roman" w:cs="Times New Roman"/>
          <w:sz w:val="24"/>
          <w:szCs w:val="24"/>
        </w:rPr>
        <w:t xml:space="preserve">Por NT </w:t>
      </w:r>
      <w:r w:rsidRPr="000E5B90">
        <w:rPr>
          <w:rFonts w:ascii="Times New Roman" w:hAnsi="Times New Roman" w:cs="Times New Roman"/>
          <w:sz w:val="24"/>
          <w:szCs w:val="24"/>
        </w:rPr>
        <w:t xml:space="preserve">on Au(111) are at ‒0.2 V and 0.7 V, respectively, and therefore a frontier orbital gap of 0.9 eV on Au(111). We note that the experimentally determined gaps of longer Por NTs are nearly the same, namely 0.9 eV for </w:t>
      </w:r>
      <w:r w:rsidRPr="000E5B90">
        <w:rPr>
          <w:rFonts w:ascii="Times New Roman" w:hAnsi="Times New Roman" w:cs="Times New Roman"/>
          <w:sz w:val="24"/>
          <w:szCs w:val="24"/>
          <w:lang w:eastAsia="zh-CN"/>
        </w:rPr>
        <w:t>the</w:t>
      </w:r>
      <w:r w:rsidRPr="000E5B90">
        <w:rPr>
          <w:rFonts w:ascii="Times New Roman" w:hAnsi="Times New Roman" w:cs="Times New Roman"/>
          <w:sz w:val="24"/>
          <w:szCs w:val="24"/>
        </w:rPr>
        <w:t xml:space="preserve"> </w:t>
      </w:r>
      <w:r w:rsidRPr="000E5B90">
        <w:rPr>
          <w:rFonts w:ascii="Times New Roman" w:hAnsi="Times New Roman" w:cs="Times New Roman"/>
          <w:b/>
          <w:sz w:val="24"/>
          <w:szCs w:val="24"/>
        </w:rPr>
        <w:t>Por</w:t>
      </w:r>
      <w:r w:rsidRPr="000E5B90">
        <w:rPr>
          <w:rFonts w:ascii="Times New Roman" w:hAnsi="Times New Roman" w:cs="Times New Roman"/>
          <w:b/>
          <w:sz w:val="24"/>
          <w:szCs w:val="24"/>
          <w:vertAlign w:val="subscript"/>
        </w:rPr>
        <w:t>12</w:t>
      </w:r>
      <w:r w:rsidRPr="000E5B90">
        <w:rPr>
          <w:rFonts w:ascii="Times New Roman" w:hAnsi="Times New Roman" w:cs="Times New Roman"/>
          <w:b/>
          <w:sz w:val="24"/>
          <w:szCs w:val="24"/>
        </w:rPr>
        <w:t xml:space="preserve"> NT</w:t>
      </w:r>
      <w:r w:rsidRPr="000E5B90">
        <w:rPr>
          <w:rFonts w:ascii="Times New Roman" w:hAnsi="Times New Roman" w:cs="Times New Roman"/>
          <w:sz w:val="24"/>
          <w:szCs w:val="24"/>
        </w:rPr>
        <w:t xml:space="preserve">. We have also calculated the </w:t>
      </w:r>
      <w:r w:rsidR="00366549" w:rsidRPr="000E5B90">
        <w:rPr>
          <w:rFonts w:ascii="Times New Roman" w:hAnsi="Times New Roman" w:cs="Times New Roman"/>
          <w:sz w:val="24"/>
          <w:szCs w:val="24"/>
        </w:rPr>
        <w:t xml:space="preserve">length </w:t>
      </w:r>
      <w:r w:rsidRPr="000E5B90">
        <w:rPr>
          <w:rFonts w:ascii="Times New Roman" w:hAnsi="Times New Roman" w:cs="Times New Roman"/>
          <w:sz w:val="24"/>
          <w:szCs w:val="24"/>
        </w:rPr>
        <w:t xml:space="preserve">evolution of the gap with DFT (Supplementary Fig. </w:t>
      </w:r>
      <w:r w:rsidR="006511E1" w:rsidRPr="000E5B90">
        <w:rPr>
          <w:rFonts w:ascii="Times New Roman" w:hAnsi="Times New Roman" w:cs="Times New Roman"/>
          <w:sz w:val="24"/>
          <w:szCs w:val="24"/>
        </w:rPr>
        <w:t>S1.6</w:t>
      </w:r>
      <w:r w:rsidRPr="000E5B90">
        <w:rPr>
          <w:rFonts w:ascii="Times New Roman" w:hAnsi="Times New Roman" w:cs="Times New Roman"/>
          <w:sz w:val="24"/>
          <w:szCs w:val="24"/>
        </w:rPr>
        <w:t>). Excluding the spin-polarized SOMO and SUMO states</w:t>
      </w:r>
      <w:r w:rsidR="00366549" w:rsidRPr="000E5B90">
        <w:rPr>
          <w:rFonts w:ascii="Times New Roman" w:hAnsi="Times New Roman" w:cs="Times New Roman"/>
          <w:sz w:val="24"/>
          <w:szCs w:val="24"/>
        </w:rPr>
        <w:t xml:space="preserve"> localized at the tape ends</w:t>
      </w:r>
      <w:r w:rsidRPr="000E5B90">
        <w:rPr>
          <w:rFonts w:ascii="Times New Roman" w:hAnsi="Times New Roman" w:cs="Times New Roman"/>
          <w:sz w:val="24"/>
          <w:szCs w:val="24"/>
        </w:rPr>
        <w:t xml:space="preserve">, the bulk gap decreases from 0.71 eV for </w:t>
      </w:r>
      <w:r w:rsidRPr="000E5B90">
        <w:rPr>
          <w:rFonts w:ascii="Times New Roman" w:hAnsi="Times New Roman" w:cs="Times New Roman"/>
          <w:b/>
          <w:sz w:val="24"/>
          <w:szCs w:val="24"/>
        </w:rPr>
        <w:t>Por</w:t>
      </w:r>
      <w:r w:rsidRPr="000E5B90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0E5B90">
        <w:rPr>
          <w:rFonts w:ascii="Times New Roman" w:hAnsi="Times New Roman" w:cs="Times New Roman"/>
          <w:b/>
          <w:sz w:val="24"/>
          <w:szCs w:val="24"/>
        </w:rPr>
        <w:t xml:space="preserve"> NT</w:t>
      </w:r>
      <w:r w:rsidRPr="000E5B90">
        <w:rPr>
          <w:rFonts w:ascii="Times New Roman" w:hAnsi="Times New Roman" w:cs="Times New Roman"/>
          <w:sz w:val="24"/>
          <w:szCs w:val="24"/>
        </w:rPr>
        <w:t xml:space="preserve"> to 0.50 eV for </w:t>
      </w:r>
      <w:r w:rsidRPr="000E5B90">
        <w:rPr>
          <w:rFonts w:ascii="Times New Roman" w:hAnsi="Times New Roman" w:cs="Times New Roman"/>
          <w:b/>
          <w:sz w:val="24"/>
          <w:szCs w:val="24"/>
        </w:rPr>
        <w:t>Por</w:t>
      </w:r>
      <w:r w:rsidRPr="000E5B90">
        <w:rPr>
          <w:rFonts w:ascii="Times New Roman" w:hAnsi="Times New Roman" w:cs="Times New Roman"/>
          <w:b/>
          <w:sz w:val="24"/>
          <w:szCs w:val="24"/>
          <w:vertAlign w:val="subscript"/>
        </w:rPr>
        <w:t>6</w:t>
      </w:r>
      <w:r w:rsidRPr="000E5B90">
        <w:rPr>
          <w:rFonts w:ascii="Times New Roman" w:hAnsi="Times New Roman" w:cs="Times New Roman"/>
          <w:b/>
          <w:sz w:val="24"/>
          <w:szCs w:val="24"/>
        </w:rPr>
        <w:t xml:space="preserve"> NT</w:t>
      </w:r>
      <w:r w:rsidRPr="000E5B90">
        <w:rPr>
          <w:rFonts w:ascii="Times New Roman" w:hAnsi="Times New Roman" w:cs="Times New Roman"/>
          <w:sz w:val="24"/>
          <w:szCs w:val="24"/>
        </w:rPr>
        <w:t>, converging to</w:t>
      </w:r>
      <w:r w:rsidR="00366549" w:rsidRPr="000E5B90">
        <w:rPr>
          <w:rFonts w:ascii="Times New Roman" w:hAnsi="Times New Roman" w:cs="Times New Roman"/>
          <w:sz w:val="24"/>
          <w:szCs w:val="24"/>
        </w:rPr>
        <w:t>wards</w:t>
      </w:r>
      <w:r w:rsidRPr="000E5B90">
        <w:rPr>
          <w:rFonts w:ascii="Times New Roman" w:hAnsi="Times New Roman" w:cs="Times New Roman"/>
          <w:sz w:val="24"/>
          <w:szCs w:val="24"/>
        </w:rPr>
        <w:t xml:space="preserve"> the value of the infinite Por NT (0.46 eV). If we also consider the SOMO and SUMO </w:t>
      </w:r>
      <w:r w:rsidR="00366549" w:rsidRPr="000E5B90">
        <w:rPr>
          <w:rFonts w:ascii="Times New Roman" w:hAnsi="Times New Roman" w:cs="Times New Roman"/>
          <w:sz w:val="24"/>
          <w:szCs w:val="24"/>
        </w:rPr>
        <w:t xml:space="preserve">end </w:t>
      </w:r>
      <w:r w:rsidRPr="000E5B90">
        <w:rPr>
          <w:rFonts w:ascii="Times New Roman" w:hAnsi="Times New Roman" w:cs="Times New Roman"/>
          <w:sz w:val="24"/>
          <w:szCs w:val="24"/>
        </w:rPr>
        <w:t xml:space="preserve">states, the frontier gap decreases from 0.46 eV to 0.36 eV for </w:t>
      </w:r>
      <w:r w:rsidRPr="000E5B90">
        <w:rPr>
          <w:rFonts w:ascii="Times New Roman" w:hAnsi="Times New Roman" w:cs="Times New Roman"/>
          <w:b/>
          <w:sz w:val="24"/>
          <w:szCs w:val="24"/>
        </w:rPr>
        <w:t>Por</w:t>
      </w:r>
      <w:r w:rsidRPr="000E5B90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0E5B90">
        <w:rPr>
          <w:rFonts w:ascii="Times New Roman" w:hAnsi="Times New Roman" w:cs="Times New Roman"/>
          <w:b/>
          <w:sz w:val="24"/>
          <w:szCs w:val="24"/>
        </w:rPr>
        <w:t xml:space="preserve"> NT</w:t>
      </w:r>
      <w:r w:rsidRPr="000E5B90">
        <w:rPr>
          <w:rFonts w:ascii="Times New Roman" w:hAnsi="Times New Roman" w:cs="Times New Roman"/>
          <w:sz w:val="24"/>
          <w:szCs w:val="24"/>
        </w:rPr>
        <w:t xml:space="preserve"> to </w:t>
      </w:r>
      <w:r w:rsidRPr="000E5B90">
        <w:rPr>
          <w:rFonts w:ascii="Times New Roman" w:hAnsi="Times New Roman" w:cs="Times New Roman"/>
          <w:b/>
          <w:sz w:val="24"/>
          <w:szCs w:val="24"/>
        </w:rPr>
        <w:t>Por</w:t>
      </w:r>
      <w:r w:rsidRPr="000E5B90">
        <w:rPr>
          <w:rFonts w:ascii="Times New Roman" w:hAnsi="Times New Roman" w:cs="Times New Roman"/>
          <w:b/>
          <w:sz w:val="24"/>
          <w:szCs w:val="24"/>
          <w:vertAlign w:val="subscript"/>
        </w:rPr>
        <w:t>6</w:t>
      </w:r>
      <w:r w:rsidRPr="000E5B90">
        <w:rPr>
          <w:rFonts w:ascii="Times New Roman" w:hAnsi="Times New Roman" w:cs="Times New Roman"/>
          <w:b/>
          <w:sz w:val="24"/>
          <w:szCs w:val="24"/>
        </w:rPr>
        <w:t xml:space="preserve"> NT</w:t>
      </w:r>
      <w:r w:rsidRPr="000E5B90">
        <w:rPr>
          <w:rFonts w:ascii="Times New Roman" w:hAnsi="Times New Roman" w:cs="Times New Roman"/>
          <w:sz w:val="24"/>
          <w:szCs w:val="24"/>
        </w:rPr>
        <w:t xml:space="preserve">, respectively. We note that a qualitative comparison of these values with the experimental ones would need to take the band gap underestimation of DFT and the screening by the </w:t>
      </w:r>
      <w:r w:rsidR="00366549" w:rsidRPr="000E5B90">
        <w:rPr>
          <w:rFonts w:ascii="Times New Roman" w:hAnsi="Times New Roman" w:cs="Times New Roman"/>
          <w:sz w:val="24"/>
          <w:szCs w:val="24"/>
        </w:rPr>
        <w:t xml:space="preserve">underlying </w:t>
      </w:r>
      <w:r w:rsidRPr="000E5B90">
        <w:rPr>
          <w:rFonts w:ascii="Times New Roman" w:hAnsi="Times New Roman" w:cs="Times New Roman"/>
          <w:sz w:val="24"/>
          <w:szCs w:val="24"/>
        </w:rPr>
        <w:t>metal substrate into account</w:t>
      </w:r>
      <w:r w:rsidR="001204EB" w:rsidRPr="000E5B9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E5B90">
        <w:rPr>
          <w:rFonts w:ascii="Times New Roman" w:hAnsi="Times New Roman" w:cs="Times New Roman"/>
          <w:sz w:val="24"/>
          <w:szCs w:val="24"/>
        </w:rPr>
        <w:t>.</w:t>
      </w:r>
    </w:p>
    <w:p w14:paraId="5CFC74D3" w14:textId="7F4F7486" w:rsidR="00125E1F" w:rsidRPr="000E5B90" w:rsidRDefault="00125E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DA55FC" w14:textId="0843D68B" w:rsidR="0039658E" w:rsidRPr="000E5B90" w:rsidRDefault="00D83E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B90">
        <w:rPr>
          <w:noProof/>
          <w:lang w:val="en-GB" w:eastAsia="en-GB"/>
        </w:rPr>
        <w:drawing>
          <wp:anchor distT="0" distB="0" distL="0" distR="0" simplePos="0" relativeHeight="8" behindDoc="0" locked="0" layoutInCell="0" allowOverlap="1" wp14:anchorId="5ECAD759" wp14:editId="26B463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2048510"/>
            <wp:effectExtent l="0" t="0" r="0" b="0"/>
            <wp:wrapSquare wrapText="largest"/>
            <wp:docPr id="7" name="Imag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5B90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D85256" w:rsidRPr="000E5B90">
        <w:rPr>
          <w:rFonts w:ascii="Times New Roman" w:hAnsi="Times New Roman" w:cs="Times New Roman"/>
          <w:b/>
          <w:sz w:val="24"/>
          <w:szCs w:val="24"/>
        </w:rPr>
        <w:t>S1.6</w:t>
      </w:r>
      <w:r w:rsidRPr="000E5B90">
        <w:rPr>
          <w:rFonts w:ascii="Times New Roman" w:hAnsi="Times New Roman" w:cs="Times New Roman"/>
          <w:sz w:val="24"/>
          <w:szCs w:val="24"/>
        </w:rPr>
        <w:t xml:space="preserve"> Spin-polarized DFT calculated energy levels for Por NTs in the gas phase. </w:t>
      </w:r>
      <w:r w:rsidR="008B07A4" w:rsidRPr="000E5B90">
        <w:rPr>
          <w:rFonts w:ascii="Times New Roman" w:hAnsi="Times New Roman" w:cs="Times New Roman"/>
          <w:sz w:val="24"/>
          <w:szCs w:val="24"/>
        </w:rPr>
        <w:t xml:space="preserve">The spin-polarized </w:t>
      </w:r>
      <w:r w:rsidRPr="000E5B90">
        <w:rPr>
          <w:rFonts w:ascii="Times New Roman" w:hAnsi="Times New Roman" w:cs="Times New Roman"/>
          <w:sz w:val="24"/>
          <w:szCs w:val="24"/>
        </w:rPr>
        <w:t xml:space="preserve">SUMO and </w:t>
      </w:r>
      <w:bookmarkStart w:id="0" w:name="_GoBack"/>
      <w:bookmarkEnd w:id="0"/>
      <w:r w:rsidRPr="000E5B90">
        <w:rPr>
          <w:rFonts w:ascii="Times New Roman" w:hAnsi="Times New Roman" w:cs="Times New Roman"/>
          <w:sz w:val="24"/>
          <w:szCs w:val="24"/>
        </w:rPr>
        <w:t xml:space="preserve">SOMO states are </w:t>
      </w:r>
      <w:r w:rsidR="008B07A4" w:rsidRPr="000E5B90">
        <w:rPr>
          <w:rFonts w:ascii="Times New Roman" w:hAnsi="Times New Roman" w:cs="Times New Roman"/>
          <w:sz w:val="24"/>
          <w:szCs w:val="24"/>
        </w:rPr>
        <w:t>labeled</w:t>
      </w:r>
      <w:r w:rsidRPr="000E5B90">
        <w:rPr>
          <w:rFonts w:ascii="Times New Roman" w:hAnsi="Times New Roman" w:cs="Times New Roman"/>
          <w:sz w:val="24"/>
          <w:szCs w:val="24"/>
        </w:rPr>
        <w:t xml:space="preserve">. Here the spin-polarized states at the ends are </w:t>
      </w:r>
      <w:r w:rsidR="008B07A4" w:rsidRPr="000E5B90">
        <w:rPr>
          <w:rFonts w:ascii="Times New Roman" w:hAnsi="Times New Roman" w:cs="Times New Roman"/>
          <w:sz w:val="24"/>
          <w:szCs w:val="24"/>
        </w:rPr>
        <w:t xml:space="preserve">all </w:t>
      </w:r>
      <w:r w:rsidRPr="000E5B90">
        <w:rPr>
          <w:rFonts w:ascii="Times New Roman" w:hAnsi="Times New Roman" w:cs="Times New Roman"/>
          <w:sz w:val="24"/>
          <w:szCs w:val="24"/>
        </w:rPr>
        <w:t xml:space="preserve">antiferromagnetically coupled. </w:t>
      </w:r>
      <w:r w:rsidR="008B07A4" w:rsidRPr="000E5B90">
        <w:rPr>
          <w:rFonts w:ascii="Times New Roman" w:hAnsi="Times New Roman" w:cs="Times New Roman"/>
          <w:sz w:val="24"/>
          <w:szCs w:val="24"/>
        </w:rPr>
        <w:t xml:space="preserve">We </w:t>
      </w:r>
      <w:r w:rsidR="00366549" w:rsidRPr="000E5B90">
        <w:rPr>
          <w:rFonts w:ascii="Times New Roman" w:hAnsi="Times New Roman" w:cs="Times New Roman"/>
          <w:sz w:val="24"/>
          <w:szCs w:val="24"/>
        </w:rPr>
        <w:t xml:space="preserve">find </w:t>
      </w:r>
      <w:r w:rsidR="008B07A4" w:rsidRPr="000E5B90">
        <w:rPr>
          <w:rFonts w:ascii="Times New Roman" w:hAnsi="Times New Roman" w:cs="Times New Roman"/>
          <w:sz w:val="24"/>
          <w:szCs w:val="24"/>
        </w:rPr>
        <w:t>that t</w:t>
      </w:r>
      <w:r w:rsidRPr="000E5B90">
        <w:rPr>
          <w:rFonts w:ascii="Times New Roman" w:hAnsi="Times New Roman" w:cs="Times New Roman"/>
          <w:sz w:val="24"/>
          <w:szCs w:val="24"/>
        </w:rPr>
        <w:t xml:space="preserve">he SOMO-SUMO energy gap </w:t>
      </w:r>
      <w:r w:rsidR="00366549" w:rsidRPr="000E5B90">
        <w:rPr>
          <w:rFonts w:ascii="Times New Roman" w:hAnsi="Times New Roman" w:cs="Times New Roman"/>
          <w:sz w:val="24"/>
          <w:szCs w:val="24"/>
        </w:rPr>
        <w:t xml:space="preserve">is </w:t>
      </w:r>
      <w:r w:rsidRPr="000E5B90">
        <w:rPr>
          <w:rFonts w:ascii="Times New Roman" w:hAnsi="Times New Roman" w:cs="Times New Roman"/>
          <w:sz w:val="24"/>
          <w:szCs w:val="24"/>
        </w:rPr>
        <w:t>constant (0.46 eV)</w:t>
      </w:r>
      <w:r w:rsidR="008B07A4" w:rsidRPr="000E5B90">
        <w:rPr>
          <w:rFonts w:ascii="Times New Roman" w:hAnsi="Times New Roman" w:cs="Times New Roman"/>
          <w:sz w:val="24"/>
          <w:szCs w:val="24"/>
        </w:rPr>
        <w:t xml:space="preserve"> for all tape</w:t>
      </w:r>
      <w:r w:rsidR="00366549" w:rsidRPr="000E5B90">
        <w:rPr>
          <w:rFonts w:ascii="Times New Roman" w:hAnsi="Times New Roman" w:cs="Times New Roman"/>
          <w:sz w:val="24"/>
          <w:szCs w:val="24"/>
        </w:rPr>
        <w:t xml:space="preserve"> lengths investigated</w:t>
      </w:r>
      <w:r w:rsidR="008B07A4" w:rsidRPr="000E5B90">
        <w:rPr>
          <w:rFonts w:ascii="Times New Roman" w:hAnsi="Times New Roman" w:cs="Times New Roman"/>
          <w:sz w:val="24"/>
          <w:szCs w:val="24"/>
        </w:rPr>
        <w:t>, reflecting the localized nature of the spin-polarized end states</w:t>
      </w:r>
      <w:r w:rsidRPr="000E5B90">
        <w:rPr>
          <w:rFonts w:ascii="Times New Roman" w:hAnsi="Times New Roman" w:cs="Times New Roman"/>
          <w:sz w:val="24"/>
          <w:szCs w:val="24"/>
        </w:rPr>
        <w:t xml:space="preserve">. As the </w:t>
      </w:r>
      <w:r w:rsidR="008B07A4" w:rsidRPr="000E5B90">
        <w:rPr>
          <w:rFonts w:ascii="Times New Roman" w:hAnsi="Times New Roman" w:cs="Times New Roman"/>
          <w:sz w:val="24"/>
          <w:szCs w:val="24"/>
        </w:rPr>
        <w:t>length</w:t>
      </w:r>
      <w:r w:rsidRPr="000E5B90">
        <w:rPr>
          <w:rFonts w:ascii="Times New Roman" w:hAnsi="Times New Roman" w:cs="Times New Roman"/>
          <w:sz w:val="24"/>
          <w:szCs w:val="24"/>
        </w:rPr>
        <w:t xml:space="preserve"> of the NT increases the </w:t>
      </w:r>
      <w:r w:rsidR="00366549" w:rsidRPr="000E5B90">
        <w:rPr>
          <w:rFonts w:ascii="Times New Roman" w:hAnsi="Times New Roman" w:cs="Times New Roman"/>
          <w:sz w:val="24"/>
          <w:szCs w:val="24"/>
        </w:rPr>
        <w:t xml:space="preserve">bulk </w:t>
      </w:r>
      <w:r w:rsidR="006B215F" w:rsidRPr="000E5B90">
        <w:rPr>
          <w:rFonts w:ascii="Times New Roman" w:hAnsi="Times New Roman" w:cs="Times New Roman"/>
          <w:sz w:val="24"/>
          <w:szCs w:val="24"/>
        </w:rPr>
        <w:t xml:space="preserve">HOMO-LUMO </w:t>
      </w:r>
      <w:r w:rsidRPr="000E5B90">
        <w:rPr>
          <w:rFonts w:ascii="Times New Roman" w:hAnsi="Times New Roman" w:cs="Times New Roman"/>
          <w:sz w:val="24"/>
          <w:szCs w:val="24"/>
        </w:rPr>
        <w:t xml:space="preserve">gap </w:t>
      </w:r>
      <w:r w:rsidR="00366549" w:rsidRPr="000E5B90">
        <w:rPr>
          <w:rFonts w:ascii="Times New Roman" w:hAnsi="Times New Roman" w:cs="Times New Roman"/>
          <w:sz w:val="24"/>
          <w:szCs w:val="24"/>
        </w:rPr>
        <w:t>shrinks</w:t>
      </w:r>
      <w:r w:rsidR="008B07A4" w:rsidRPr="000E5B90">
        <w:rPr>
          <w:rFonts w:ascii="Times New Roman" w:hAnsi="Times New Roman" w:cs="Times New Roman"/>
          <w:sz w:val="24"/>
          <w:szCs w:val="24"/>
        </w:rPr>
        <w:t xml:space="preserve">, </w:t>
      </w:r>
      <w:r w:rsidR="00366549" w:rsidRPr="000E5B90">
        <w:rPr>
          <w:rFonts w:ascii="Times New Roman" w:hAnsi="Times New Roman" w:cs="Times New Roman"/>
          <w:sz w:val="24"/>
          <w:szCs w:val="24"/>
        </w:rPr>
        <w:t xml:space="preserve">and </w:t>
      </w:r>
      <w:r w:rsidRPr="000E5B90">
        <w:rPr>
          <w:rFonts w:ascii="Times New Roman" w:hAnsi="Times New Roman" w:cs="Times New Roman"/>
          <w:sz w:val="24"/>
          <w:szCs w:val="24"/>
        </w:rPr>
        <w:t>f</w:t>
      </w:r>
      <w:r w:rsidR="008B07A4" w:rsidRPr="000E5B90">
        <w:rPr>
          <w:rFonts w:ascii="Times New Roman" w:hAnsi="Times New Roman" w:cs="Times New Roman"/>
          <w:sz w:val="24"/>
          <w:szCs w:val="24"/>
        </w:rPr>
        <w:t>rom</w:t>
      </w:r>
      <w:r w:rsidRPr="000E5B90">
        <w:rPr>
          <w:rFonts w:ascii="Times New Roman" w:hAnsi="Times New Roman" w:cs="Times New Roman"/>
          <w:sz w:val="24"/>
          <w:szCs w:val="24"/>
        </w:rPr>
        <w:t xml:space="preserve"> </w:t>
      </w:r>
      <w:r w:rsidRPr="000E5B90">
        <w:rPr>
          <w:rFonts w:ascii="Times New Roman" w:hAnsi="Times New Roman" w:cs="Times New Roman"/>
          <w:b/>
          <w:sz w:val="24"/>
          <w:szCs w:val="24"/>
        </w:rPr>
        <w:t>Por</w:t>
      </w:r>
      <w:r w:rsidRPr="000E5B90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Pr="000E5B90">
        <w:rPr>
          <w:rFonts w:ascii="Times New Roman" w:hAnsi="Times New Roman" w:cs="Times New Roman"/>
          <w:b/>
          <w:sz w:val="24"/>
          <w:szCs w:val="24"/>
        </w:rPr>
        <w:t xml:space="preserve"> NT</w:t>
      </w:r>
      <w:r w:rsidRPr="000E5B90">
        <w:rPr>
          <w:rFonts w:ascii="Times New Roman" w:hAnsi="Times New Roman" w:cs="Times New Roman"/>
          <w:sz w:val="24"/>
          <w:szCs w:val="24"/>
        </w:rPr>
        <w:t xml:space="preserve"> </w:t>
      </w:r>
      <w:r w:rsidR="008B07A4" w:rsidRPr="000E5B90">
        <w:rPr>
          <w:rFonts w:ascii="Times New Roman" w:hAnsi="Times New Roman" w:cs="Times New Roman"/>
          <w:sz w:val="24"/>
          <w:szCs w:val="24"/>
        </w:rPr>
        <w:t>on</w:t>
      </w:r>
      <w:r w:rsidR="00366549" w:rsidRPr="000E5B90">
        <w:rPr>
          <w:rFonts w:ascii="Times New Roman" w:hAnsi="Times New Roman" w:cs="Times New Roman"/>
          <w:sz w:val="24"/>
          <w:szCs w:val="24"/>
        </w:rPr>
        <w:t>wards</w:t>
      </w:r>
      <w:r w:rsidR="008B07A4" w:rsidRPr="000E5B90">
        <w:rPr>
          <w:rFonts w:ascii="Times New Roman" w:hAnsi="Times New Roman" w:cs="Times New Roman"/>
          <w:sz w:val="24"/>
          <w:szCs w:val="24"/>
        </w:rPr>
        <w:t xml:space="preserve"> </w:t>
      </w:r>
      <w:r w:rsidRPr="000E5B90">
        <w:rPr>
          <w:rFonts w:ascii="Times New Roman" w:hAnsi="Times New Roman" w:cs="Times New Roman"/>
          <w:sz w:val="24"/>
          <w:szCs w:val="24"/>
        </w:rPr>
        <w:t xml:space="preserve">the HOMO </w:t>
      </w:r>
      <w:r w:rsidR="00366549" w:rsidRPr="000E5B90">
        <w:rPr>
          <w:rFonts w:ascii="Times New Roman" w:hAnsi="Times New Roman" w:cs="Times New Roman"/>
          <w:sz w:val="24"/>
          <w:szCs w:val="24"/>
        </w:rPr>
        <w:t xml:space="preserve">moves energetically beyond </w:t>
      </w:r>
      <w:r w:rsidRPr="000E5B90">
        <w:rPr>
          <w:rFonts w:ascii="Times New Roman" w:hAnsi="Times New Roman" w:cs="Times New Roman"/>
          <w:sz w:val="24"/>
          <w:szCs w:val="24"/>
        </w:rPr>
        <w:t>the SOMO</w:t>
      </w:r>
      <w:r w:rsidR="008B07A4" w:rsidRPr="000E5B90">
        <w:rPr>
          <w:rFonts w:ascii="Times New Roman" w:hAnsi="Times New Roman" w:cs="Times New Roman"/>
          <w:sz w:val="24"/>
          <w:szCs w:val="24"/>
        </w:rPr>
        <w:t xml:space="preserve"> </w:t>
      </w:r>
      <w:r w:rsidRPr="000E5B90">
        <w:rPr>
          <w:rFonts w:ascii="Times New Roman" w:hAnsi="Times New Roman" w:cs="Times New Roman"/>
          <w:sz w:val="24"/>
          <w:szCs w:val="24"/>
        </w:rPr>
        <w:t xml:space="preserve">which is no longer the </w:t>
      </w:r>
      <w:r w:rsidR="006B215F" w:rsidRPr="000E5B90">
        <w:rPr>
          <w:rFonts w:ascii="Times New Roman" w:hAnsi="Times New Roman" w:cs="Times New Roman"/>
          <w:sz w:val="24"/>
          <w:szCs w:val="24"/>
        </w:rPr>
        <w:t xml:space="preserve">most </w:t>
      </w:r>
      <w:r w:rsidRPr="000E5B90">
        <w:rPr>
          <w:rFonts w:ascii="Times New Roman" w:hAnsi="Times New Roman" w:cs="Times New Roman"/>
          <w:sz w:val="24"/>
          <w:szCs w:val="24"/>
        </w:rPr>
        <w:t>frontier orbital.</w:t>
      </w:r>
    </w:p>
    <w:p w14:paraId="29211CA9" w14:textId="78F42409" w:rsidR="00BF460B" w:rsidRPr="000E5B90" w:rsidRDefault="00BF460B" w:rsidP="00BF460B">
      <w:pPr>
        <w:rPr>
          <w:rFonts w:ascii="Times New Roman" w:hAnsi="Times New Roman" w:cs="Times New Roman"/>
          <w:b/>
          <w:sz w:val="24"/>
          <w:szCs w:val="24"/>
        </w:rPr>
      </w:pPr>
      <w:r w:rsidRPr="000E5B90">
        <w:rPr>
          <w:rFonts w:ascii="Times New Roman" w:hAnsi="Times New Roman" w:cs="Times New Roman"/>
          <w:b/>
          <w:sz w:val="24"/>
          <w:szCs w:val="24"/>
        </w:rPr>
        <w:lastRenderedPageBreak/>
        <w:t>References</w:t>
      </w:r>
    </w:p>
    <w:p w14:paraId="3070327B" w14:textId="43B0326A" w:rsidR="001204EB" w:rsidRPr="008B07A4" w:rsidRDefault="00BF460B" w:rsidP="00BF460B">
      <w:pPr>
        <w:spacing w:after="0" w:line="360" w:lineRule="auto"/>
        <w:jc w:val="both"/>
      </w:pPr>
      <w:r w:rsidRPr="000E5B90">
        <w:rPr>
          <w:rFonts w:ascii="Times New Roman" w:hAnsi="Times New Roman" w:cs="Times New Roman"/>
          <w:sz w:val="24"/>
          <w:szCs w:val="24"/>
        </w:rPr>
        <w:t>[1] J. B. Neaton, M</w:t>
      </w:r>
      <w:r w:rsidR="00FF1485" w:rsidRPr="000E5B90">
        <w:rPr>
          <w:rFonts w:ascii="Times New Roman" w:hAnsi="Times New Roman" w:cs="Times New Roman"/>
          <w:sz w:val="24"/>
          <w:szCs w:val="24"/>
        </w:rPr>
        <w:t>.</w:t>
      </w:r>
      <w:r w:rsidRPr="000E5B90">
        <w:rPr>
          <w:rFonts w:ascii="Times New Roman" w:hAnsi="Times New Roman" w:cs="Times New Roman"/>
          <w:sz w:val="24"/>
          <w:szCs w:val="24"/>
        </w:rPr>
        <w:t xml:space="preserve"> S. Hybertsen, and S</w:t>
      </w:r>
      <w:r w:rsidR="00FF1485" w:rsidRPr="000E5B90">
        <w:rPr>
          <w:rFonts w:ascii="Times New Roman" w:hAnsi="Times New Roman" w:cs="Times New Roman"/>
          <w:sz w:val="24"/>
          <w:szCs w:val="24"/>
        </w:rPr>
        <w:t>.</w:t>
      </w:r>
      <w:r w:rsidRPr="000E5B90">
        <w:rPr>
          <w:rFonts w:ascii="Times New Roman" w:hAnsi="Times New Roman" w:cs="Times New Roman"/>
          <w:sz w:val="24"/>
          <w:szCs w:val="24"/>
        </w:rPr>
        <w:t xml:space="preserve"> G. Louie, </w:t>
      </w:r>
      <w:r w:rsidRPr="000E5B90">
        <w:rPr>
          <w:rFonts w:ascii="Times New Roman" w:hAnsi="Times New Roman" w:cs="Times New Roman"/>
          <w:i/>
          <w:sz w:val="24"/>
          <w:szCs w:val="24"/>
        </w:rPr>
        <w:t>Phys. Rev. Lett.</w:t>
      </w:r>
      <w:r w:rsidRPr="000E5B90">
        <w:rPr>
          <w:rFonts w:ascii="Times New Roman" w:hAnsi="Times New Roman" w:cs="Times New Roman"/>
          <w:sz w:val="24"/>
          <w:szCs w:val="24"/>
        </w:rPr>
        <w:t xml:space="preserve"> </w:t>
      </w:r>
      <w:r w:rsidRPr="000E5B90">
        <w:rPr>
          <w:rFonts w:ascii="Times New Roman" w:hAnsi="Times New Roman" w:cs="Times New Roman"/>
          <w:b/>
          <w:sz w:val="24"/>
          <w:szCs w:val="24"/>
        </w:rPr>
        <w:t>2006</w:t>
      </w:r>
      <w:r w:rsidRPr="000E5B90">
        <w:rPr>
          <w:rFonts w:ascii="Times New Roman" w:hAnsi="Times New Roman" w:cs="Times New Roman"/>
          <w:sz w:val="24"/>
          <w:szCs w:val="24"/>
        </w:rPr>
        <w:t xml:space="preserve">, </w:t>
      </w:r>
      <w:r w:rsidRPr="000E5B90">
        <w:rPr>
          <w:rFonts w:ascii="Times New Roman" w:hAnsi="Times New Roman" w:cs="Times New Roman"/>
          <w:i/>
          <w:sz w:val="24"/>
          <w:szCs w:val="24"/>
        </w:rPr>
        <w:t>97</w:t>
      </w:r>
      <w:r w:rsidRPr="000E5B90">
        <w:rPr>
          <w:rFonts w:ascii="Times New Roman" w:hAnsi="Times New Roman" w:cs="Times New Roman"/>
          <w:sz w:val="24"/>
          <w:szCs w:val="24"/>
        </w:rPr>
        <w:t>, 216405</w:t>
      </w:r>
      <w:r w:rsidR="006900CE" w:rsidRPr="000E5B90">
        <w:rPr>
          <w:rFonts w:ascii="Times New Roman" w:hAnsi="Times New Roman" w:cs="Times New Roman"/>
          <w:sz w:val="24"/>
          <w:szCs w:val="24"/>
        </w:rPr>
        <w:t>.</w:t>
      </w:r>
    </w:p>
    <w:sectPr w:rsidR="001204EB" w:rsidRPr="008B07A4">
      <w:footerReference w:type="default" r:id="rId14"/>
      <w:pgSz w:w="11906" w:h="16838"/>
      <w:pgMar w:top="1417" w:right="1417" w:bottom="1134" w:left="1417" w:header="0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6CB17D" w14:textId="77777777" w:rsidR="00BB2271" w:rsidRDefault="00BB2271">
      <w:pPr>
        <w:spacing w:after="0" w:line="240" w:lineRule="auto"/>
      </w:pPr>
      <w:r>
        <w:separator/>
      </w:r>
    </w:p>
  </w:endnote>
  <w:endnote w:type="continuationSeparator" w:id="0">
    <w:p w14:paraId="06133E87" w14:textId="77777777" w:rsidR="00BB2271" w:rsidRDefault="00BB2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nt368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altName w:val="Cambria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Noto Sans SC Regular">
    <w:panose1 w:val="00000000000000000000"/>
    <w:charset w:val="00"/>
    <w:family w:val="roman"/>
    <w:notTrueType/>
    <w:pitch w:val="default"/>
  </w:font>
  <w:font w:name="Noto Sans Devanagari">
    <w:altName w:val="Cambria"/>
    <w:panose1 w:val="00000000000000000000"/>
    <w:charset w:val="00"/>
    <w:family w:val="roman"/>
    <w:notTrueType/>
    <w:pitch w:val="default"/>
  </w:font>
  <w:font w:name="Myriad Pro Light">
    <w:altName w:val="Times New Roman"/>
    <w:charset w:val="01"/>
    <w:family w:val="roman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93D4B0" w14:textId="009BF0B3" w:rsidR="0039658E" w:rsidRDefault="00D83E55">
    <w:pPr>
      <w:pStyle w:val="Piedepgina"/>
      <w:tabs>
        <w:tab w:val="right" w:pos="7655"/>
      </w:tabs>
    </w:pP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  <w:sz w:val="24"/>
        <w:szCs w:val="24"/>
      </w:rPr>
      <w:t>S-</w:t>
    </w:r>
    <w:r>
      <w:rPr>
        <w:rFonts w:ascii="Times New Roman" w:hAnsi="Times New Roman" w:cs="Times New Roman"/>
        <w:sz w:val="24"/>
        <w:szCs w:val="24"/>
      </w:rPr>
      <w:fldChar w:fldCharType="begin"/>
    </w:r>
    <w:r>
      <w:rPr>
        <w:rFonts w:ascii="Times New Roman" w:hAnsi="Times New Roman" w:cs="Times New Roman"/>
        <w:sz w:val="24"/>
        <w:szCs w:val="24"/>
      </w:rPr>
      <w:instrText>PAGE</w:instrText>
    </w:r>
    <w:r>
      <w:rPr>
        <w:rFonts w:ascii="Times New Roman" w:hAnsi="Times New Roman" w:cs="Times New Roman"/>
        <w:sz w:val="24"/>
        <w:szCs w:val="24"/>
      </w:rPr>
      <w:fldChar w:fldCharType="separate"/>
    </w:r>
    <w:r w:rsidR="000E5B90">
      <w:rPr>
        <w:rFonts w:ascii="Times New Roman" w:hAnsi="Times New Roman" w:cs="Times New Roman"/>
        <w:noProof/>
        <w:sz w:val="24"/>
        <w:szCs w:val="24"/>
      </w:rPr>
      <w:t>5</w:t>
    </w:r>
    <w:r>
      <w:rPr>
        <w:rFonts w:ascii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655A5D" w14:textId="77777777" w:rsidR="00BB2271" w:rsidRDefault="00BB2271">
      <w:pPr>
        <w:spacing w:after="0" w:line="240" w:lineRule="auto"/>
      </w:pPr>
      <w:r>
        <w:separator/>
      </w:r>
    </w:p>
  </w:footnote>
  <w:footnote w:type="continuationSeparator" w:id="0">
    <w:p w14:paraId="3CB7ED09" w14:textId="77777777" w:rsidR="00BB2271" w:rsidRDefault="00BB22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activeWritingStyle w:appName="MSWord" w:lang="it-IT" w:vendorID="64" w:dllVersion="131078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0"/>
  <w:activeWritingStyle w:appName="MSWord" w:lang="en-US" w:vendorID="64" w:dllVersion="131078" w:nlCheck="1" w:checkStyle="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58E"/>
    <w:rsid w:val="00013E7E"/>
    <w:rsid w:val="000474AB"/>
    <w:rsid w:val="000E5B90"/>
    <w:rsid w:val="001204EB"/>
    <w:rsid w:val="00125E1F"/>
    <w:rsid w:val="0017795C"/>
    <w:rsid w:val="001E1F2C"/>
    <w:rsid w:val="00247426"/>
    <w:rsid w:val="00293996"/>
    <w:rsid w:val="00335C44"/>
    <w:rsid w:val="00366549"/>
    <w:rsid w:val="0039658E"/>
    <w:rsid w:val="0042638A"/>
    <w:rsid w:val="0046168B"/>
    <w:rsid w:val="004B1087"/>
    <w:rsid w:val="005876AE"/>
    <w:rsid w:val="00590C3E"/>
    <w:rsid w:val="006270AF"/>
    <w:rsid w:val="006511E1"/>
    <w:rsid w:val="0068207B"/>
    <w:rsid w:val="006900CE"/>
    <w:rsid w:val="006B215F"/>
    <w:rsid w:val="007840E6"/>
    <w:rsid w:val="007B2516"/>
    <w:rsid w:val="007D79AE"/>
    <w:rsid w:val="007E1EF1"/>
    <w:rsid w:val="00834665"/>
    <w:rsid w:val="00837A00"/>
    <w:rsid w:val="008B07A4"/>
    <w:rsid w:val="008D66DF"/>
    <w:rsid w:val="00A10032"/>
    <w:rsid w:val="00A11DD0"/>
    <w:rsid w:val="00B84D35"/>
    <w:rsid w:val="00BB2271"/>
    <w:rsid w:val="00BE06F6"/>
    <w:rsid w:val="00BF460B"/>
    <w:rsid w:val="00C072F9"/>
    <w:rsid w:val="00C42962"/>
    <w:rsid w:val="00D83E55"/>
    <w:rsid w:val="00D85256"/>
    <w:rsid w:val="00E829AD"/>
    <w:rsid w:val="00F3710A"/>
    <w:rsid w:val="00F44710"/>
    <w:rsid w:val="00FF1485"/>
    <w:rsid w:val="00FF4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10756E"/>
  <w15:docId w15:val="{6604EF69-5803-446A-A41C-434E72550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Arial"/>
      <w:sz w:val="22"/>
      <w:szCs w:val="22"/>
      <w:lang w:eastAsia="en-US"/>
    </w:rPr>
  </w:style>
  <w:style w:type="paragraph" w:styleId="Ttulo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="Arial" w:eastAsia="font368" w:hAnsi="Arial" w:cs="Times New Roman"/>
      <w:b/>
      <w:color w:val="000000"/>
      <w:sz w:val="28"/>
      <w:szCs w:val="32"/>
    </w:rPr>
  </w:style>
  <w:style w:type="paragraph" w:styleId="Ttulo2">
    <w:name w:val="heading 2"/>
    <w:basedOn w:val="Normal"/>
    <w:next w:val="Normal"/>
    <w:qFormat/>
    <w:pPr>
      <w:keepNext/>
      <w:keepLines/>
      <w:spacing w:before="40" w:after="0"/>
      <w:outlineLvl w:val="1"/>
    </w:pPr>
    <w:rPr>
      <w:rFonts w:ascii="Arial" w:eastAsia="font368" w:hAnsi="Arial" w:cs="Times New Roman"/>
      <w:b/>
      <w:color w:val="000000"/>
      <w:sz w:val="26"/>
      <w:szCs w:val="26"/>
    </w:rPr>
  </w:style>
  <w:style w:type="paragraph" w:styleId="Ttulo3">
    <w:name w:val="heading 3"/>
    <w:basedOn w:val="Normal"/>
    <w:next w:val="Normal"/>
    <w:qFormat/>
    <w:pPr>
      <w:keepNext/>
      <w:keepLines/>
      <w:spacing w:before="40" w:after="0"/>
      <w:outlineLvl w:val="2"/>
    </w:pPr>
    <w:rPr>
      <w:rFonts w:ascii="Arial" w:eastAsia="font368" w:hAnsi="Arial" w:cs="Times New Roman"/>
      <w:b/>
      <w:color w:val="000000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F460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DefaultParagraphFont1">
    <w:name w:val="Default Paragraph Font1"/>
    <w:qFormat/>
  </w:style>
  <w:style w:type="character" w:customStyle="1" w:styleId="EndnotentextZchn">
    <w:name w:val="Endnotentext Zchn"/>
    <w:qFormat/>
    <w:rPr>
      <w:sz w:val="20"/>
      <w:szCs w:val="20"/>
    </w:rPr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Ancladenotafinal">
    <w:name w:val="Ancla de nota final"/>
    <w:rPr>
      <w:vertAlign w:val="superscript"/>
    </w:rPr>
  </w:style>
  <w:style w:type="character" w:customStyle="1" w:styleId="FunotentextZchn">
    <w:name w:val="Fußnotentext Zchn"/>
    <w:qFormat/>
    <w:rPr>
      <w:sz w:val="20"/>
      <w:szCs w:val="20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Ancladenotaalpie">
    <w:name w:val="Ancla de nota al pie"/>
    <w:rPr>
      <w:vertAlign w:val="superscript"/>
    </w:rPr>
  </w:style>
  <w:style w:type="character" w:customStyle="1" w:styleId="EndNoteBibliographyTitleZchn">
    <w:name w:val="EndNote Bibliography Title Zchn"/>
    <w:qFormat/>
    <w:rPr>
      <w:rFonts w:ascii="Times New Roman" w:hAnsi="Times New Roman" w:cs="Times New Roman"/>
      <w:sz w:val="20"/>
      <w:szCs w:val="20"/>
    </w:rPr>
  </w:style>
  <w:style w:type="character" w:customStyle="1" w:styleId="EndNoteBibliographyZchn">
    <w:name w:val="EndNote Bibliography Zchn"/>
    <w:qFormat/>
    <w:rPr>
      <w:rFonts w:ascii="Times New Roman" w:hAnsi="Times New Roman" w:cs="Times New Roman"/>
      <w:sz w:val="20"/>
      <w:szCs w:val="20"/>
    </w:rPr>
  </w:style>
  <w:style w:type="character" w:customStyle="1" w:styleId="SprechblasentextZchn">
    <w:name w:val="Sprechblasentext Zchn"/>
    <w:qFormat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qFormat/>
    <w:rPr>
      <w:rFonts w:ascii="Arial" w:eastAsia="font368" w:hAnsi="Arial" w:cs="Times New Roman"/>
      <w:b/>
      <w:color w:val="000000"/>
      <w:sz w:val="28"/>
      <w:szCs w:val="32"/>
    </w:rPr>
  </w:style>
  <w:style w:type="character" w:customStyle="1" w:styleId="EnlacedeInternet">
    <w:name w:val="Enlace de Internet"/>
    <w:rPr>
      <w:color w:val="0563C1"/>
      <w:u w:val="single"/>
    </w:rPr>
  </w:style>
  <w:style w:type="character" w:customStyle="1" w:styleId="berschrift2Zchn">
    <w:name w:val="Überschrift 2 Zchn"/>
    <w:qFormat/>
    <w:rPr>
      <w:rFonts w:ascii="Arial" w:eastAsia="font368" w:hAnsi="Arial" w:cs="Times New Roman"/>
      <w:b/>
      <w:color w:val="000000"/>
      <w:sz w:val="26"/>
      <w:szCs w:val="26"/>
    </w:rPr>
  </w:style>
  <w:style w:type="character" w:customStyle="1" w:styleId="berschrift3Zchn">
    <w:name w:val="Überschrift 3 Zchn"/>
    <w:qFormat/>
    <w:rPr>
      <w:rFonts w:ascii="Arial" w:eastAsia="font368" w:hAnsi="Arial" w:cs="Times New Roman"/>
      <w:b/>
      <w:color w:val="000000"/>
      <w:sz w:val="24"/>
      <w:szCs w:val="24"/>
    </w:rPr>
  </w:style>
  <w:style w:type="character" w:customStyle="1" w:styleId="KopfzeileZchn">
    <w:name w:val="Kopfzeile Zchn"/>
    <w:basedOn w:val="DefaultParagraphFont1"/>
    <w:qFormat/>
  </w:style>
  <w:style w:type="character" w:customStyle="1" w:styleId="FuzeileZchn">
    <w:name w:val="Fußzeile Zchn"/>
    <w:basedOn w:val="DefaultParagraphFont1"/>
    <w:qFormat/>
  </w:style>
  <w:style w:type="character" w:customStyle="1" w:styleId="CommentReference1">
    <w:name w:val="Comment Reference1"/>
    <w:qFormat/>
    <w:rPr>
      <w:sz w:val="16"/>
      <w:szCs w:val="16"/>
    </w:rPr>
  </w:style>
  <w:style w:type="character" w:customStyle="1" w:styleId="KommentartextZchn">
    <w:name w:val="Kommentartext Zchn"/>
    <w:qFormat/>
    <w:rPr>
      <w:sz w:val="20"/>
      <w:szCs w:val="20"/>
    </w:rPr>
  </w:style>
  <w:style w:type="character" w:customStyle="1" w:styleId="KommentarthemaZchn">
    <w:name w:val="Kommentarthema Zchn"/>
    <w:qFormat/>
    <w:rPr>
      <w:b/>
      <w:bCs/>
      <w:sz w:val="20"/>
      <w:szCs w:val="20"/>
    </w:rPr>
  </w:style>
  <w:style w:type="character" w:customStyle="1" w:styleId="NichtaufgelsteErwhnung1">
    <w:name w:val="Nicht aufgelöste Erwähnung1"/>
    <w:qFormat/>
    <w:rPr>
      <w:color w:val="605E5C"/>
      <w:shd w:val="clear" w:color="auto" w:fill="E1DFDD"/>
    </w:rPr>
  </w:style>
  <w:style w:type="character" w:customStyle="1" w:styleId="TextodegloboCar">
    <w:name w:val="Texto de globo Car"/>
    <w:link w:val="Textodeglobo"/>
    <w:uiPriority w:val="99"/>
    <w:semiHidden/>
    <w:qFormat/>
    <w:rsid w:val="00475029"/>
    <w:rPr>
      <w:rFonts w:ascii="Segoe UI" w:eastAsia="Calibri" w:hAnsi="Segoe UI" w:cs="Segoe UI"/>
      <w:sz w:val="18"/>
      <w:szCs w:val="18"/>
      <w:lang w:val="en-US"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Pr>
      <w:rFonts w:ascii="Calibri" w:eastAsia="Calibri" w:hAnsi="Calibri" w:cs="Arial"/>
      <w:lang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Pr>
      <w:sz w:val="16"/>
      <w:szCs w:val="16"/>
    </w:rPr>
  </w:style>
  <w:style w:type="character" w:customStyle="1" w:styleId="Caracteresdenotafinal">
    <w:name w:val="Caracteres de nota final"/>
    <w:qFormat/>
  </w:style>
  <w:style w:type="paragraph" w:customStyle="1" w:styleId="Ttulo10">
    <w:name w:val="Título1"/>
    <w:basedOn w:val="Normal"/>
    <w:next w:val="Textoindependiente"/>
    <w:qFormat/>
    <w:pPr>
      <w:keepNext/>
      <w:spacing w:before="240" w:after="120"/>
    </w:pPr>
    <w:rPr>
      <w:rFonts w:ascii="Liberation Sans" w:eastAsia="Noto Sans SC Regular" w:hAnsi="Liberation Sans" w:cs="Noto Sans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Noto Sans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Noto Sans Devanagari"/>
    </w:rPr>
  </w:style>
  <w:style w:type="paragraph" w:styleId="Textonotaalfinal">
    <w:name w:val="endnote text"/>
    <w:basedOn w:val="Normal"/>
    <w:pPr>
      <w:spacing w:after="0" w:line="240" w:lineRule="auto"/>
    </w:pPr>
    <w:rPr>
      <w:sz w:val="20"/>
      <w:szCs w:val="20"/>
    </w:rPr>
  </w:style>
  <w:style w:type="paragraph" w:styleId="Textonotapie">
    <w:name w:val="footnote text"/>
    <w:basedOn w:val="Normal"/>
    <w:pPr>
      <w:spacing w:after="0" w:line="240" w:lineRule="auto"/>
    </w:pPr>
    <w:rPr>
      <w:sz w:val="20"/>
      <w:szCs w:val="20"/>
    </w:rPr>
  </w:style>
  <w:style w:type="paragraph" w:customStyle="1" w:styleId="EndNoteBibliographyTitle">
    <w:name w:val="EndNote Bibliography Title"/>
    <w:basedOn w:val="Normal"/>
    <w:qFormat/>
    <w:pPr>
      <w:spacing w:after="0"/>
      <w:jc w:val="center"/>
    </w:pPr>
    <w:rPr>
      <w:rFonts w:ascii="Times New Roman" w:hAnsi="Times New Roman" w:cs="Times New Roman"/>
    </w:rPr>
  </w:style>
  <w:style w:type="paragraph" w:customStyle="1" w:styleId="EndNoteBibliography">
    <w:name w:val="EndNote Bibliography"/>
    <w:basedOn w:val="Normal"/>
    <w:qFormat/>
    <w:pPr>
      <w:spacing w:line="240" w:lineRule="auto"/>
    </w:pPr>
    <w:rPr>
      <w:rFonts w:ascii="Times New Roman" w:hAnsi="Times New Roman" w:cs="Times New Roman"/>
    </w:rPr>
  </w:style>
  <w:style w:type="paragraph" w:customStyle="1" w:styleId="BalloonText1">
    <w:name w:val="Balloon Text1"/>
    <w:basedOn w:val="Normal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ListParagraph1">
    <w:name w:val="List Paragraph1"/>
    <w:basedOn w:val="Normal"/>
    <w:qFormat/>
    <w:pPr>
      <w:ind w:left="720"/>
      <w:contextualSpacing/>
    </w:pPr>
  </w:style>
  <w:style w:type="paragraph" w:customStyle="1" w:styleId="TOCHeading1">
    <w:name w:val="TOC Heading1"/>
    <w:basedOn w:val="Ttulo1"/>
    <w:next w:val="Normal"/>
    <w:qFormat/>
  </w:style>
  <w:style w:type="paragraph" w:styleId="TDC1">
    <w:name w:val="toc 1"/>
    <w:basedOn w:val="Normal"/>
    <w:next w:val="Normal"/>
    <w:autoRedefine/>
    <w:pPr>
      <w:spacing w:after="100"/>
    </w:pPr>
  </w:style>
  <w:style w:type="paragraph" w:styleId="TDC2">
    <w:name w:val="toc 2"/>
    <w:basedOn w:val="Normal"/>
    <w:next w:val="Normal"/>
    <w:autoRedefine/>
    <w:pPr>
      <w:spacing w:after="100"/>
      <w:ind w:left="220"/>
    </w:pPr>
  </w:style>
  <w:style w:type="paragraph" w:styleId="TDC3">
    <w:name w:val="toc 3"/>
    <w:basedOn w:val="Normal"/>
    <w:next w:val="Normal"/>
    <w:autoRedefine/>
    <w:pPr>
      <w:spacing w:after="100"/>
      <w:ind w:left="440"/>
    </w:pPr>
  </w:style>
  <w:style w:type="paragraph" w:customStyle="1" w:styleId="BATitle">
    <w:name w:val="BA_Title"/>
    <w:basedOn w:val="Normal"/>
    <w:next w:val="Normal"/>
    <w:autoRedefine/>
    <w:qFormat/>
    <w:pPr>
      <w:spacing w:before="1400" w:after="180" w:line="240" w:lineRule="auto"/>
    </w:pPr>
    <w:rPr>
      <w:rFonts w:ascii="Myriad Pro Light" w:eastAsia="Times New Roman" w:hAnsi="Myriad Pro Light" w:cs="Times New Roman"/>
      <w:b/>
      <w:kern w:val="2"/>
      <w:sz w:val="34"/>
      <w:szCs w:val="20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pPr>
      <w:tabs>
        <w:tab w:val="center" w:pos="4703"/>
        <w:tab w:val="right" w:pos="9406"/>
      </w:tabs>
      <w:spacing w:after="0" w:line="240" w:lineRule="auto"/>
    </w:pPr>
  </w:style>
  <w:style w:type="paragraph" w:styleId="Piedepgina">
    <w:name w:val="footer"/>
    <w:basedOn w:val="Normal"/>
    <w:pPr>
      <w:tabs>
        <w:tab w:val="center" w:pos="4703"/>
        <w:tab w:val="right" w:pos="9406"/>
      </w:tabs>
      <w:spacing w:after="0" w:line="240" w:lineRule="auto"/>
    </w:pPr>
  </w:style>
  <w:style w:type="paragraph" w:customStyle="1" w:styleId="Revision1">
    <w:name w:val="Revision1"/>
    <w:qFormat/>
    <w:rPr>
      <w:rFonts w:ascii="Calibri" w:eastAsia="Calibri" w:hAnsi="Calibri" w:cs="Arial"/>
      <w:sz w:val="22"/>
      <w:szCs w:val="22"/>
      <w:lang w:eastAsia="en-US"/>
    </w:rPr>
  </w:style>
  <w:style w:type="paragraph" w:customStyle="1" w:styleId="CommentText1">
    <w:name w:val="Comment Text1"/>
    <w:basedOn w:val="Normal"/>
    <w:qFormat/>
    <w:pPr>
      <w:spacing w:line="240" w:lineRule="auto"/>
    </w:pPr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qFormat/>
    <w:rPr>
      <w:b/>
      <w:bCs/>
    </w:rPr>
  </w:style>
  <w:style w:type="paragraph" w:styleId="NormalWeb">
    <w:name w:val="Normal (Web)"/>
    <w:basedOn w:val="Normal"/>
    <w:qFormat/>
    <w:rPr>
      <w:rFonts w:ascii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47502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F460B"/>
    <w:rPr>
      <w:rFonts w:asciiTheme="majorHAnsi" w:eastAsiaTheme="majorEastAsia" w:hAnsiTheme="majorHAnsi" w:cstheme="majorBidi"/>
      <w:color w:val="2E74B5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04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w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967</Words>
  <Characters>5515</Characters>
  <Application>Microsoft Office Word</Application>
  <DocSecurity>0</DocSecurity>
  <Lines>45</Lines>
  <Paragraphs>12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Mateo</dc:creator>
  <dc:description/>
  <cp:lastModifiedBy>giovanni.bottari@uam.es</cp:lastModifiedBy>
  <cp:revision>2</cp:revision>
  <cp:lastPrinted>1995-11-21T09:41:00Z</cp:lastPrinted>
  <dcterms:created xsi:type="dcterms:W3CDTF">2021-02-26T11:26:00Z</dcterms:created>
  <dcterms:modified xsi:type="dcterms:W3CDTF">2021-02-26T11:26:00Z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