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6CDBA" w14:textId="77777777" w:rsidR="00225A95" w:rsidRPr="006C3E44" w:rsidRDefault="00225A95" w:rsidP="00225A95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  <w:r w:rsidRPr="006C3E44">
        <w:rPr>
          <w:rFonts w:ascii="Calibri" w:hAnsi="Calibri" w:cs="Calibri"/>
          <w:b/>
          <w:bCs/>
          <w:color w:val="000000" w:themeColor="text1"/>
        </w:rPr>
        <w:t xml:space="preserve">Supplementary Figure 1. </w:t>
      </w:r>
      <w:r w:rsidRPr="006C3E44">
        <w:rPr>
          <w:rFonts w:ascii="Calibri" w:hAnsi="Calibri" w:cs="Calibri"/>
          <w:color w:val="000000" w:themeColor="text1"/>
        </w:rPr>
        <w:t xml:space="preserve">Heat maps representing the correlation analysis between </w:t>
      </w:r>
      <w:r w:rsidRPr="006C3E44">
        <w:rPr>
          <w:rFonts w:ascii="Calibri" w:hAnsi="Calibri" w:cs="Calibri"/>
          <w:i/>
          <w:iCs/>
          <w:color w:val="000000" w:themeColor="text1"/>
        </w:rPr>
        <w:t>DAT1</w:t>
      </w:r>
      <w:r w:rsidRPr="006C3E44">
        <w:rPr>
          <w:rFonts w:ascii="Calibri" w:hAnsi="Calibri" w:cs="Calibri"/>
          <w:color w:val="000000" w:themeColor="text1"/>
        </w:rPr>
        <w:t xml:space="preserve"> DNA methylation levels of CpG sites and the subjects’ IAT score divided for 9/x (</w:t>
      </w:r>
      <w:r w:rsidRPr="006C3E44">
        <w:rPr>
          <w:rFonts w:ascii="Calibri" w:hAnsi="Calibri" w:cs="Calibri"/>
          <w:b/>
          <w:bCs/>
          <w:color w:val="000000" w:themeColor="text1"/>
        </w:rPr>
        <w:t>a</w:t>
      </w:r>
      <w:r w:rsidRPr="006C3E44">
        <w:rPr>
          <w:rFonts w:ascii="Calibri" w:hAnsi="Calibri" w:cs="Calibri"/>
          <w:color w:val="000000" w:themeColor="text1"/>
        </w:rPr>
        <w:t xml:space="preserve">, </w:t>
      </w:r>
      <w:r w:rsidRPr="006C3E44">
        <w:rPr>
          <w:rFonts w:ascii="Calibri" w:hAnsi="Calibri" w:cs="Calibri"/>
          <w:b/>
          <w:bCs/>
          <w:color w:val="000000" w:themeColor="text1"/>
        </w:rPr>
        <w:t>b</w:t>
      </w:r>
      <w:r w:rsidRPr="006C3E44">
        <w:rPr>
          <w:rFonts w:ascii="Calibri" w:hAnsi="Calibri" w:cs="Calibri"/>
          <w:color w:val="000000" w:themeColor="text1"/>
        </w:rPr>
        <w:t xml:space="preserve">, </w:t>
      </w:r>
      <w:r w:rsidRPr="006C3E44">
        <w:rPr>
          <w:rFonts w:ascii="Calibri" w:hAnsi="Calibri" w:cs="Calibri"/>
          <w:b/>
          <w:bCs/>
          <w:color w:val="000000" w:themeColor="text1"/>
        </w:rPr>
        <w:t>c</w:t>
      </w:r>
      <w:r w:rsidRPr="006C3E44">
        <w:rPr>
          <w:rFonts w:ascii="Calibri" w:hAnsi="Calibri" w:cs="Calibri"/>
          <w:color w:val="000000" w:themeColor="text1"/>
        </w:rPr>
        <w:t>) and 10/10 genotypes (</w:t>
      </w:r>
      <w:r w:rsidRPr="006C3E44">
        <w:rPr>
          <w:rFonts w:ascii="Calibri" w:hAnsi="Calibri" w:cs="Calibri"/>
          <w:b/>
          <w:bCs/>
          <w:color w:val="000000" w:themeColor="text1"/>
        </w:rPr>
        <w:t>d</w:t>
      </w:r>
      <w:r w:rsidRPr="006C3E44">
        <w:rPr>
          <w:rFonts w:ascii="Calibri" w:hAnsi="Calibri" w:cs="Calibri"/>
          <w:color w:val="000000" w:themeColor="text1"/>
        </w:rPr>
        <w:t xml:space="preserve">, </w:t>
      </w:r>
      <w:r w:rsidRPr="006C3E44">
        <w:rPr>
          <w:rFonts w:ascii="Calibri" w:hAnsi="Calibri" w:cs="Calibri"/>
          <w:b/>
          <w:bCs/>
          <w:color w:val="000000" w:themeColor="text1"/>
        </w:rPr>
        <w:t>e</w:t>
      </w:r>
      <w:r w:rsidRPr="006C3E44">
        <w:rPr>
          <w:rFonts w:ascii="Calibri" w:hAnsi="Calibri" w:cs="Calibri"/>
          <w:color w:val="000000" w:themeColor="text1"/>
        </w:rPr>
        <w:t xml:space="preserve">, </w:t>
      </w:r>
      <w:r w:rsidRPr="006C3E44">
        <w:rPr>
          <w:rFonts w:ascii="Calibri" w:hAnsi="Calibri" w:cs="Calibri"/>
          <w:b/>
          <w:bCs/>
          <w:color w:val="000000" w:themeColor="text1"/>
        </w:rPr>
        <w:t>f</w:t>
      </w:r>
      <w:r w:rsidRPr="006C3E44">
        <w:rPr>
          <w:rFonts w:ascii="Calibri" w:hAnsi="Calibri" w:cs="Calibri"/>
          <w:color w:val="000000" w:themeColor="text1"/>
        </w:rPr>
        <w:t xml:space="preserve">). Cells filled in green to red gradient of the heat maps (lower part) represent Spearman’s r; cells filled in yellow to red gradient (upper part) represent p values (empty cells stand for p values greater than 0.05). Subjects under study are divided considering their IAT score less than 29 </w:t>
      </w:r>
      <w:r w:rsidRPr="006C3E44">
        <w:rPr>
          <w:rFonts w:ascii="Calibri" w:hAnsi="Calibri" w:cs="Calibri"/>
          <w:b/>
          <w:bCs/>
          <w:color w:val="000000" w:themeColor="text1"/>
        </w:rPr>
        <w:t>(a, d)</w:t>
      </w:r>
      <w:r w:rsidRPr="006C3E44">
        <w:rPr>
          <w:rFonts w:ascii="Calibri" w:hAnsi="Calibri" w:cs="Calibri"/>
          <w:color w:val="000000" w:themeColor="text1"/>
        </w:rPr>
        <w:t xml:space="preserve">, between 30 and 49 </w:t>
      </w:r>
      <w:r w:rsidRPr="006C3E44">
        <w:rPr>
          <w:rFonts w:ascii="Calibri" w:hAnsi="Calibri" w:cs="Calibri"/>
          <w:b/>
          <w:bCs/>
          <w:color w:val="000000" w:themeColor="text1"/>
        </w:rPr>
        <w:t>(b, e)</w:t>
      </w:r>
      <w:r w:rsidRPr="006C3E44">
        <w:rPr>
          <w:rFonts w:ascii="Calibri" w:hAnsi="Calibri" w:cs="Calibri"/>
          <w:color w:val="000000" w:themeColor="text1"/>
        </w:rPr>
        <w:t xml:space="preserve">, or greater than 50 </w:t>
      </w:r>
      <w:r w:rsidRPr="006C3E44">
        <w:rPr>
          <w:rFonts w:ascii="Calibri" w:hAnsi="Calibri" w:cs="Calibri"/>
          <w:b/>
          <w:bCs/>
          <w:color w:val="000000" w:themeColor="text1"/>
        </w:rPr>
        <w:t>(c, f)</w:t>
      </w:r>
      <w:r w:rsidRPr="006C3E44">
        <w:rPr>
          <w:rFonts w:ascii="Calibri" w:hAnsi="Calibri" w:cs="Calibri"/>
          <w:color w:val="000000" w:themeColor="text1"/>
        </w:rPr>
        <w:t>.</w:t>
      </w:r>
    </w:p>
    <w:p w14:paraId="590F00F5" w14:textId="77777777" w:rsidR="00225A95" w:rsidRPr="006C3E44" w:rsidRDefault="00225A95" w:rsidP="00225A95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2FA48D2C" w14:textId="77777777" w:rsidR="00225A95" w:rsidRPr="006C3E44" w:rsidRDefault="00225A95" w:rsidP="00225A95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  <w:r w:rsidRPr="006C3E44">
        <w:rPr>
          <w:rFonts w:ascii="Calibri" w:hAnsi="Calibri" w:cs="Calibri"/>
          <w:b/>
          <w:bCs/>
          <w:color w:val="000000" w:themeColor="text1"/>
        </w:rPr>
        <w:t xml:space="preserve">Supplementary Figure 2. </w:t>
      </w:r>
      <w:r w:rsidRPr="006C3E44">
        <w:rPr>
          <w:rFonts w:ascii="Calibri" w:hAnsi="Calibri" w:cs="Calibri"/>
          <w:color w:val="000000" w:themeColor="text1"/>
        </w:rPr>
        <w:t xml:space="preserve">DNA methylation levels at </w:t>
      </w:r>
      <w:r w:rsidRPr="006C3E44">
        <w:rPr>
          <w:rFonts w:ascii="Calibri" w:hAnsi="Calibri" w:cs="Calibri"/>
          <w:i/>
          <w:color w:val="000000" w:themeColor="text1"/>
        </w:rPr>
        <w:t>OXTR</w:t>
      </w:r>
      <w:r w:rsidRPr="006C3E44">
        <w:rPr>
          <w:rFonts w:ascii="Calibri" w:hAnsi="Calibri" w:cs="Calibri"/>
          <w:color w:val="000000" w:themeColor="text1"/>
        </w:rPr>
        <w:t xml:space="preserve"> exon III, </w:t>
      </w:r>
      <w:r w:rsidRPr="006C3E44">
        <w:rPr>
          <w:rFonts w:ascii="Calibri" w:hAnsi="Calibri" w:cs="Calibri"/>
          <w:i/>
          <w:color w:val="000000" w:themeColor="text1"/>
        </w:rPr>
        <w:t>DAT1</w:t>
      </w:r>
      <w:r w:rsidRPr="006C3E44">
        <w:rPr>
          <w:rFonts w:ascii="Calibri" w:hAnsi="Calibri" w:cs="Calibri"/>
          <w:color w:val="000000" w:themeColor="text1"/>
        </w:rPr>
        <w:t xml:space="preserve"> 5’UTR, and </w:t>
      </w:r>
      <w:r w:rsidRPr="006C3E44">
        <w:rPr>
          <w:rFonts w:ascii="Calibri" w:hAnsi="Calibri" w:cs="Calibri"/>
          <w:i/>
          <w:color w:val="000000" w:themeColor="text1"/>
        </w:rPr>
        <w:t>SERT</w:t>
      </w:r>
      <w:r w:rsidRPr="006C3E44">
        <w:rPr>
          <w:rFonts w:ascii="Calibri" w:hAnsi="Calibri" w:cs="Calibri"/>
          <w:color w:val="000000" w:themeColor="text1"/>
        </w:rPr>
        <w:t xml:space="preserve"> promoter region in saliva samples of women (left) and men (right) young adults with IAT &lt;29, 30&lt;IAT&lt;49 and IAT&gt;50, represented as scattered dot plots (mean ± SEM, of each group) for the individual CpG sites and the average (Ave) of the CpG sites under study. Significant differences are indicated (Bonferroni corrected *p &lt; 0.05, **p &lt; 0.01, ***p &lt; 0.005, ****p &lt; 0.001).</w:t>
      </w:r>
    </w:p>
    <w:p w14:paraId="56C8A67A" w14:textId="77777777" w:rsidR="00225A95" w:rsidRPr="006C3E44" w:rsidRDefault="00225A95" w:rsidP="00225A95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6AA779D3" w14:textId="77777777" w:rsidR="00225A95" w:rsidRPr="006C3E44" w:rsidRDefault="00225A95" w:rsidP="00225A95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  <w:r w:rsidRPr="006C3E44">
        <w:rPr>
          <w:rFonts w:ascii="Calibri" w:hAnsi="Calibri" w:cs="Calibri"/>
          <w:b/>
          <w:bCs/>
          <w:color w:val="000000" w:themeColor="text1"/>
        </w:rPr>
        <w:t xml:space="preserve">Supplementary Figure 3. a) </w:t>
      </w:r>
      <w:r w:rsidRPr="006C3E44">
        <w:rPr>
          <w:rFonts w:ascii="Calibri" w:hAnsi="Calibri" w:cs="Calibri"/>
          <w:color w:val="000000" w:themeColor="text1"/>
        </w:rPr>
        <w:t xml:space="preserve">DNA methylation levels at </w:t>
      </w:r>
      <w:r w:rsidRPr="006C3E44">
        <w:rPr>
          <w:rFonts w:ascii="Calibri" w:hAnsi="Calibri" w:cs="Calibri"/>
          <w:i/>
          <w:color w:val="000000" w:themeColor="text1"/>
        </w:rPr>
        <w:t>SERT</w:t>
      </w:r>
      <w:r w:rsidRPr="006C3E44">
        <w:rPr>
          <w:rFonts w:ascii="Calibri" w:hAnsi="Calibri" w:cs="Calibri"/>
          <w:color w:val="000000" w:themeColor="text1"/>
        </w:rPr>
        <w:t xml:space="preserve"> promoter region in saliva samples of young adults divided for 5-HTTLPR genotype for the individual CpG sites and the average (Ave) of the CpG sites under study. </w:t>
      </w:r>
      <w:r w:rsidRPr="006C3E44">
        <w:rPr>
          <w:rFonts w:ascii="Calibri" w:hAnsi="Calibri" w:cs="Calibri"/>
          <w:b/>
          <w:bCs/>
          <w:color w:val="000000" w:themeColor="text1"/>
        </w:rPr>
        <w:t>b</w:t>
      </w:r>
      <w:r w:rsidRPr="006C3E44">
        <w:rPr>
          <w:rFonts w:ascii="Calibri" w:hAnsi="Calibri" w:cs="Calibri"/>
          <w:color w:val="000000" w:themeColor="text1"/>
        </w:rPr>
        <w:t xml:space="preserve">) DNA methylation at </w:t>
      </w:r>
      <w:r w:rsidRPr="006C3E44">
        <w:rPr>
          <w:rFonts w:ascii="Calibri" w:hAnsi="Calibri" w:cs="Calibri"/>
          <w:i/>
          <w:iCs/>
          <w:color w:val="000000" w:themeColor="text1"/>
        </w:rPr>
        <w:t>SERT</w:t>
      </w:r>
      <w:r w:rsidRPr="006C3E44">
        <w:rPr>
          <w:rFonts w:ascii="Calibri" w:hAnsi="Calibri" w:cs="Calibri"/>
          <w:color w:val="000000" w:themeColor="text1"/>
        </w:rPr>
        <w:t xml:space="preserve"> promoter region CpG sites 1, 3, and 5 in saliva samples of young adults stratified based on their IAT score, represented as scattered dot plots (mean ± SEM, of each group) for the individual CpG sites. The same order of 5-HTTLPR genotype of the picture above is maintained in the picture below (S/S, S/L, and L/L from the left to the right).</w:t>
      </w:r>
    </w:p>
    <w:p w14:paraId="35F975E2" w14:textId="77777777" w:rsidR="00225A95" w:rsidRPr="006C3E44" w:rsidRDefault="00225A95" w:rsidP="00225A95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</w:p>
    <w:p w14:paraId="3E2C3DF6" w14:textId="77777777" w:rsidR="00225A95" w:rsidRPr="006C3E44" w:rsidRDefault="00225A95" w:rsidP="00225A95">
      <w:pPr>
        <w:spacing w:line="360" w:lineRule="auto"/>
        <w:jc w:val="both"/>
        <w:rPr>
          <w:rFonts w:ascii="Calibri" w:hAnsi="Calibri" w:cs="Calibri"/>
          <w:color w:val="000000" w:themeColor="text1"/>
        </w:rPr>
      </w:pPr>
      <w:r w:rsidRPr="006C3E44">
        <w:rPr>
          <w:rFonts w:ascii="Calibri" w:hAnsi="Calibri" w:cs="Calibri"/>
          <w:b/>
          <w:bCs/>
          <w:color w:val="000000" w:themeColor="text1"/>
        </w:rPr>
        <w:t xml:space="preserve">Supplementary Figure 4. a) </w:t>
      </w:r>
      <w:r w:rsidRPr="006C3E44">
        <w:rPr>
          <w:rFonts w:ascii="Calibri" w:hAnsi="Calibri" w:cs="Calibri"/>
          <w:color w:val="000000" w:themeColor="text1"/>
        </w:rPr>
        <w:t xml:space="preserve">DNA methylation levels at </w:t>
      </w:r>
      <w:r w:rsidRPr="006C3E44">
        <w:rPr>
          <w:rFonts w:ascii="Calibri" w:hAnsi="Calibri" w:cs="Calibri"/>
          <w:i/>
          <w:color w:val="000000" w:themeColor="text1"/>
        </w:rPr>
        <w:t>DAT1</w:t>
      </w:r>
      <w:r w:rsidRPr="006C3E44">
        <w:rPr>
          <w:rFonts w:ascii="Calibri" w:hAnsi="Calibri" w:cs="Calibri"/>
          <w:color w:val="000000" w:themeColor="text1"/>
        </w:rPr>
        <w:t xml:space="preserve"> 5’UTR in saliva samples of young adults divided for 3’UTR VNTR genotype for the individual CpG sites and the average (Ave) of the CpG sites under study. </w:t>
      </w:r>
      <w:r w:rsidRPr="006C3E44">
        <w:rPr>
          <w:rFonts w:ascii="Calibri" w:hAnsi="Calibri" w:cs="Calibri"/>
          <w:b/>
          <w:bCs/>
          <w:color w:val="000000" w:themeColor="text1"/>
        </w:rPr>
        <w:t>b</w:t>
      </w:r>
      <w:r w:rsidRPr="006C3E44">
        <w:rPr>
          <w:rFonts w:ascii="Calibri" w:hAnsi="Calibri" w:cs="Calibri"/>
          <w:color w:val="000000" w:themeColor="text1"/>
        </w:rPr>
        <w:t xml:space="preserve">) DNA methylation at </w:t>
      </w:r>
      <w:r w:rsidRPr="006C3E44">
        <w:rPr>
          <w:rFonts w:ascii="Calibri" w:hAnsi="Calibri" w:cs="Calibri"/>
          <w:i/>
          <w:iCs/>
          <w:color w:val="000000" w:themeColor="text1"/>
        </w:rPr>
        <w:t>DAT1</w:t>
      </w:r>
      <w:r w:rsidRPr="006C3E44">
        <w:rPr>
          <w:rFonts w:ascii="Calibri" w:hAnsi="Calibri" w:cs="Calibri"/>
          <w:color w:val="000000" w:themeColor="text1"/>
        </w:rPr>
        <w:t xml:space="preserve"> 5’UTR CpG site 5 in saliva samples of young adults stratified based on their IAT score, represented as scattered dot plots (mean ± SEM, of each group) for the individual CpG sites. Significant differences are indicated (Bonferroni corrected *p &lt; 0.05, **p &lt; 0.01, ****p &lt; 0.001).</w:t>
      </w:r>
    </w:p>
    <w:p w14:paraId="6F996913" w14:textId="77777777" w:rsidR="00316156" w:rsidRDefault="00316156"/>
    <w:sectPr w:rsidR="0031615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A95"/>
    <w:rsid w:val="00225A95"/>
    <w:rsid w:val="00316156"/>
    <w:rsid w:val="006C3E44"/>
    <w:rsid w:val="00B9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8A664"/>
  <w15:chartTrackingRefBased/>
  <w15:docId w15:val="{EF95F1C8-9350-41A6-9078-EF71B8D77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25A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1807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 Bellia</dc:creator>
  <cp:keywords/>
  <dc:description/>
  <cp:lastModifiedBy>Fabio Bellia</cp:lastModifiedBy>
  <cp:revision>3</cp:revision>
  <dcterms:created xsi:type="dcterms:W3CDTF">2023-07-27T16:19:00Z</dcterms:created>
  <dcterms:modified xsi:type="dcterms:W3CDTF">2023-07-30T14:20:00Z</dcterms:modified>
</cp:coreProperties>
</file>