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lang w:val="en-US" w:eastAsia="zh-CN"/>
        </w:rPr>
        <w:t>Table S2. Illumina PE sequencing results</w:t>
      </w:r>
      <w:bookmarkEnd w:id="0"/>
    </w:p>
    <w:p>
      <w:pPr>
        <w:jc w:val="center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2"/>
        <w:tblW w:w="920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283"/>
        <w:gridCol w:w="1283"/>
        <w:gridCol w:w="1283"/>
        <w:gridCol w:w="1283"/>
        <w:gridCol w:w="1283"/>
        <w:gridCol w:w="12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9" w:type="dxa"/>
            <w:tcBorders>
              <w:top w:val="single" w:color="000000" w:themeColor="text1" w:sz="12" w:space="0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Sample ID</w:t>
            </w:r>
          </w:p>
        </w:tc>
        <w:tc>
          <w:tcPr>
            <w:tcW w:w="1283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Insert size (bp)</w:t>
            </w:r>
          </w:p>
        </w:tc>
        <w:tc>
          <w:tcPr>
            <w:tcW w:w="1283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Raw data (Mb)</w:t>
            </w:r>
          </w:p>
        </w:tc>
        <w:tc>
          <w:tcPr>
            <w:tcW w:w="1283" w:type="dxa"/>
            <w:tcBorders>
              <w:top w:val="single" w:color="000000" w:themeColor="text1" w:sz="12" w:space="0"/>
              <w:left w:val="nil"/>
              <w:bottom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Clean data (Mb)</w:t>
            </w:r>
          </w:p>
        </w:tc>
        <w:tc>
          <w:tcPr>
            <w:tcW w:w="1283" w:type="dxa"/>
            <w:tcBorders>
              <w:top w:val="single" w:color="000000" w:themeColor="text1" w:sz="12" w:space="0"/>
              <w:left w:val="nil"/>
              <w:bottom w:val="nil"/>
            </w:tcBorders>
            <w:noWrap w:val="0"/>
            <w:vAlign w:val="top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Clean data GC(%)</w:t>
            </w:r>
          </w:p>
        </w:tc>
        <w:tc>
          <w:tcPr>
            <w:tcW w:w="1283" w:type="dxa"/>
            <w:tcBorders>
              <w:top w:val="single" w:color="000000" w:themeColor="text1" w:sz="12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Clean data Q20(%)</w:t>
            </w:r>
          </w:p>
        </w:tc>
        <w:tc>
          <w:tcPr>
            <w:tcW w:w="1288" w:type="dxa"/>
            <w:tcBorders>
              <w:top w:val="single" w:color="000000" w:themeColor="text1" w:sz="12" w:space="0"/>
              <w:left w:val="nil"/>
              <w:bottom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微软雅黑" w:cs="Times New Roman"/>
                <w:b/>
                <w:color w:val="000000"/>
                <w:kern w:val="0"/>
                <w:sz w:val="18"/>
                <w:szCs w:val="18"/>
              </w:rPr>
              <w:t>Clean data Q30(%)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9" w:type="dxa"/>
            <w:tcBorders>
              <w:top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omentosum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450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6850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6292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41.18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97.98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93.73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9" w:type="dxa"/>
            <w:tcBorders>
              <w:top w:val="nil"/>
              <w:bottom w:val="single" w:color="000000" w:themeColor="text1" w:sz="12" w:space="0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A</w:t>
            </w: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color w:val="auto"/>
                <w:sz w:val="21"/>
                <w:szCs w:val="24"/>
                <w:lang w:val="en-US" w:eastAsia="zh-CN"/>
              </w:rPr>
              <w:t xml:space="preserve"> lappa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450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6363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themeColor="text1" w:sz="12" w:space="0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5706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themeColor="text1" w:sz="12" w:space="0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42.91</w:t>
            </w:r>
          </w:p>
        </w:tc>
        <w:tc>
          <w:tcPr>
            <w:tcW w:w="1283" w:type="dxa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98.04</w:t>
            </w:r>
          </w:p>
        </w:tc>
        <w:tc>
          <w:tcPr>
            <w:tcW w:w="1288" w:type="dxa"/>
            <w:tcBorders>
              <w:top w:val="nil"/>
              <w:left w:val="nil"/>
              <w:bottom w:val="single" w:color="000000" w:themeColor="text1" w:sz="12" w:space="0"/>
            </w:tcBorders>
            <w:noWrap w:val="0"/>
            <w:vAlign w:val="center"/>
          </w:tcPr>
          <w:p>
            <w:pPr>
              <w:keepNext/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</w:pPr>
            <w:r>
              <w:rPr>
                <w:rFonts w:hint="default" w:ascii="Times New Roman" w:hAnsi="Times New Roman" w:eastAsia="微软雅黑" w:cs="Times New Roman"/>
                <w:color w:val="000000"/>
                <w:sz w:val="18"/>
                <w:szCs w:val="22"/>
              </w:rPr>
              <w:t>93.87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/>
        </w:rPr>
        <w:t xml:space="preserve">nsert size: insert length;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R</w:t>
      </w:r>
      <w:r>
        <w:rPr>
          <w:rFonts w:hint="default" w:ascii="Times New Roman" w:hAnsi="Times New Roman" w:cs="Times New Roman"/>
        </w:rPr>
        <w:t xml:space="preserve">aw data: amount of original sequencing data;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/>
        </w:rPr>
        <w:t xml:space="preserve">lean data: amount of effective data;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/>
        </w:rPr>
        <w:t xml:space="preserve">lean data GC: average GC content of effective data;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/>
        </w:rPr>
        <w:t xml:space="preserve">lean data Q20: the percentage of bases with pH value greater than 20 in the total base; </w:t>
      </w:r>
    </w:p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cs="Times New Roman"/>
        </w:rPr>
        <w:t xml:space="preserve">lean data </w:t>
      </w: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cs="Times New Roman"/>
        </w:rPr>
        <w:t>30: the percentage of bases with pH value greater than 30 in the total base.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E096C"/>
    <w:rsid w:val="378E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2020-04-04T04:30:00Z</dcterms:created>
  <dc:creator>*忘川</dc:creator>
  <cp:lastModifiedBy>*忘川</cp:lastModifiedBy>
  <dcterms:modified xsi:type="dcterms:W3CDTF">2020-04-04T04:31:00Z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