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highlight w:val="none"/>
          <w:lang w:val="en-US" w:eastAsia="zh-CN"/>
        </w:rPr>
        <w:drawing>
          <wp:inline distT="0" distB="0" distL="114300" distR="114300">
            <wp:extent cx="5259070" cy="5865495"/>
            <wp:effectExtent l="0" t="0" r="17780" b="1905"/>
            <wp:docPr id="2" name="图片 2" descr="MTNB_NC023337.parall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TNB_NC023337.paralle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586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Cs/>
          <w:kern w:val="0"/>
          <w:sz w:val="21"/>
          <w:szCs w:val="21"/>
          <w:lang w:val="en-US" w:eastAsia="zh-CN"/>
        </w:rPr>
        <w:t xml:space="preserve">Figure S2. Collinear relationship between mitochondrial genomes of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>omentosum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Cs/>
          <w:kern w:val="0"/>
          <w:sz w:val="21"/>
          <w:szCs w:val="21"/>
          <w:lang w:val="en-US" w:eastAsia="zh-CN"/>
        </w:rPr>
        <w:t>and other three Asteraceae plants, respectively.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F6864"/>
    <w:rsid w:val="75CF6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2020-04-04T04:51:00Z</dcterms:created>
  <dc:creator>*忘川</dc:creator>
  <cp:lastModifiedBy>*忘川</cp:lastModifiedBy>
  <dcterms:modified xsi:type="dcterms:W3CDTF">2020-04-04T04:51:58Z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