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Table S10.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highlight w:val="none"/>
          <w:lang w:val="en-US" w:eastAsia="zh-CN"/>
        </w:rPr>
        <w:t>A. lappa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 SNP annotation results of the reference sequence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  <w:t>omentosum</w:t>
      </w:r>
      <w:bookmarkEnd w:id="0"/>
    </w:p>
    <w:p>
      <w:pPr>
        <w:jc w:val="center"/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4"/>
          <w:lang w:val="en-US" w:eastAsia="zh-CN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668"/>
        <w:gridCol w:w="706"/>
        <w:gridCol w:w="779"/>
        <w:gridCol w:w="762"/>
        <w:gridCol w:w="863"/>
        <w:gridCol w:w="789"/>
        <w:gridCol w:w="891"/>
        <w:gridCol w:w="743"/>
        <w:gridCol w:w="946"/>
        <w:gridCol w:w="60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291" w:type="dxa"/>
            <w:vMerge w:val="restart"/>
            <w:tcBorders>
              <w:top w:val="single" w:color="auto" w:sz="12" w:space="0"/>
              <w:bottom w:val="single" w:color="auto" w:sz="8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Sample</w:t>
            </w:r>
          </w:p>
        </w:tc>
        <w:tc>
          <w:tcPr>
            <w:tcW w:w="6201" w:type="dxa"/>
            <w:gridSpan w:val="8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CDS</w:t>
            </w:r>
          </w:p>
        </w:tc>
        <w:tc>
          <w:tcPr>
            <w:tcW w:w="946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Intergenic</w:t>
            </w:r>
          </w:p>
        </w:tc>
        <w:tc>
          <w:tcPr>
            <w:tcW w:w="60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91" w:type="dxa"/>
            <w:vMerge w:val="continue"/>
            <w:tcBorders>
              <w:top w:val="nil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6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Start_syn</w:t>
            </w:r>
          </w:p>
        </w:tc>
        <w:tc>
          <w:tcPr>
            <w:tcW w:w="70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Stop_syn</w:t>
            </w:r>
          </w:p>
        </w:tc>
        <w:tc>
          <w:tcPr>
            <w:tcW w:w="77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Start_nonsyn</w:t>
            </w:r>
          </w:p>
        </w:tc>
        <w:tc>
          <w:tcPr>
            <w:tcW w:w="76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Stop_nonsyn</w:t>
            </w:r>
          </w:p>
        </w:tc>
        <w:tc>
          <w:tcPr>
            <w:tcW w:w="86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Premature_stop</w:t>
            </w:r>
          </w:p>
        </w:tc>
        <w:tc>
          <w:tcPr>
            <w:tcW w:w="78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Synonymous</w:t>
            </w:r>
          </w:p>
        </w:tc>
        <w:tc>
          <w:tcPr>
            <w:tcW w:w="89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Nonsynonymous</w:t>
            </w:r>
          </w:p>
        </w:tc>
        <w:tc>
          <w:tcPr>
            <w:tcW w:w="74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Total</w:t>
            </w:r>
          </w:p>
        </w:tc>
        <w:tc>
          <w:tcPr>
            <w:tcW w:w="94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60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/>
              <w:keepLines/>
              <w:widowControl/>
              <w:suppressLineNumbers/>
              <w:suppressAutoHyphens/>
              <w:spacing w:line="36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  <w:jc w:val="center"/>
        </w:trPr>
        <w:tc>
          <w:tcPr>
            <w:tcW w:w="1291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kern w:val="0"/>
                <w:sz w:val="21"/>
                <w:szCs w:val="21"/>
                <w:highlight w:val="none"/>
                <w:lang w:val="en-US" w:eastAsia="zh-CN" w:bidi="ar"/>
              </w:rPr>
              <w:t>lappa</w:t>
            </w:r>
          </w:p>
        </w:tc>
        <w:tc>
          <w:tcPr>
            <w:tcW w:w="668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706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779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762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863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0</w:t>
            </w:r>
          </w:p>
        </w:tc>
        <w:tc>
          <w:tcPr>
            <w:tcW w:w="789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891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13</w:t>
            </w:r>
          </w:p>
        </w:tc>
        <w:tc>
          <w:tcPr>
            <w:tcW w:w="743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18</w:t>
            </w:r>
          </w:p>
        </w:tc>
        <w:tc>
          <w:tcPr>
            <w:tcW w:w="946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32</w:t>
            </w:r>
          </w:p>
        </w:tc>
        <w:tc>
          <w:tcPr>
            <w:tcW w:w="604" w:type="dxa"/>
            <w:tcBorders>
              <w:top w:val="nil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</w:rPr>
              <w:t>50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Start_syn: start codon synonymous mutation, that is, the start codon after mutation is still the start codon; Stop_syn: stop codon synonymous mutation; Start_nonsyn: start codon nonsynonymous mutation, that is, the start codon after mutation is no longer the start codon; Stop_nonsyn: stop codon nonsynonymous mutation;Premature_stop: a nonsense mutation in which the triplet codon at the site mutates into a stop codon; Synonymous: synonymous mutation within the gene region; Nonsynonymous: nonsynonymous mutation within the gene region; Intergenic: SNP within the intergenic region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942D"/>
    <w:multiLevelType w:val="singleLevel"/>
    <w:tmpl w:val="0897942D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83E4A"/>
    <w:rsid w:val="6858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2020-04-04T04:37:00Z</dcterms:created>
  <dc:creator>*忘川</dc:creator>
  <cp:lastModifiedBy>*忘川</cp:lastModifiedBy>
  <dcterms:modified xsi:type="dcterms:W3CDTF">2020-04-04T04:38:13Z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