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rPr>
          <w:rFonts w:ascii="Times New Roman" w:hAnsi="Times New Roman" w:eastAsia="宋体" w:cs="Times New Roman"/>
          <w:color w:val="000000"/>
          <w:sz w:val="32"/>
          <w:szCs w:val="32"/>
        </w:rPr>
      </w:pPr>
      <w:r>
        <w:rPr>
          <w:rFonts w:ascii="Times New Roman" w:hAnsi="Times New Roman" w:eastAsia="TimesNewRomanPS-BoldMT" w:cs="Times New Roman"/>
          <w:b/>
          <w:color w:val="000000"/>
          <w:sz w:val="32"/>
          <w:szCs w:val="32"/>
        </w:rPr>
        <w:t>Supporting information for this article</w:t>
      </w:r>
      <w:r>
        <w:rPr>
          <w:rFonts w:ascii="Times New Roman" w:hAnsi="Times New Roman" w:eastAsia="宋体" w:cs="Times New Roman"/>
          <w:color w:val="000000"/>
          <w:sz w:val="32"/>
          <w:szCs w:val="32"/>
        </w:rPr>
        <w:t>：</w:t>
      </w:r>
    </w:p>
    <w:p>
      <w:pPr>
        <w:spacing w:after="240" w:afterAutospacing="0"/>
        <w:jc w:val="left"/>
        <w:rPr>
          <w:rFonts w:hint="eastAsia" w:ascii="Times New Roman" w:hAnsi="Times New Roman" w:eastAsia="宋体" w:cs="Times New Roman"/>
          <w:b/>
          <w:color w:val="000000"/>
          <w:sz w:val="28"/>
          <w:szCs w:val="28"/>
          <w:lang w:val="en-US" w:eastAsia="zh-CN"/>
        </w:rPr>
      </w:pPr>
      <w:r>
        <w:rPr>
          <w:rFonts w:ascii="Times New Roman" w:hAnsi="Times New Roman" w:eastAsia="TimesNewRomanPS-BoldMT" w:cs="Times New Roman"/>
          <w:b/>
          <w:color w:val="000000"/>
          <w:sz w:val="28"/>
          <w:szCs w:val="28"/>
        </w:rPr>
        <w:t>Fig. S</w:t>
      </w:r>
      <w:r>
        <w:rPr>
          <w:rFonts w:hint="eastAsia" w:ascii="Times New Roman" w:hAnsi="Times New Roman" w:eastAsia="宋体" w:cs="Times New Roman"/>
          <w:b/>
          <w:color w:val="000000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TimesNewRomanPS-BoldMT" w:cs="Times New Roman"/>
          <w:b/>
          <w:color w:val="000000"/>
          <w:sz w:val="28"/>
          <w:szCs w:val="28"/>
        </w:rPr>
        <w:t xml:space="preserve">: </w:t>
      </w:r>
      <w:r>
        <w:rPr>
          <w:rFonts w:hint="eastAsia" w:ascii="Times New Roman" w:hAnsi="Times New Roman" w:eastAsia="宋体" w:cs="Times New Roman"/>
          <w:b/>
          <w:color w:val="000000"/>
          <w:sz w:val="28"/>
          <w:szCs w:val="28"/>
          <w:lang w:val="en-US" w:eastAsia="zh-CN"/>
        </w:rPr>
        <w:t xml:space="preserve">The </w:t>
      </w:r>
      <w:r>
        <w:rPr>
          <w:rFonts w:ascii="Times New Roman" w:hAnsi="Times New Roman" w:eastAsia="TimesNewRomanPS-BoldMT" w:cs="Times New Roman"/>
          <w:b/>
          <w:color w:val="000000"/>
          <w:sz w:val="28"/>
          <w:szCs w:val="28"/>
        </w:rPr>
        <w:t>IR spectras</w:t>
      </w:r>
      <w:r>
        <w:rPr>
          <w:rFonts w:hint="eastAsia" w:ascii="Times New Roman" w:hAnsi="Times New Roman" w:eastAsia="宋体" w:cs="Times New Roman"/>
          <w:b/>
          <w:color w:val="000000"/>
          <w:sz w:val="28"/>
          <w:szCs w:val="28"/>
          <w:lang w:val="en-US" w:eastAsia="zh-CN"/>
        </w:rPr>
        <w:t xml:space="preserve"> of 1-3</w:t>
      </w:r>
    </w:p>
    <w:p>
      <w:pPr>
        <w:spacing w:after="240"/>
        <w:jc w:val="center"/>
        <w:rPr>
          <w:rFonts w:hint="eastAsia" w:ascii="Times New Roman" w:hAnsi="Times New Roman" w:eastAsia="宋体" w:cs="Times New Roman"/>
          <w:color w:val="000000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eastAsia="zh-CN"/>
        </w:rPr>
        <w:drawing>
          <wp:inline distT="0" distB="0" distL="114300" distR="114300">
            <wp:extent cx="3016250" cy="2359660"/>
            <wp:effectExtent l="0" t="0" r="12700" b="254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jc w:val="center"/>
        <w:rPr>
          <w:rFonts w:hint="eastAsia" w:ascii="TimesNewRomanPS-BoldMT" w:hAnsi="TimesNewRomanPS-BoldMT" w:eastAsia="宋体" w:cs="TimesNewRomanPS-BoldMT"/>
          <w:b/>
          <w:color w:val="000000"/>
          <w:sz w:val="20"/>
          <w:szCs w:val="20"/>
        </w:rPr>
      </w:pP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>The IR c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>spectra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 of </w:t>
      </w:r>
      <w:r>
        <w:rPr>
          <w:rFonts w:ascii="Times New Roman" w:hAnsi="Times New Roman" w:eastAsia="TimesNewRomanPS-BoldMT" w:cs="Times New Roman"/>
          <w:b/>
          <w:color w:val="000000"/>
          <w:sz w:val="20"/>
          <w:szCs w:val="20"/>
        </w:rPr>
        <w:t>1</w:t>
      </w:r>
    </w:p>
    <w:p>
      <w:pPr>
        <w:spacing w:after="240"/>
        <w:jc w:val="center"/>
      </w:pPr>
    </w:p>
    <w:p>
      <w:pPr>
        <w:spacing w:after="24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939415" cy="2357120"/>
            <wp:effectExtent l="0" t="0" r="13335" b="508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39415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jc w:val="center"/>
        <w:rPr>
          <w:rFonts w:ascii="Times New Roman" w:hAnsi="Times New Roman" w:eastAsia="TimesNewRomanPS-BoldMT" w:cs="Times New Roman"/>
          <w:b/>
          <w:color w:val="000000"/>
          <w:sz w:val="20"/>
          <w:szCs w:val="20"/>
        </w:rPr>
      </w:pPr>
      <w:bookmarkStart w:id="0" w:name="OLE_LINK1"/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The IR 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>spectra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 of </w:t>
      </w:r>
      <w:r>
        <w:rPr>
          <w:rFonts w:ascii="Times New Roman" w:hAnsi="Times New Roman" w:eastAsia="TimesNewRomanPS-BoldMT" w:cs="Times New Roman"/>
          <w:b/>
          <w:color w:val="000000"/>
          <w:sz w:val="20"/>
          <w:szCs w:val="20"/>
        </w:rPr>
        <w:t>2</w:t>
      </w:r>
    </w:p>
    <w:bookmarkEnd w:id="0"/>
    <w:p>
      <w:pPr>
        <w:spacing w:after="240"/>
        <w:jc w:val="center"/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  <w:drawing>
          <wp:inline distT="0" distB="0" distL="114300" distR="114300">
            <wp:extent cx="2973070" cy="2367915"/>
            <wp:effectExtent l="0" t="0" r="17780" b="13335"/>
            <wp:docPr id="5" name="图片 5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raph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307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jc w:val="center"/>
        <w:rPr>
          <w:rFonts w:ascii="TimesNewRomanPSMT" w:hAnsi="TimesNewRomanPSMT" w:eastAsia="TimesNewRomanPSMT" w:cs="TimesNewRomanPSMT"/>
          <w:b/>
          <w:bCs/>
          <w:i w:val="0"/>
          <w:color w:val="000000"/>
          <w:sz w:val="24"/>
          <w:szCs w:val="24"/>
        </w:rPr>
      </w:pP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The IR 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>spectra</w:t>
      </w:r>
      <w:bookmarkStart w:id="2" w:name="_GoBack"/>
      <w:bookmarkEnd w:id="2"/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 of </w:t>
      </w: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val="en-US" w:eastAsia="zh-CN"/>
        </w:rPr>
        <w:t>3</w:t>
      </w:r>
    </w:p>
    <w:p>
      <w:pPr>
        <w:spacing w:after="240" w:afterAutospacing="0"/>
        <w:jc w:val="left"/>
        <w:rPr>
          <w:rFonts w:ascii="TimesNewRomanPSMT" w:hAnsi="TimesNewRomanPSMT" w:eastAsia="TimesNewRomanPSMT" w:cs="TimesNewRomanPSMT"/>
          <w:b/>
          <w:bCs/>
          <w:i w:val="0"/>
          <w:color w:val="000000"/>
          <w:sz w:val="24"/>
          <w:szCs w:val="24"/>
        </w:rPr>
      </w:pPr>
      <w:bookmarkStart w:id="1" w:name="OLE_LINK2"/>
      <w:r>
        <w:rPr>
          <w:rFonts w:ascii="TimesNewRomanPSMT" w:hAnsi="TimesNewRomanPSMT" w:eastAsia="TimesNewRomanPSMT" w:cs="TimesNewRomanPSMT"/>
          <w:b/>
          <w:bCs/>
          <w:i w:val="0"/>
          <w:color w:val="000000"/>
          <w:sz w:val="24"/>
          <w:szCs w:val="24"/>
        </w:rPr>
        <w:t>Fig. S</w:t>
      </w:r>
      <w:r>
        <w:rPr>
          <w:rFonts w:hint="eastAsia" w:ascii="TimesNewRomanPSMT" w:hAnsi="TimesNewRomanPSMT" w:eastAsia="宋体" w:cs="TimesNewRomanPSMT"/>
          <w:b/>
          <w:bCs/>
          <w:i w:val="0"/>
          <w:color w:val="000000"/>
          <w:sz w:val="24"/>
          <w:szCs w:val="24"/>
          <w:lang w:val="en-US" w:eastAsia="zh-CN"/>
        </w:rPr>
        <w:t>2</w:t>
      </w:r>
      <w:r>
        <w:rPr>
          <w:rFonts w:ascii="TimesNewRomanPSMT" w:hAnsi="TimesNewRomanPSMT" w:eastAsia="TimesNewRomanPSMT" w:cs="TimesNewRomanPSMT"/>
          <w:b/>
          <w:bCs/>
          <w:i w:val="0"/>
          <w:color w:val="000000"/>
          <w:sz w:val="24"/>
          <w:szCs w:val="24"/>
        </w:rPr>
        <w:t>: Thermogravimetric analysis (TGA) curves of comp</w:t>
      </w:r>
      <w:r>
        <w:rPr>
          <w:rFonts w:hint="eastAsia" w:ascii="TimesNewRomanPSMT" w:hAnsi="TimesNewRomanPSMT" w:eastAsia="宋体" w:cs="TimesNewRomanPSMT"/>
          <w:b/>
          <w:bCs/>
          <w:i w:val="0"/>
          <w:color w:val="000000"/>
          <w:sz w:val="24"/>
          <w:szCs w:val="24"/>
          <w:lang w:val="en-US" w:eastAsia="zh-CN"/>
        </w:rPr>
        <w:t>ound</w:t>
      </w:r>
      <w:r>
        <w:rPr>
          <w:rFonts w:ascii="TimesNewRomanPSMT" w:hAnsi="TimesNewRomanPSMT" w:eastAsia="TimesNewRomanPSMT" w:cs="TimesNewRomanPSMT"/>
          <w:b/>
          <w:bCs/>
          <w:i w:val="0"/>
          <w:color w:val="000000"/>
          <w:sz w:val="24"/>
          <w:szCs w:val="24"/>
        </w:rPr>
        <w:t xml:space="preserve">s </w:t>
      </w:r>
    </w:p>
    <w:bookmarkEnd w:id="1"/>
    <w:p>
      <w:pPr>
        <w:spacing w:after="240"/>
        <w:jc w:val="center"/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  <w:drawing>
          <wp:inline distT="0" distB="0" distL="114300" distR="114300">
            <wp:extent cx="2938145" cy="1984375"/>
            <wp:effectExtent l="0" t="0" r="14605" b="15875"/>
            <wp:docPr id="10" name="图片 10" descr="1-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-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38145" cy="19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jc w:val="center"/>
        <w:rPr>
          <w:rFonts w:ascii="Times New Roman" w:hAnsi="Times New Roman" w:eastAsia="TimesNewRomanPS-BoldMT" w:cs="Times New Roman"/>
          <w:b/>
          <w:color w:val="000000"/>
          <w:sz w:val="20"/>
          <w:szCs w:val="20"/>
        </w:rPr>
      </w:pP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 xml:space="preserve">Fig. 4(a) 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The 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>TGA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 curve of </w:t>
      </w: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val="en-US" w:eastAsia="zh-CN"/>
        </w:rPr>
        <w:t>1</w:t>
      </w:r>
    </w:p>
    <w:p>
      <w:pPr>
        <w:spacing w:after="240"/>
        <w:jc w:val="center"/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  <w:drawing>
          <wp:inline distT="0" distB="0" distL="114300" distR="114300">
            <wp:extent cx="2934335" cy="2224405"/>
            <wp:effectExtent l="0" t="0" r="18415" b="4445"/>
            <wp:docPr id="11" name="图片 11" descr="2-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-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34335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jc w:val="center"/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 xml:space="preserve">Fig. 4(b) 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The 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>TGA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 curve of </w:t>
      </w:r>
      <w:r>
        <w:rPr>
          <w:rFonts w:ascii="Times New Roman" w:hAnsi="Times New Roman" w:eastAsia="TimesNewRomanPS-BoldMT" w:cs="Times New Roman"/>
          <w:b/>
          <w:color w:val="000000"/>
          <w:sz w:val="20"/>
          <w:szCs w:val="20"/>
        </w:rPr>
        <w:t>2</w:t>
      </w:r>
    </w:p>
    <w:p>
      <w:pPr>
        <w:spacing w:after="240"/>
        <w:jc w:val="center"/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eastAsia="zh-CN"/>
        </w:rPr>
        <w:drawing>
          <wp:inline distT="0" distB="0" distL="114300" distR="114300">
            <wp:extent cx="3089910" cy="2374265"/>
            <wp:effectExtent l="0" t="0" r="15240" b="6985"/>
            <wp:docPr id="12" name="图片 12" descr="3-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-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991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/>
        <w:jc w:val="center"/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 xml:space="preserve">Fig. 4(c) 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The </w:t>
      </w:r>
      <w:r>
        <w:rPr>
          <w:rFonts w:hint="eastAsia" w:ascii="Times New Roman" w:hAnsi="Times New Roman" w:eastAsia="宋体" w:cs="Times New Roman"/>
          <w:color w:val="000000"/>
          <w:sz w:val="20"/>
          <w:szCs w:val="20"/>
          <w:lang w:val="en-US" w:eastAsia="zh-CN"/>
        </w:rPr>
        <w:t>TGA</w:t>
      </w:r>
      <w:r>
        <w:rPr>
          <w:rFonts w:ascii="Times New Roman" w:hAnsi="Times New Roman" w:eastAsia="TimesNewRomanPSMT" w:cs="Times New Roman"/>
          <w:color w:val="000000"/>
          <w:sz w:val="20"/>
          <w:szCs w:val="20"/>
        </w:rPr>
        <w:t xml:space="preserve"> curve of </w:t>
      </w:r>
      <w:r>
        <w:rPr>
          <w:rFonts w:hint="eastAsia" w:ascii="Times New Roman" w:hAnsi="Times New Roman" w:eastAsia="宋体" w:cs="Times New Roman"/>
          <w:b/>
          <w:color w:val="000000"/>
          <w:sz w:val="20"/>
          <w:szCs w:val="20"/>
          <w:lang w:val="en-US" w:eastAsia="zh-CN"/>
        </w:rPr>
        <w:t>3</w:t>
      </w:r>
    </w:p>
    <w:p>
      <w:pPr>
        <w:spacing w:after="240" w:afterAutospacing="0"/>
        <w:jc w:val="left"/>
        <w:rPr>
          <w:rFonts w:ascii="TimesNewRomanPSMT" w:hAnsi="TimesNewRomanPSMT" w:eastAsia="TimesNewRomanPSMT" w:cs="TimesNewRomanPSMT"/>
          <w:b/>
          <w:bCs/>
          <w:i w:val="0"/>
          <w:color w:val="000000"/>
          <w:sz w:val="24"/>
          <w:szCs w:val="24"/>
        </w:rPr>
      </w:pPr>
    </w:p>
    <w:p>
      <w:pPr>
        <w:spacing w:after="240" w:afterAutospacing="0"/>
        <w:jc w:val="center"/>
      </w:pPr>
    </w:p>
    <w:p>
      <w:pPr>
        <w:spacing w:after="240"/>
        <w:jc w:val="center"/>
      </w:pPr>
    </w:p>
    <w:p>
      <w:pPr>
        <w:spacing w:after="240"/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NewRomanPS-BoldM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FF9"/>
    <w:rsid w:val="000F6FF9"/>
    <w:rsid w:val="00937ED8"/>
    <w:rsid w:val="00967A6C"/>
    <w:rsid w:val="00E52822"/>
    <w:rsid w:val="02DA6F3B"/>
    <w:rsid w:val="07BD79FF"/>
    <w:rsid w:val="093F5371"/>
    <w:rsid w:val="0C92698B"/>
    <w:rsid w:val="0D7C671C"/>
    <w:rsid w:val="0DB53215"/>
    <w:rsid w:val="0E1B6599"/>
    <w:rsid w:val="0E245572"/>
    <w:rsid w:val="0E6E240E"/>
    <w:rsid w:val="16F14AD6"/>
    <w:rsid w:val="18AA0B75"/>
    <w:rsid w:val="18EB6DD7"/>
    <w:rsid w:val="18FF0A58"/>
    <w:rsid w:val="1B3E776E"/>
    <w:rsid w:val="1B927F28"/>
    <w:rsid w:val="1CEA2BAC"/>
    <w:rsid w:val="1FA4082F"/>
    <w:rsid w:val="22622FAA"/>
    <w:rsid w:val="25343CA6"/>
    <w:rsid w:val="2BBD26E2"/>
    <w:rsid w:val="30024074"/>
    <w:rsid w:val="32B35ED5"/>
    <w:rsid w:val="33AB65AD"/>
    <w:rsid w:val="37253719"/>
    <w:rsid w:val="3B8B02E4"/>
    <w:rsid w:val="3B8D40C5"/>
    <w:rsid w:val="3DD01060"/>
    <w:rsid w:val="3F9B1450"/>
    <w:rsid w:val="40FD29B3"/>
    <w:rsid w:val="44A23E65"/>
    <w:rsid w:val="4D3A4042"/>
    <w:rsid w:val="4E912C8D"/>
    <w:rsid w:val="4F0F53A9"/>
    <w:rsid w:val="53137DAE"/>
    <w:rsid w:val="53ED7966"/>
    <w:rsid w:val="59597EA9"/>
    <w:rsid w:val="5F6921A6"/>
    <w:rsid w:val="5FA1115D"/>
    <w:rsid w:val="60231893"/>
    <w:rsid w:val="63D9413D"/>
    <w:rsid w:val="646F03D1"/>
    <w:rsid w:val="69634E5A"/>
    <w:rsid w:val="69E551A4"/>
    <w:rsid w:val="6BE61AE1"/>
    <w:rsid w:val="6D836134"/>
    <w:rsid w:val="6E1910B9"/>
    <w:rsid w:val="6FB34F32"/>
    <w:rsid w:val="6FCC55F5"/>
    <w:rsid w:val="704F5DBB"/>
    <w:rsid w:val="76AB34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04 A Heading"/>
    <w:basedOn w:val="1"/>
    <w:next w:val="5"/>
    <w:qFormat/>
    <w:uiPriority w:val="0"/>
    <w:pPr>
      <w:spacing w:before="240" w:beforeLines="0" w:after="120" w:afterLines="0" w:line="240" w:lineRule="auto"/>
    </w:pPr>
    <w:rPr>
      <w:b/>
      <w:sz w:val="20"/>
      <w:szCs w:val="20"/>
    </w:rPr>
  </w:style>
  <w:style w:type="paragraph" w:customStyle="1" w:styleId="5">
    <w:name w:val="08 Article Text"/>
    <w:basedOn w:val="1"/>
    <w:qFormat/>
    <w:uiPriority w:val="0"/>
    <w:pPr>
      <w:tabs>
        <w:tab w:val="left" w:pos="284"/>
      </w:tabs>
      <w:spacing w:after="0" w:afterLines="0" w:line="240" w:lineRule="exact"/>
      <w:jc w:val="both"/>
    </w:pPr>
    <w:rPr>
      <w:sz w:val="18"/>
      <w:szCs w:val="18"/>
      <w:lang w:eastAsia="en-G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832</Words>
  <Characters>4015</Characters>
  <Lines>2</Lines>
  <Paragraphs>1</Paragraphs>
  <TotalTime>1</TotalTime>
  <ScaleCrop>false</ScaleCrop>
  <LinksUpToDate>false</LinksUpToDate>
  <CharactersWithSpaces>4241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FFZJ</cp:lastModifiedBy>
  <dcterms:modified xsi:type="dcterms:W3CDTF">2019-06-13T07:18:01Z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