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67213" w14:textId="77777777" w:rsidR="00A067E0" w:rsidRPr="00BC7CEB" w:rsidRDefault="00A067E0" w:rsidP="00A067E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Indexed Abstract Page</w:t>
      </w:r>
    </w:p>
    <w:p w14:paraId="2E8327FC" w14:textId="77777777" w:rsidR="00A067E0" w:rsidRPr="00DF31C8" w:rsidRDefault="00A067E0" w:rsidP="00A067E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31C8">
        <w:rPr>
          <w:rFonts w:ascii="Times New Roman" w:hAnsi="Times New Roman" w:cs="Times New Roman"/>
          <w:b/>
          <w:sz w:val="28"/>
          <w:szCs w:val="28"/>
        </w:rPr>
        <w:t>Fish-bone like Cd(II)-1D coordination polymer: Structural elucidation and theoretical Study</w:t>
      </w:r>
    </w:p>
    <w:p w14:paraId="78A1BA4C" w14:textId="77777777" w:rsidR="00A067E0" w:rsidRDefault="00A067E0" w:rsidP="00A067E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F31C8">
        <w:rPr>
          <w:rFonts w:ascii="Times New Roman" w:hAnsi="Times New Roman" w:cs="Times New Roman"/>
          <w:sz w:val="24"/>
          <w:szCs w:val="24"/>
        </w:rPr>
        <w:t>Soumyajyoti Ghosh, Suprava Bhunia,</w:t>
      </w:r>
      <w:r w:rsidRPr="00DF31C8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F31C8">
        <w:rPr>
          <w:rFonts w:ascii="Times New Roman" w:hAnsi="Times New Roman" w:cs="Times New Roman"/>
          <w:sz w:val="24"/>
          <w:szCs w:val="24"/>
        </w:rPr>
        <w:t>Koushik Saha, Manik Shit, Pradip Kumar Mahapatra, Basudeb Dutta, Chittaranjan Sinha</w:t>
      </w:r>
    </w:p>
    <w:p w14:paraId="6F74E7F3" w14:textId="77777777" w:rsidR="00A067E0" w:rsidRDefault="00A067E0" w:rsidP="00A067E0">
      <w:pPr>
        <w:shd w:val="clear" w:color="auto" w:fill="FFFFFF"/>
        <w:spacing w:after="240" w:line="48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Cd(II)-based 1D-CP of carboxylato bridging and coordinated with</w:t>
      </w:r>
      <w:r w:rsidRPr="00DF31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rarely used </w:t>
      </w:r>
      <w:r w:rsidRPr="00DF31C8">
        <w:rPr>
          <w:rFonts w:ascii="Times New Roman" w:hAnsi="Times New Roman" w:cs="Times New Roman"/>
          <w:sz w:val="24"/>
          <w:szCs w:val="24"/>
        </w:rPr>
        <w:t>mono-N-donor ligand 2-pyridin-4-ylbenzothiazol</w:t>
      </w:r>
      <w:r>
        <w:rPr>
          <w:rFonts w:ascii="Times New Roman" w:hAnsi="Times New Roman" w:cs="Times New Roman"/>
          <w:sz w:val="24"/>
          <w:szCs w:val="24"/>
        </w:rPr>
        <w:t xml:space="preserve"> (PBT), </w:t>
      </w:r>
      <w:r w:rsidRPr="00DF31C8">
        <w:rPr>
          <w:rFonts w:ascii="Times New Roman" w:hAnsi="Times New Roman" w:cs="Times New Roman"/>
          <w:sz w:val="24"/>
          <w:szCs w:val="24"/>
        </w:rPr>
        <w:t>{[Cd(5-NIPA)</w:t>
      </w:r>
      <w:r w:rsidRPr="00DF31C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F31C8">
        <w:rPr>
          <w:rFonts w:ascii="Times New Roman" w:hAnsi="Times New Roman" w:cs="Times New Roman"/>
          <w:sz w:val="24"/>
          <w:szCs w:val="24"/>
        </w:rPr>
        <w:t>(PBT)</w:t>
      </w:r>
      <w:r w:rsidRPr="00DF31C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F31C8">
        <w:rPr>
          <w:rFonts w:ascii="Times New Roman" w:hAnsi="Times New Roman" w:cs="Times New Roman"/>
          <w:sz w:val="24"/>
          <w:szCs w:val="24"/>
        </w:rPr>
        <w:t>]}</w:t>
      </w:r>
      <w:r w:rsidRPr="00DF31C8">
        <w:rPr>
          <w:rFonts w:ascii="Times New Roman" w:hAnsi="Times New Roman" w:cs="Times New Roman"/>
          <w:sz w:val="24"/>
          <w:szCs w:val="24"/>
          <w:vertAlign w:val="subscript"/>
        </w:rPr>
        <w:t xml:space="preserve"> n </w:t>
      </w:r>
      <w:r w:rsidRPr="00DF31C8">
        <w:rPr>
          <w:rFonts w:ascii="Times New Roman" w:hAnsi="Times New Roman" w:cs="Times New Roman"/>
          <w:sz w:val="24"/>
          <w:szCs w:val="24"/>
        </w:rPr>
        <w:t>(</w:t>
      </w:r>
      <w:r w:rsidRPr="00DF31C8">
        <w:rPr>
          <w:rFonts w:ascii="Times New Roman" w:hAnsi="Times New Roman" w:cs="Times New Roman"/>
          <w:b/>
          <w:sz w:val="24"/>
          <w:szCs w:val="24"/>
        </w:rPr>
        <w:t>1</w:t>
      </w:r>
      <w:r w:rsidRPr="00DF31C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F31C8">
        <w:rPr>
          <w:rFonts w:ascii="Times New Roman" w:hAnsi="Times New Roman" w:cs="Times New Roman"/>
          <w:sz w:val="24"/>
          <w:szCs w:val="24"/>
        </w:rPr>
        <w:t>5-H</w:t>
      </w:r>
      <w:r w:rsidRPr="00DF31C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F31C8">
        <w:rPr>
          <w:rFonts w:ascii="Times New Roman" w:hAnsi="Times New Roman" w:cs="Times New Roman"/>
          <w:sz w:val="24"/>
          <w:szCs w:val="24"/>
        </w:rPr>
        <w:t>NIPA = 5-nitroisophthalic acid</w:t>
      </w:r>
      <w:r>
        <w:rPr>
          <w:rFonts w:ascii="Times New Roman" w:hAnsi="Times New Roman" w:cs="Times New Roman"/>
          <w:sz w:val="24"/>
          <w:szCs w:val="24"/>
        </w:rPr>
        <w:t xml:space="preserve">), has been </w:t>
      </w:r>
      <w:r w:rsidRPr="00DF31C8">
        <w:rPr>
          <w:rFonts w:ascii="Times New Roman" w:hAnsi="Times New Roman" w:cs="Times New Roman"/>
          <w:sz w:val="24"/>
          <w:szCs w:val="24"/>
        </w:rPr>
        <w:t>structurally characterize</w:t>
      </w:r>
      <w:r>
        <w:rPr>
          <w:rFonts w:ascii="Times New Roman" w:hAnsi="Times New Roman" w:cs="Times New Roman"/>
          <w:sz w:val="24"/>
          <w:szCs w:val="24"/>
        </w:rPr>
        <w:t xml:space="preserve">d, photophysical properties have also been analysed </w:t>
      </w:r>
      <w:r w:rsidRPr="00DF31C8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determined band gap promises for energy harvesting material</w:t>
      </w:r>
      <w:r w:rsidRPr="00DF31C8">
        <w:rPr>
          <w:rFonts w:ascii="Times New Roman" w:hAnsi="Times New Roman" w:cs="Times New Roman"/>
          <w:sz w:val="24"/>
          <w:szCs w:val="24"/>
        </w:rPr>
        <w:t>.</w:t>
      </w:r>
    </w:p>
    <w:p w14:paraId="72F3364F" w14:textId="77777777" w:rsidR="00A067E0" w:rsidRDefault="00A067E0" w:rsidP="00A067E0">
      <w:pPr>
        <w:jc w:val="center"/>
      </w:pPr>
      <w:r>
        <w:rPr>
          <w:noProof/>
        </w:rPr>
        <w:drawing>
          <wp:inline distT="0" distB="0" distL="0" distR="0" wp14:anchorId="22094469" wp14:editId="58923B39">
            <wp:extent cx="2486025" cy="2709824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084" cy="2716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77573A" w14:textId="77777777" w:rsidR="00A067E0" w:rsidRDefault="00A067E0" w:rsidP="00A067E0"/>
    <w:p w14:paraId="385A46E1" w14:textId="77777777" w:rsidR="00A067E0" w:rsidRPr="00DF31C8" w:rsidRDefault="00A067E0" w:rsidP="00A067E0">
      <w:pPr>
        <w:tabs>
          <w:tab w:val="left" w:pos="155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5DF47C" w14:textId="77777777" w:rsidR="00A067E0" w:rsidRPr="007B19B6" w:rsidRDefault="00A067E0" w:rsidP="00A067E0"/>
    <w:p w14:paraId="01793595" w14:textId="77777777" w:rsidR="00A067E0" w:rsidRDefault="00A067E0" w:rsidP="00A067E0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7E53BFD" w14:textId="77777777" w:rsidR="00D10C5B" w:rsidRDefault="00D10C5B"/>
    <w:sectPr w:rsidR="00D10C5B" w:rsidSect="00B25DC2"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503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6DF32" w14:textId="77777777" w:rsidR="00C0570D" w:rsidRDefault="00A067E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DD6F76" w14:textId="77777777" w:rsidR="00C0570D" w:rsidRDefault="00A067E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7E0"/>
    <w:rsid w:val="00A067E0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3D100"/>
  <w15:chartTrackingRefBased/>
  <w15:docId w15:val="{0F3D1D94-D7F8-44EF-9A3C-B08E4211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7E0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067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E0"/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>Springer Nature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2023-05-09T11:33:00Z</dcterms:created>
  <dcterms:modified xsi:type="dcterms:W3CDTF">2023-05-09T11:33:00Z</dcterms:modified>
</cp:coreProperties>
</file>