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408" w:rsidRPr="00FB5BE7" w:rsidRDefault="00FB5BE7" w:rsidP="00FB5BE7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FB5BE7">
        <w:rPr>
          <w:rFonts w:ascii="Times New Roman" w:hAnsi="Times New Roman" w:cs="Times New Roman"/>
          <w:b/>
          <w:sz w:val="24"/>
        </w:rPr>
        <w:t>This file consists of all single composite that contains all parts of Figure 2 and Figure 4 in our paper</w:t>
      </w:r>
      <w:r>
        <w:rPr>
          <w:rFonts w:ascii="Times New Roman" w:hAnsi="Times New Roman" w:cs="Times New Roman"/>
          <w:b/>
          <w:sz w:val="24"/>
        </w:rPr>
        <w:t>.</w:t>
      </w:r>
      <w:bookmarkStart w:id="0" w:name="_GoBack"/>
      <w:bookmarkEnd w:id="0"/>
    </w:p>
    <w:p w:rsidR="00FB5BE7" w:rsidRPr="00FB5BE7" w:rsidRDefault="00FB5BE7" w:rsidP="00FB5BE7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Nine c</w:t>
      </w:r>
      <w:r w:rsidRPr="00FB5BE7">
        <w:rPr>
          <w:rFonts w:ascii="Times New Roman" w:hAnsi="Times New Roman" w:cs="Times New Roman"/>
          <w:b/>
          <w:sz w:val="24"/>
        </w:rPr>
        <w:t>omposites of Figure 1</w:t>
      </w:r>
    </w:p>
    <w:p w:rsidR="00FB5BE7" w:rsidRDefault="00FB5BE7" w:rsidP="00FB5BE7">
      <w:pPr>
        <w:jc w:val="center"/>
      </w:pPr>
      <w:r>
        <w:rPr>
          <w:noProof/>
        </w:rPr>
        <w:drawing>
          <wp:inline distT="0" distB="0" distL="0" distR="0">
            <wp:extent cx="4305300" cy="3291779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RM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3" cy="3303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BE7" w:rsidRDefault="00FB5BE7" w:rsidP="00FB5BE7">
      <w:pPr>
        <w:jc w:val="center"/>
      </w:pPr>
      <w:r>
        <w:rPr>
          <w:noProof/>
        </w:rPr>
        <w:drawing>
          <wp:inline distT="0" distB="0" distL="0" distR="0">
            <wp:extent cx="4305300" cy="33051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B1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BE7" w:rsidRDefault="00FB5BE7" w:rsidP="00FB5BE7">
      <w:pPr>
        <w:jc w:val="center"/>
      </w:pPr>
      <w:r>
        <w:rPr>
          <w:noProof/>
        </w:rPr>
        <w:lastRenderedPageBreak/>
        <w:drawing>
          <wp:inline distT="0" distB="0" distL="0" distR="0">
            <wp:extent cx="4305300" cy="33051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NB2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BE7" w:rsidRDefault="00FB5BE7" w:rsidP="00FB5BE7">
      <w:pPr>
        <w:jc w:val="center"/>
      </w:pPr>
      <w:r>
        <w:rPr>
          <w:noProof/>
        </w:rPr>
        <w:drawing>
          <wp:inline distT="0" distB="0" distL="0" distR="0">
            <wp:extent cx="4305300" cy="33051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NB1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BE7" w:rsidRDefault="00FB5BE7" w:rsidP="00FB5BE7">
      <w:pPr>
        <w:jc w:val="center"/>
      </w:pPr>
      <w:r>
        <w:rPr>
          <w:noProof/>
        </w:rPr>
        <w:lastRenderedPageBreak/>
        <w:drawing>
          <wp:inline distT="0" distB="0" distL="0" distR="0">
            <wp:extent cx="4305300" cy="33051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HNB2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BE7" w:rsidRDefault="00FB5BE7" w:rsidP="00FB5BE7">
      <w:pPr>
        <w:jc w:val="center"/>
      </w:pPr>
      <w:r>
        <w:rPr>
          <w:noProof/>
        </w:rPr>
        <w:drawing>
          <wp:inline distT="0" distB="0" distL="0" distR="0">
            <wp:extent cx="4305300" cy="33051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Hpoisson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BE7" w:rsidRDefault="00FB5BE7" w:rsidP="00FB5BE7">
      <w:pPr>
        <w:jc w:val="center"/>
      </w:pPr>
      <w:r>
        <w:rPr>
          <w:noProof/>
        </w:rPr>
        <w:lastRenderedPageBreak/>
        <w:drawing>
          <wp:inline distT="0" distB="0" distL="0" distR="0">
            <wp:extent cx="4337050" cy="3411110"/>
            <wp:effectExtent l="0" t="0" r="635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CM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0092" cy="3421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BE7" w:rsidRDefault="00FB5BE7" w:rsidP="00FB5BE7">
      <w:pPr>
        <w:jc w:val="center"/>
      </w:pPr>
    </w:p>
    <w:p w:rsidR="00FB5BE7" w:rsidRDefault="00FB5BE7" w:rsidP="00FB5BE7">
      <w:pPr>
        <w:jc w:val="center"/>
      </w:pPr>
    </w:p>
    <w:p w:rsidR="00FB5BE7" w:rsidRDefault="00FB5BE7" w:rsidP="00FB5BE7">
      <w:pPr>
        <w:jc w:val="center"/>
      </w:pPr>
    </w:p>
    <w:p w:rsidR="00FB5BE7" w:rsidRDefault="00FB5BE7" w:rsidP="00FB5BE7">
      <w:pPr>
        <w:jc w:val="center"/>
      </w:pPr>
    </w:p>
    <w:p w:rsidR="00FB5BE7" w:rsidRDefault="00FB5BE7" w:rsidP="00FB5BE7">
      <w:pPr>
        <w:jc w:val="center"/>
      </w:pPr>
    </w:p>
    <w:p w:rsidR="00FB5BE7" w:rsidRDefault="00FB5BE7" w:rsidP="00FB5BE7">
      <w:pPr>
        <w:jc w:val="center"/>
      </w:pPr>
    </w:p>
    <w:p w:rsidR="00FB5BE7" w:rsidRDefault="00FB5BE7" w:rsidP="00FB5BE7">
      <w:pPr>
        <w:jc w:val="center"/>
      </w:pPr>
    </w:p>
    <w:p w:rsidR="00FB5BE7" w:rsidRDefault="00FB5BE7" w:rsidP="00FB5BE7">
      <w:pPr>
        <w:jc w:val="center"/>
      </w:pPr>
    </w:p>
    <w:p w:rsidR="00FB5BE7" w:rsidRDefault="00FB5BE7" w:rsidP="00FB5BE7">
      <w:pPr>
        <w:jc w:val="center"/>
      </w:pPr>
    </w:p>
    <w:p w:rsidR="00FB5BE7" w:rsidRDefault="00FB5BE7" w:rsidP="00FB5BE7">
      <w:pPr>
        <w:jc w:val="center"/>
      </w:pPr>
    </w:p>
    <w:p w:rsidR="00FB5BE7" w:rsidRDefault="00FB5BE7" w:rsidP="00FB5BE7">
      <w:pPr>
        <w:jc w:val="center"/>
      </w:pPr>
    </w:p>
    <w:p w:rsidR="00FB5BE7" w:rsidRDefault="00FB5BE7" w:rsidP="00FB5BE7">
      <w:pPr>
        <w:jc w:val="center"/>
      </w:pPr>
    </w:p>
    <w:p w:rsidR="00FB5BE7" w:rsidRDefault="00FB5BE7" w:rsidP="00FB5BE7">
      <w:pPr>
        <w:jc w:val="center"/>
      </w:pPr>
    </w:p>
    <w:p w:rsidR="00FB5BE7" w:rsidRDefault="00FB5BE7" w:rsidP="00FB5BE7">
      <w:pPr>
        <w:jc w:val="center"/>
      </w:pPr>
    </w:p>
    <w:p w:rsidR="00FB5BE7" w:rsidRDefault="00FB5BE7" w:rsidP="00FB5BE7">
      <w:pPr>
        <w:jc w:val="center"/>
      </w:pPr>
    </w:p>
    <w:p w:rsidR="00FB5BE7" w:rsidRDefault="00FB5BE7" w:rsidP="00FB5BE7">
      <w:pPr>
        <w:jc w:val="center"/>
        <w:sectPr w:rsidR="00FB5BE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FB5BE7" w:rsidRDefault="00FB5BE7" w:rsidP="00FB5BE7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Two</w:t>
      </w:r>
      <w:r>
        <w:rPr>
          <w:rFonts w:ascii="Times New Roman" w:hAnsi="Times New Roman" w:cs="Times New Roman"/>
          <w:b/>
          <w:sz w:val="24"/>
        </w:rPr>
        <w:t xml:space="preserve"> c</w:t>
      </w:r>
      <w:r>
        <w:rPr>
          <w:rFonts w:ascii="Times New Roman" w:hAnsi="Times New Roman" w:cs="Times New Roman"/>
          <w:b/>
          <w:sz w:val="24"/>
        </w:rPr>
        <w:t>omposites of Figure 2</w:t>
      </w:r>
    </w:p>
    <w:p w:rsidR="00FB5BE7" w:rsidRDefault="00FB5BE7" w:rsidP="00FB5BE7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inline distT="0" distB="0" distL="0" distR="0" wp14:anchorId="235628F3" wp14:editId="7BA74A50">
            <wp:extent cx="3848100" cy="2925473"/>
            <wp:effectExtent l="0" t="0" r="0" b="8255"/>
            <wp:docPr id="8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 w:rsidRPr="00FB5BE7">
        <w:rPr>
          <w:noProof/>
        </w:rPr>
        <w:t xml:space="preserve"> </w:t>
      </w:r>
      <w:r>
        <w:rPr>
          <w:noProof/>
        </w:rPr>
        <w:drawing>
          <wp:inline distT="0" distB="0" distL="0" distR="0" wp14:anchorId="6C077CB3" wp14:editId="3E9388DF">
            <wp:extent cx="4102873" cy="2933700"/>
            <wp:effectExtent l="0" t="0" r="12065" b="0"/>
            <wp:docPr id="9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FB5BE7" w:rsidRPr="00FB5BE7" w:rsidRDefault="00FB5BE7" w:rsidP="00FB5BE7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FB5BE7" w:rsidRDefault="00FB5BE7" w:rsidP="00FB5BE7">
      <w:pPr>
        <w:jc w:val="center"/>
      </w:pPr>
    </w:p>
    <w:sectPr w:rsidR="00FB5BE7" w:rsidSect="00FB5BE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BE7"/>
    <w:rsid w:val="002E0039"/>
    <w:rsid w:val="00356408"/>
    <w:rsid w:val="004B310D"/>
    <w:rsid w:val="00E30A35"/>
    <w:rsid w:val="00FB5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61A3AF-79FD-4E6A-B2D5-3E2A22A54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12" Type="http://schemas.openxmlformats.org/officeDocument/2006/relationships/chart" Target="charts/chart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chart" Target="charts/chart1.xml"/><Relationship Id="rId5" Type="http://schemas.openxmlformats.org/officeDocument/2006/relationships/image" Target="media/image2.tif"/><Relationship Id="rId10" Type="http://schemas.openxmlformats.org/officeDocument/2006/relationships/image" Target="media/image7.tif"/><Relationship Id="rId4" Type="http://schemas.openxmlformats.org/officeDocument/2006/relationships/image" Target="media/image1.tif"/><Relationship Id="rId9" Type="http://schemas.openxmlformats.org/officeDocument/2006/relationships/image" Target="media/image6.tif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doc17101\Google%20Drive\Study\Long-Term%20care\PhD%20Dissertation\Chapter%20III\Idea%20Type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doc17101\Google%20Drive\Study\Long-Term%20care\PhD%20Dissertation\Chapter%20III\Idea%20Type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200" b="1">
                <a:latin typeface="Times New Roman" panose="02020603050405020304" pitchFamily="18" charset="0"/>
                <a:cs typeface="Times New Roman" panose="02020603050405020304" pitchFamily="18" charset="0"/>
              </a:rPr>
              <a:t>Groups without health insurance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'Gender perspective'!$B$9</c:f>
              <c:strCache>
                <c:ptCount val="1"/>
                <c:pt idx="0">
                  <c:v>F60-69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numRef>
              <c:f>'Gender perspective'!$C$8:$M$8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numCache>
            </c:numRef>
          </c:cat>
          <c:val>
            <c:numRef>
              <c:f>'Gender perspective'!$C$9:$M$9</c:f>
              <c:numCache>
                <c:formatCode>General</c:formatCode>
                <c:ptCount val="11"/>
                <c:pt idx="0">
                  <c:v>4.8000000000000043E-2</c:v>
                </c:pt>
                <c:pt idx="1">
                  <c:v>0.32500000000000001</c:v>
                </c:pt>
                <c:pt idx="2">
                  <c:v>0.192</c:v>
                </c:pt>
                <c:pt idx="3">
                  <c:v>0.126</c:v>
                </c:pt>
                <c:pt idx="4">
                  <c:v>8.5999999999999993E-2</c:v>
                </c:pt>
                <c:pt idx="5">
                  <c:v>0.06</c:v>
                </c:pt>
                <c:pt idx="6">
                  <c:v>4.2999999999999997E-2</c:v>
                </c:pt>
                <c:pt idx="7">
                  <c:v>3.1E-2</c:v>
                </c:pt>
                <c:pt idx="8">
                  <c:v>2.3E-2</c:v>
                </c:pt>
                <c:pt idx="9">
                  <c:v>1.7000000000000001E-2</c:v>
                </c:pt>
                <c:pt idx="10">
                  <c:v>1.2E-2</c:v>
                </c:pt>
              </c:numCache>
            </c:numRef>
          </c:val>
        </c:ser>
        <c:ser>
          <c:idx val="1"/>
          <c:order val="1"/>
          <c:tx>
            <c:strRef>
              <c:f>'Gender perspective'!$B$10</c:f>
              <c:strCache>
                <c:ptCount val="1"/>
                <c:pt idx="0">
                  <c:v>M60-69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numRef>
              <c:f>'Gender perspective'!$C$8:$M$8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numCache>
            </c:numRef>
          </c:cat>
          <c:val>
            <c:numRef>
              <c:f>'Gender perspective'!$C$10:$M$10</c:f>
              <c:numCache>
                <c:formatCode>General</c:formatCode>
                <c:ptCount val="11"/>
                <c:pt idx="0">
                  <c:v>5.1000000000000045E-2</c:v>
                </c:pt>
                <c:pt idx="1">
                  <c:v>0.28000000000000003</c:v>
                </c:pt>
                <c:pt idx="2">
                  <c:v>0.17499999999999999</c:v>
                </c:pt>
                <c:pt idx="3">
                  <c:v>0.12</c:v>
                </c:pt>
                <c:pt idx="4">
                  <c:v>8.6999999999999994E-2</c:v>
                </c:pt>
                <c:pt idx="5">
                  <c:v>6.5000000000000002E-2</c:v>
                </c:pt>
                <c:pt idx="6">
                  <c:v>4.9000000000000002E-2</c:v>
                </c:pt>
                <c:pt idx="7">
                  <c:v>3.6999999999999998E-2</c:v>
                </c:pt>
                <c:pt idx="8">
                  <c:v>2.9000000000000001E-2</c:v>
                </c:pt>
                <c:pt idx="9">
                  <c:v>2.1999999999999999E-2</c:v>
                </c:pt>
                <c:pt idx="10">
                  <c:v>1.7999999999999999E-2</c:v>
                </c:pt>
              </c:numCache>
            </c:numRef>
          </c:val>
        </c:ser>
        <c:ser>
          <c:idx val="2"/>
          <c:order val="2"/>
          <c:tx>
            <c:strRef>
              <c:f>'Gender perspective'!$B$11</c:f>
              <c:strCache>
                <c:ptCount val="1"/>
                <c:pt idx="0">
                  <c:v>F70-79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numRef>
              <c:f>'Gender perspective'!$C$8:$M$8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numCache>
            </c:numRef>
          </c:cat>
          <c:val>
            <c:numRef>
              <c:f>'Gender perspective'!$C$11:$M$11</c:f>
              <c:numCache>
                <c:formatCode>General</c:formatCode>
                <c:ptCount val="11"/>
                <c:pt idx="0">
                  <c:v>5.600000000000005E-2</c:v>
                </c:pt>
                <c:pt idx="1">
                  <c:v>0.31</c:v>
                </c:pt>
                <c:pt idx="2">
                  <c:v>0.187</c:v>
                </c:pt>
                <c:pt idx="3">
                  <c:v>0.124</c:v>
                </c:pt>
                <c:pt idx="4">
                  <c:v>8.5999999999999993E-2</c:v>
                </c:pt>
                <c:pt idx="5">
                  <c:v>6.0999999999999999E-2</c:v>
                </c:pt>
                <c:pt idx="6">
                  <c:v>4.3999999999999997E-2</c:v>
                </c:pt>
                <c:pt idx="7">
                  <c:v>3.3000000000000002E-2</c:v>
                </c:pt>
                <c:pt idx="8">
                  <c:v>2.4E-2</c:v>
                </c:pt>
                <c:pt idx="9">
                  <c:v>1.7999999999999999E-2</c:v>
                </c:pt>
                <c:pt idx="10">
                  <c:v>1.2999999999999999E-2</c:v>
                </c:pt>
              </c:numCache>
            </c:numRef>
          </c:val>
        </c:ser>
        <c:ser>
          <c:idx val="3"/>
          <c:order val="3"/>
          <c:tx>
            <c:strRef>
              <c:f>'Gender perspective'!$B$12</c:f>
              <c:strCache>
                <c:ptCount val="1"/>
                <c:pt idx="0">
                  <c:v>M70-79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numRef>
              <c:f>'Gender perspective'!$C$8:$M$8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numCache>
            </c:numRef>
          </c:cat>
          <c:val>
            <c:numRef>
              <c:f>'Gender perspective'!$C$12:$M$12</c:f>
              <c:numCache>
                <c:formatCode>General</c:formatCode>
                <c:ptCount val="11"/>
                <c:pt idx="0">
                  <c:v>6.1000000000000054E-2</c:v>
                </c:pt>
                <c:pt idx="1">
                  <c:v>0.27</c:v>
                </c:pt>
                <c:pt idx="2">
                  <c:v>0.17</c:v>
                </c:pt>
                <c:pt idx="3">
                  <c:v>0.11799999999999999</c:v>
                </c:pt>
                <c:pt idx="4">
                  <c:v>8.5999999999999993E-2</c:v>
                </c:pt>
                <c:pt idx="5">
                  <c:v>6.4000000000000001E-2</c:v>
                </c:pt>
                <c:pt idx="6">
                  <c:v>4.9000000000000002E-2</c:v>
                </c:pt>
                <c:pt idx="7">
                  <c:v>3.7999999999999999E-2</c:v>
                </c:pt>
                <c:pt idx="8">
                  <c:v>0.03</c:v>
                </c:pt>
                <c:pt idx="9">
                  <c:v>2.3E-2</c:v>
                </c:pt>
                <c:pt idx="10">
                  <c:v>1.7999999999999999E-2</c:v>
                </c:pt>
              </c:numCache>
            </c:numRef>
          </c:val>
        </c:ser>
        <c:ser>
          <c:idx val="4"/>
          <c:order val="4"/>
          <c:tx>
            <c:strRef>
              <c:f>'Gender perspective'!$B$13</c:f>
              <c:strCache>
                <c:ptCount val="1"/>
                <c:pt idx="0">
                  <c:v>F80+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numRef>
              <c:f>'Gender perspective'!$C$8:$M$8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numCache>
            </c:numRef>
          </c:cat>
          <c:val>
            <c:numRef>
              <c:f>'Gender perspective'!$C$13:$M$13</c:f>
              <c:numCache>
                <c:formatCode>General</c:formatCode>
                <c:ptCount val="11"/>
                <c:pt idx="0">
                  <c:v>5.5000000000000049E-2</c:v>
                </c:pt>
                <c:pt idx="1">
                  <c:v>0.30299999999999999</c:v>
                </c:pt>
                <c:pt idx="2">
                  <c:v>0.184</c:v>
                </c:pt>
                <c:pt idx="3">
                  <c:v>0.123</c:v>
                </c:pt>
                <c:pt idx="4">
                  <c:v>8.5999999999999993E-2</c:v>
                </c:pt>
                <c:pt idx="5">
                  <c:v>6.2E-2</c:v>
                </c:pt>
                <c:pt idx="6">
                  <c:v>4.5999999999999999E-2</c:v>
                </c:pt>
                <c:pt idx="7">
                  <c:v>3.4000000000000002E-2</c:v>
                </c:pt>
                <c:pt idx="8">
                  <c:v>2.5000000000000001E-2</c:v>
                </c:pt>
                <c:pt idx="9">
                  <c:v>1.9E-2</c:v>
                </c:pt>
                <c:pt idx="10">
                  <c:v>1.4E-2</c:v>
                </c:pt>
              </c:numCache>
            </c:numRef>
          </c:val>
        </c:ser>
        <c:ser>
          <c:idx val="5"/>
          <c:order val="5"/>
          <c:tx>
            <c:strRef>
              <c:f>'Gender perspective'!$B$14</c:f>
              <c:strCache>
                <c:ptCount val="1"/>
                <c:pt idx="0">
                  <c:v>M80+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numRef>
              <c:f>'Gender perspective'!$C$8:$M$8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numCache>
            </c:numRef>
          </c:cat>
          <c:val>
            <c:numRef>
              <c:f>'Gender perspective'!$C$14:$M$14</c:f>
              <c:numCache>
                <c:formatCode>General</c:formatCode>
                <c:ptCount val="11"/>
                <c:pt idx="0">
                  <c:v>7.7999999999999958E-2</c:v>
                </c:pt>
                <c:pt idx="1">
                  <c:v>0.27200000000000002</c:v>
                </c:pt>
                <c:pt idx="2">
                  <c:v>0.17</c:v>
                </c:pt>
                <c:pt idx="3">
                  <c:v>0.11700000000000001</c:v>
                </c:pt>
                <c:pt idx="4">
                  <c:v>8.5000000000000006E-2</c:v>
                </c:pt>
                <c:pt idx="5">
                  <c:v>6.3E-2</c:v>
                </c:pt>
                <c:pt idx="6">
                  <c:v>4.7E-2</c:v>
                </c:pt>
                <c:pt idx="7">
                  <c:v>3.5999999999999997E-2</c:v>
                </c:pt>
                <c:pt idx="8">
                  <c:v>2.8000000000000001E-2</c:v>
                </c:pt>
                <c:pt idx="9">
                  <c:v>2.1999999999999999E-2</c:v>
                </c:pt>
                <c:pt idx="10">
                  <c:v>1.7000000000000001E-2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91142168"/>
        <c:axId val="291141384"/>
      </c:barChart>
      <c:catAx>
        <c:axId val="2911421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91141384"/>
        <c:crosses val="autoZero"/>
        <c:auto val="1"/>
        <c:lblAlgn val="ctr"/>
        <c:lblOffset val="100"/>
        <c:noMultiLvlLbl val="0"/>
      </c:catAx>
      <c:valAx>
        <c:axId val="2911413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911421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200" b="1">
                <a:latin typeface="Times New Roman" panose="02020603050405020304" pitchFamily="18" charset="0"/>
                <a:cs typeface="Times New Roman" panose="02020603050405020304" pitchFamily="18" charset="0"/>
              </a:rPr>
              <a:t>Groups</a:t>
            </a:r>
            <a:r>
              <a:rPr lang="en-US" sz="1200" b="1" baseline="0">
                <a:latin typeface="Times New Roman" panose="02020603050405020304" pitchFamily="18" charset="0"/>
                <a:cs typeface="Times New Roman" panose="02020603050405020304" pitchFamily="18" charset="0"/>
              </a:rPr>
              <a:t> with health insurance</a:t>
            </a:r>
            <a:endParaRPr lang="en-US" sz="1200" b="1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'Gender perspective'!$B$16</c:f>
              <c:strCache>
                <c:ptCount val="1"/>
                <c:pt idx="0">
                  <c:v>F60-69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numRef>
              <c:f>'Gender perspective'!$C$15:$M$15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numCache>
            </c:numRef>
          </c:cat>
          <c:val>
            <c:numRef>
              <c:f>'Gender perspective'!$C$16:$M$16</c:f>
              <c:numCache>
                <c:formatCode>General</c:formatCode>
                <c:ptCount val="11"/>
                <c:pt idx="0">
                  <c:v>5.7000000000000051E-2</c:v>
                </c:pt>
                <c:pt idx="1">
                  <c:v>0.28399999999999997</c:v>
                </c:pt>
                <c:pt idx="2">
                  <c:v>0.17699999999999999</c:v>
                </c:pt>
                <c:pt idx="3">
                  <c:v>0.121</c:v>
                </c:pt>
                <c:pt idx="4">
                  <c:v>8.6999999999999994E-2</c:v>
                </c:pt>
                <c:pt idx="5">
                  <c:v>6.4000000000000001E-2</c:v>
                </c:pt>
                <c:pt idx="6">
                  <c:v>4.8000000000000001E-2</c:v>
                </c:pt>
                <c:pt idx="7">
                  <c:v>3.5999999999999997E-2</c:v>
                </c:pt>
                <c:pt idx="8">
                  <c:v>2.8000000000000001E-2</c:v>
                </c:pt>
                <c:pt idx="9">
                  <c:v>2.1000000000000001E-2</c:v>
                </c:pt>
                <c:pt idx="10">
                  <c:v>1.7000000000000001E-2</c:v>
                </c:pt>
              </c:numCache>
            </c:numRef>
          </c:val>
        </c:ser>
        <c:ser>
          <c:idx val="1"/>
          <c:order val="1"/>
          <c:tx>
            <c:strRef>
              <c:f>'Gender perspective'!$B$17</c:f>
              <c:strCache>
                <c:ptCount val="1"/>
                <c:pt idx="0">
                  <c:v>M60-69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numRef>
              <c:f>'Gender perspective'!$C$15:$M$15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numCache>
            </c:numRef>
          </c:cat>
          <c:val>
            <c:numRef>
              <c:f>'Gender perspective'!$C$17:$M$17</c:f>
              <c:numCache>
                <c:formatCode>General</c:formatCode>
                <c:ptCount val="11"/>
                <c:pt idx="0">
                  <c:v>6.899999999999995E-2</c:v>
                </c:pt>
                <c:pt idx="1">
                  <c:v>0.25800000000000001</c:v>
                </c:pt>
                <c:pt idx="2">
                  <c:v>0.16400000000000001</c:v>
                </c:pt>
                <c:pt idx="3">
                  <c:v>0.115</c:v>
                </c:pt>
                <c:pt idx="4">
                  <c:v>8.5000000000000006E-2</c:v>
                </c:pt>
                <c:pt idx="5">
                  <c:v>6.4000000000000001E-2</c:v>
                </c:pt>
                <c:pt idx="6">
                  <c:v>0.05</c:v>
                </c:pt>
                <c:pt idx="7">
                  <c:v>3.9E-2</c:v>
                </c:pt>
                <c:pt idx="8">
                  <c:v>0.03</c:v>
                </c:pt>
                <c:pt idx="9">
                  <c:v>2.4E-2</c:v>
                </c:pt>
                <c:pt idx="10">
                  <c:v>1.9E-2</c:v>
                </c:pt>
              </c:numCache>
            </c:numRef>
          </c:val>
        </c:ser>
        <c:ser>
          <c:idx val="2"/>
          <c:order val="2"/>
          <c:tx>
            <c:strRef>
              <c:f>'Gender perspective'!$B$18</c:f>
              <c:strCache>
                <c:ptCount val="1"/>
                <c:pt idx="0">
                  <c:v>F70-79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numRef>
              <c:f>'Gender perspective'!$C$15:$M$15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numCache>
            </c:numRef>
          </c:cat>
          <c:val>
            <c:numRef>
              <c:f>'Gender perspective'!$C$18:$M$18</c:f>
              <c:numCache>
                <c:formatCode>General</c:formatCode>
                <c:ptCount val="11"/>
                <c:pt idx="0">
                  <c:v>6.5999999999999948E-2</c:v>
                </c:pt>
                <c:pt idx="1">
                  <c:v>0.27100000000000002</c:v>
                </c:pt>
                <c:pt idx="2">
                  <c:v>0.17100000000000001</c:v>
                </c:pt>
                <c:pt idx="3">
                  <c:v>0.11799999999999999</c:v>
                </c:pt>
                <c:pt idx="4">
                  <c:v>8.5999999999999993E-2</c:v>
                </c:pt>
                <c:pt idx="5">
                  <c:v>6.4000000000000001E-2</c:v>
                </c:pt>
                <c:pt idx="6">
                  <c:v>4.9000000000000002E-2</c:v>
                </c:pt>
                <c:pt idx="7">
                  <c:v>3.6999999999999998E-2</c:v>
                </c:pt>
                <c:pt idx="8">
                  <c:v>2.9000000000000001E-2</c:v>
                </c:pt>
                <c:pt idx="9">
                  <c:v>2.3E-2</c:v>
                </c:pt>
                <c:pt idx="10">
                  <c:v>1.7999999999999999E-2</c:v>
                </c:pt>
              </c:numCache>
            </c:numRef>
          </c:val>
        </c:ser>
        <c:ser>
          <c:idx val="3"/>
          <c:order val="3"/>
          <c:tx>
            <c:strRef>
              <c:f>'Gender perspective'!$B$19</c:f>
              <c:strCache>
                <c:ptCount val="1"/>
                <c:pt idx="0">
                  <c:v>M70-79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numRef>
              <c:f>'Gender perspective'!$C$15:$M$15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numCache>
            </c:numRef>
          </c:cat>
          <c:val>
            <c:numRef>
              <c:f>'Gender perspective'!$C$19:$M$19</c:f>
              <c:numCache>
                <c:formatCode>General</c:formatCode>
                <c:ptCount val="11"/>
                <c:pt idx="0">
                  <c:v>8.2999999999999963E-2</c:v>
                </c:pt>
                <c:pt idx="1">
                  <c:v>0.248</c:v>
                </c:pt>
                <c:pt idx="2">
                  <c:v>0.159</c:v>
                </c:pt>
                <c:pt idx="3">
                  <c:v>0.112</c:v>
                </c:pt>
                <c:pt idx="4">
                  <c:v>8.3000000000000004E-2</c:v>
                </c:pt>
                <c:pt idx="5">
                  <c:v>6.4000000000000001E-2</c:v>
                </c:pt>
                <c:pt idx="6">
                  <c:v>4.9000000000000002E-2</c:v>
                </c:pt>
                <c:pt idx="7">
                  <c:v>3.9E-2</c:v>
                </c:pt>
                <c:pt idx="8">
                  <c:v>3.1E-2</c:v>
                </c:pt>
                <c:pt idx="9">
                  <c:v>2.5000000000000001E-2</c:v>
                </c:pt>
                <c:pt idx="10">
                  <c:v>0.02</c:v>
                </c:pt>
              </c:numCache>
            </c:numRef>
          </c:val>
        </c:ser>
        <c:ser>
          <c:idx val="4"/>
          <c:order val="4"/>
          <c:tx>
            <c:strRef>
              <c:f>'Gender perspective'!$B$20</c:f>
              <c:strCache>
                <c:ptCount val="1"/>
                <c:pt idx="0">
                  <c:v>F80+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numRef>
              <c:f>'Gender perspective'!$C$15:$M$15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numCache>
            </c:numRef>
          </c:cat>
          <c:val>
            <c:numRef>
              <c:f>'Gender perspective'!$C$20:$M$20</c:f>
              <c:numCache>
                <c:formatCode>General</c:formatCode>
                <c:ptCount val="11"/>
                <c:pt idx="0">
                  <c:v>6.4999999999999947E-2</c:v>
                </c:pt>
                <c:pt idx="1">
                  <c:v>0.26400000000000001</c:v>
                </c:pt>
                <c:pt idx="2">
                  <c:v>0.16800000000000001</c:v>
                </c:pt>
                <c:pt idx="3">
                  <c:v>0.11700000000000001</c:v>
                </c:pt>
                <c:pt idx="4">
                  <c:v>8.5999999999999993E-2</c:v>
                </c:pt>
                <c:pt idx="5">
                  <c:v>6.5000000000000002E-2</c:v>
                </c:pt>
                <c:pt idx="6">
                  <c:v>4.9000000000000002E-2</c:v>
                </c:pt>
                <c:pt idx="7">
                  <c:v>3.7999999999999999E-2</c:v>
                </c:pt>
                <c:pt idx="8">
                  <c:v>0.03</c:v>
                </c:pt>
                <c:pt idx="9">
                  <c:v>2.3E-2</c:v>
                </c:pt>
                <c:pt idx="10">
                  <c:v>1.9E-2</c:v>
                </c:pt>
              </c:numCache>
            </c:numRef>
          </c:val>
        </c:ser>
        <c:ser>
          <c:idx val="5"/>
          <c:order val="5"/>
          <c:tx>
            <c:strRef>
              <c:f>'Gender perspective'!$B$21</c:f>
              <c:strCache>
                <c:ptCount val="1"/>
                <c:pt idx="0">
                  <c:v>M80+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numRef>
              <c:f>'Gender perspective'!$C$15:$M$15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numCache>
            </c:numRef>
          </c:cat>
          <c:val>
            <c:numRef>
              <c:f>'Gender perspective'!$C$21:$M$21</c:f>
              <c:numCache>
                <c:formatCode>General</c:formatCode>
                <c:ptCount val="11"/>
                <c:pt idx="0">
                  <c:v>0.10499999999999998</c:v>
                </c:pt>
                <c:pt idx="1">
                  <c:v>0.249</c:v>
                </c:pt>
                <c:pt idx="2">
                  <c:v>0.158</c:v>
                </c:pt>
                <c:pt idx="3">
                  <c:v>0.111</c:v>
                </c:pt>
                <c:pt idx="4">
                  <c:v>8.2000000000000003E-2</c:v>
                </c:pt>
                <c:pt idx="5">
                  <c:v>6.2E-2</c:v>
                </c:pt>
                <c:pt idx="6">
                  <c:v>4.8000000000000001E-2</c:v>
                </c:pt>
                <c:pt idx="7">
                  <c:v>3.6999999999999998E-2</c:v>
                </c:pt>
                <c:pt idx="8">
                  <c:v>2.9000000000000001E-2</c:v>
                </c:pt>
                <c:pt idx="9">
                  <c:v>2.3E-2</c:v>
                </c:pt>
                <c:pt idx="10">
                  <c:v>1.7999999999999999E-2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92963704"/>
        <c:axId val="292964096"/>
      </c:barChart>
      <c:catAx>
        <c:axId val="2929637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92964096"/>
        <c:crosses val="autoZero"/>
        <c:auto val="1"/>
        <c:lblAlgn val="ctr"/>
        <c:lblOffset val="100"/>
        <c:noMultiLvlLbl val="0"/>
      </c:catAx>
      <c:valAx>
        <c:axId val="2929640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929637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2020-04-13T11:23:00Z</dcterms:created>
  <dcterms:modified xsi:type="dcterms:W3CDTF">2020-04-13T11:34:00Z</dcterms:modified>
</cp:coreProperties>
</file>