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1842C" w14:textId="77777777" w:rsidR="00830D98" w:rsidRPr="000336DC" w:rsidRDefault="00830D98" w:rsidP="00830D98">
      <w:pPr>
        <w:adjustRightInd w:val="0"/>
        <w:snapToGrid w:val="0"/>
        <w:spacing w:line="360" w:lineRule="auto"/>
        <w:ind w:leftChars="150" w:left="315" w:rightChars="150" w:right="315" w:firstLineChars="0" w:firstLine="420"/>
        <w:jc w:val="center"/>
        <w:rPr>
          <w:rFonts w:eastAsia="等线"/>
          <w:color w:val="000000" w:themeColor="text1"/>
          <w:sz w:val="24"/>
          <w:szCs w:val="21"/>
        </w:rPr>
      </w:pPr>
      <w:bookmarkStart w:id="0" w:name="_Hlk28029700"/>
      <w:bookmarkEnd w:id="0"/>
      <w:r w:rsidRPr="000336DC">
        <w:rPr>
          <w:rFonts w:eastAsia="等线" w:hint="eastAsia"/>
          <w:color w:val="000000" w:themeColor="text1"/>
          <w:sz w:val="24"/>
          <w:szCs w:val="21"/>
        </w:rPr>
        <w:t>Supporting</w:t>
      </w:r>
      <w:r w:rsidRPr="000336DC">
        <w:rPr>
          <w:rFonts w:eastAsia="等线"/>
          <w:color w:val="000000" w:themeColor="text1"/>
          <w:sz w:val="24"/>
          <w:szCs w:val="21"/>
        </w:rPr>
        <w:t xml:space="preserve"> materials for</w:t>
      </w:r>
    </w:p>
    <w:p w14:paraId="62BF8F9D" w14:textId="6AD6A8B7" w:rsidR="007D46DF" w:rsidRPr="00B8089A" w:rsidRDefault="00B8089A" w:rsidP="00F86D38">
      <w:pPr>
        <w:suppressAutoHyphens/>
        <w:overflowPunct w:val="0"/>
        <w:adjustRightInd w:val="0"/>
        <w:snapToGrid w:val="0"/>
        <w:spacing w:line="300" w:lineRule="auto"/>
        <w:ind w:firstLine="420"/>
        <w:jc w:val="center"/>
        <w:outlineLvl w:val="0"/>
      </w:pPr>
      <w:bookmarkStart w:id="1" w:name="_Hlk67755774"/>
      <w:r w:rsidRPr="00B8089A">
        <w:t>Porous Carboxymethyl Cellulose Nanocrystalline Imprinted Composite Aerogels for Selective Adsorption of Gadolinium</w:t>
      </w:r>
    </w:p>
    <w:p w14:paraId="5EE44993" w14:textId="5D74777D" w:rsidR="00830D98" w:rsidRPr="00F86D38" w:rsidRDefault="000E0AD1" w:rsidP="00F86D38">
      <w:pPr>
        <w:suppressAutoHyphens/>
        <w:overflowPunct w:val="0"/>
        <w:adjustRightInd w:val="0"/>
        <w:snapToGrid w:val="0"/>
        <w:spacing w:line="300" w:lineRule="auto"/>
        <w:ind w:firstLine="440"/>
        <w:jc w:val="center"/>
        <w:outlineLvl w:val="0"/>
        <w:rPr>
          <w:sz w:val="22"/>
          <w:szCs w:val="21"/>
          <w:lang w:val="pt-BR"/>
        </w:rPr>
      </w:pPr>
      <w:r>
        <w:rPr>
          <w:sz w:val="22"/>
          <w:szCs w:val="21"/>
          <w:lang w:val="pt-BR"/>
        </w:rPr>
        <w:t>A</w:t>
      </w:r>
      <w:r>
        <w:rPr>
          <w:rFonts w:hint="eastAsia"/>
          <w:sz w:val="22"/>
          <w:szCs w:val="21"/>
          <w:lang w:val="pt-BR"/>
        </w:rPr>
        <w:t>n</w:t>
      </w:r>
      <w:r>
        <w:rPr>
          <w:sz w:val="22"/>
          <w:szCs w:val="21"/>
          <w:lang w:val="pt-BR"/>
        </w:rPr>
        <w:t xml:space="preserve">g Li, </w:t>
      </w:r>
      <w:r w:rsidR="00F86D38">
        <w:rPr>
          <w:sz w:val="22"/>
          <w:szCs w:val="21"/>
          <w:lang w:val="pt-BR"/>
        </w:rPr>
        <w:t>Xudong Zheng</w:t>
      </w:r>
      <w:r w:rsidR="00F86D38">
        <w:rPr>
          <w:rFonts w:ascii="Calibri" w:hAnsi="Calibri"/>
          <w:sz w:val="22"/>
          <w:szCs w:val="21"/>
          <w:vertAlign w:val="superscript"/>
          <w:lang w:val="pt-BR"/>
        </w:rPr>
        <w:t>*</w:t>
      </w:r>
      <w:r w:rsidR="00F86D38">
        <w:rPr>
          <w:sz w:val="22"/>
          <w:szCs w:val="21"/>
          <w:lang w:val="pt-BR"/>
        </w:rPr>
        <w:t xml:space="preserve">, </w:t>
      </w:r>
      <w:r w:rsidR="006F33BF">
        <w:rPr>
          <w:sz w:val="22"/>
          <w:szCs w:val="21"/>
          <w:lang w:val="pt-BR"/>
        </w:rPr>
        <w:t>B</w:t>
      </w:r>
      <w:r w:rsidR="006F33BF">
        <w:rPr>
          <w:rFonts w:hint="eastAsia"/>
          <w:sz w:val="22"/>
          <w:szCs w:val="21"/>
          <w:lang w:val="pt-BR"/>
        </w:rPr>
        <w:t>iao</w:t>
      </w:r>
      <w:r w:rsidR="006F33BF">
        <w:rPr>
          <w:sz w:val="22"/>
          <w:szCs w:val="21"/>
          <w:lang w:val="pt-BR"/>
        </w:rPr>
        <w:t xml:space="preserve"> Ji, Tongtong Xu</w:t>
      </w:r>
      <w:r w:rsidR="00F86D38">
        <w:rPr>
          <w:sz w:val="22"/>
          <w:szCs w:val="21"/>
          <w:lang w:val="pt-BR"/>
        </w:rPr>
        <w:t>, Jinfeng Mei, Man Zhou,</w:t>
      </w:r>
      <w:r w:rsidR="00F554B6">
        <w:rPr>
          <w:sz w:val="22"/>
          <w:szCs w:val="21"/>
          <w:lang w:val="pt-BR"/>
        </w:rPr>
        <w:t xml:space="preserve"> </w:t>
      </w:r>
      <w:r w:rsidR="00F86D38">
        <w:rPr>
          <w:sz w:val="22"/>
          <w:szCs w:val="21"/>
          <w:lang w:val="pt-BR"/>
        </w:rPr>
        <w:t>Zhongyu Li</w:t>
      </w:r>
      <w:r w:rsidR="00F86D38">
        <w:rPr>
          <w:sz w:val="22"/>
          <w:szCs w:val="21"/>
          <w:vertAlign w:val="superscript"/>
          <w:lang w:val="pt-BR"/>
        </w:rPr>
        <w:t xml:space="preserve"> * </w:t>
      </w:r>
    </w:p>
    <w:p w14:paraId="76E7706E" w14:textId="77777777" w:rsidR="00830D98" w:rsidRPr="003B4173" w:rsidRDefault="00830D98" w:rsidP="00830D98">
      <w:pPr>
        <w:suppressAutoHyphens/>
        <w:overflowPunct w:val="0"/>
        <w:adjustRightInd w:val="0"/>
        <w:snapToGrid w:val="0"/>
        <w:spacing w:line="360" w:lineRule="auto"/>
        <w:ind w:firstLine="440"/>
        <w:jc w:val="center"/>
        <w:outlineLvl w:val="0"/>
        <w:rPr>
          <w:sz w:val="22"/>
          <w:szCs w:val="28"/>
        </w:rPr>
      </w:pPr>
      <w:r w:rsidRPr="003B4173">
        <w:rPr>
          <w:sz w:val="22"/>
          <w:szCs w:val="28"/>
          <w:vertAlign w:val="superscript"/>
        </w:rPr>
        <w:t xml:space="preserve">a </w:t>
      </w:r>
      <w:r w:rsidRPr="003B4173">
        <w:rPr>
          <w:sz w:val="22"/>
          <w:szCs w:val="28"/>
        </w:rPr>
        <w:t>School of Environmental and Safety Engineering, Changzhou University, Changzhou 213164, PR China</w:t>
      </w:r>
    </w:p>
    <w:p w14:paraId="27D1189C" w14:textId="77777777" w:rsidR="00830D98" w:rsidRDefault="00830D98" w:rsidP="00830D98">
      <w:pPr>
        <w:suppressAutoHyphens/>
        <w:overflowPunct w:val="0"/>
        <w:adjustRightInd w:val="0"/>
        <w:snapToGrid w:val="0"/>
        <w:spacing w:line="360" w:lineRule="auto"/>
        <w:ind w:firstLine="440"/>
        <w:jc w:val="center"/>
        <w:outlineLvl w:val="0"/>
        <w:rPr>
          <w:sz w:val="22"/>
          <w:szCs w:val="28"/>
        </w:rPr>
      </w:pPr>
    </w:p>
    <w:p w14:paraId="1BA9DAD6" w14:textId="77777777" w:rsidR="00830D98" w:rsidRPr="003B4173" w:rsidRDefault="00830D98" w:rsidP="00830D98">
      <w:pPr>
        <w:suppressAutoHyphens/>
        <w:overflowPunct w:val="0"/>
        <w:adjustRightInd w:val="0"/>
        <w:snapToGrid w:val="0"/>
        <w:spacing w:line="360" w:lineRule="auto"/>
        <w:ind w:firstLine="440"/>
        <w:jc w:val="center"/>
        <w:outlineLvl w:val="0"/>
        <w:rPr>
          <w:sz w:val="22"/>
          <w:szCs w:val="28"/>
        </w:rPr>
      </w:pPr>
      <w:r w:rsidRPr="003B4173">
        <w:rPr>
          <w:sz w:val="22"/>
          <w:szCs w:val="28"/>
        </w:rPr>
        <w:t>* Corresponding author.</w:t>
      </w:r>
    </w:p>
    <w:p w14:paraId="5E3D0621" w14:textId="77777777" w:rsidR="00830D98" w:rsidRPr="003B4173" w:rsidRDefault="00830D98" w:rsidP="00830D98">
      <w:pPr>
        <w:suppressAutoHyphens/>
        <w:overflowPunct w:val="0"/>
        <w:adjustRightInd w:val="0"/>
        <w:snapToGrid w:val="0"/>
        <w:spacing w:line="360" w:lineRule="auto"/>
        <w:ind w:firstLine="440"/>
        <w:jc w:val="center"/>
        <w:outlineLvl w:val="0"/>
        <w:rPr>
          <w:sz w:val="22"/>
          <w:szCs w:val="28"/>
        </w:rPr>
      </w:pPr>
      <w:r w:rsidRPr="003B4173">
        <w:rPr>
          <w:sz w:val="22"/>
          <w:szCs w:val="28"/>
        </w:rPr>
        <w:t>Mail address: zhengks@outlook.com</w:t>
      </w:r>
    </w:p>
    <w:p w14:paraId="6620F747" w14:textId="77777777" w:rsidR="00830D98" w:rsidRPr="003B4173" w:rsidRDefault="00830D98" w:rsidP="00830D98">
      <w:pPr>
        <w:suppressAutoHyphens/>
        <w:overflowPunct w:val="0"/>
        <w:adjustRightInd w:val="0"/>
        <w:snapToGrid w:val="0"/>
        <w:spacing w:line="360" w:lineRule="auto"/>
        <w:ind w:firstLine="440"/>
        <w:jc w:val="center"/>
        <w:outlineLvl w:val="0"/>
        <w:rPr>
          <w:sz w:val="22"/>
          <w:szCs w:val="28"/>
        </w:rPr>
      </w:pPr>
      <w:r w:rsidRPr="003B4173">
        <w:rPr>
          <w:sz w:val="22"/>
          <w:szCs w:val="28"/>
        </w:rPr>
        <w:t xml:space="preserve">Postal address: 417 </w:t>
      </w:r>
      <w:proofErr w:type="spellStart"/>
      <w:r w:rsidRPr="003B4173">
        <w:rPr>
          <w:sz w:val="22"/>
          <w:szCs w:val="28"/>
        </w:rPr>
        <w:t>Mingxing</w:t>
      </w:r>
      <w:proofErr w:type="spellEnd"/>
      <w:r w:rsidRPr="003B4173">
        <w:rPr>
          <w:sz w:val="22"/>
          <w:szCs w:val="28"/>
        </w:rPr>
        <w:t xml:space="preserve"> Building, Science and Education City, </w:t>
      </w:r>
      <w:proofErr w:type="spellStart"/>
      <w:r w:rsidRPr="003B4173">
        <w:rPr>
          <w:sz w:val="22"/>
          <w:szCs w:val="28"/>
        </w:rPr>
        <w:t>Wujin</w:t>
      </w:r>
      <w:proofErr w:type="spellEnd"/>
      <w:r w:rsidRPr="003B4173">
        <w:rPr>
          <w:sz w:val="22"/>
          <w:szCs w:val="28"/>
        </w:rPr>
        <w:t xml:space="preserve"> District, Changzhou, Jiangsu, China</w:t>
      </w:r>
      <w:bookmarkEnd w:id="1"/>
    </w:p>
    <w:p w14:paraId="66F4D9D8" w14:textId="4E9D5D51" w:rsidR="00830D98" w:rsidRPr="003F3D18" w:rsidRDefault="00830D98" w:rsidP="007F6BB3">
      <w:pPr>
        <w:spacing w:line="480" w:lineRule="auto"/>
        <w:ind w:firstLineChars="82" w:firstLine="198"/>
        <w:rPr>
          <w:b/>
          <w:bCs/>
          <w:sz w:val="24"/>
          <w:szCs w:val="24"/>
        </w:rPr>
      </w:pPr>
      <w:r w:rsidRPr="003F3D18">
        <w:rPr>
          <w:b/>
          <w:bCs/>
          <w:sz w:val="24"/>
          <w:szCs w:val="24"/>
        </w:rPr>
        <w:t>1. Instruments</w:t>
      </w:r>
    </w:p>
    <w:p w14:paraId="4C47490D" w14:textId="36B6BD01" w:rsidR="00830D98" w:rsidRPr="003F3D18" w:rsidRDefault="00830D98" w:rsidP="007F6BB3">
      <w:pPr>
        <w:spacing w:line="480" w:lineRule="auto"/>
        <w:ind w:firstLine="480"/>
        <w:rPr>
          <w:sz w:val="24"/>
          <w:szCs w:val="24"/>
        </w:rPr>
      </w:pPr>
      <w:r w:rsidRPr="003F3D18">
        <w:rPr>
          <w:sz w:val="24"/>
          <w:szCs w:val="24"/>
        </w:rPr>
        <w:t>A scanning electron microscope (SEM, JEOL, Japan) was used to observe the surface morphology of the aerogel. The automatic specific surface area and porosity analyzer (BET, ASAP 2460, USA) is used to analyze the specific surface area (S</w:t>
      </w:r>
      <w:r w:rsidRPr="003F3D18">
        <w:rPr>
          <w:sz w:val="24"/>
          <w:szCs w:val="24"/>
          <w:vertAlign w:val="subscript"/>
        </w:rPr>
        <w:t>BET</w:t>
      </w:r>
      <w:r w:rsidRPr="003F3D18">
        <w:rPr>
          <w:sz w:val="24"/>
          <w:szCs w:val="24"/>
        </w:rPr>
        <w:t>) of aerogels. The samples are tested by Fourier transform infrared spectrophotometer (FT-IR, IS50, USA). Under N</w:t>
      </w:r>
      <w:r w:rsidRPr="003F3D18">
        <w:rPr>
          <w:sz w:val="24"/>
          <w:szCs w:val="24"/>
          <w:vertAlign w:val="subscript"/>
        </w:rPr>
        <w:t>2</w:t>
      </w:r>
      <w:r w:rsidRPr="003F3D18">
        <w:rPr>
          <w:sz w:val="24"/>
          <w:szCs w:val="24"/>
        </w:rPr>
        <w:t xml:space="preserve"> atmosphere, thermogravimetric analysis of the aerogel was performed using a thermogravimetric analyzer (Q600-TGA/DSC, USA). The residual concentration of </w:t>
      </w:r>
      <w:r w:rsidR="006D30FE">
        <w:rPr>
          <w:sz w:val="24"/>
          <w:szCs w:val="24"/>
        </w:rPr>
        <w:t>G</w:t>
      </w:r>
      <w:r w:rsidR="006D30FE">
        <w:rPr>
          <w:rFonts w:hint="eastAsia"/>
          <w:sz w:val="24"/>
          <w:szCs w:val="24"/>
        </w:rPr>
        <w:t>d</w:t>
      </w:r>
      <w:r w:rsidR="00853E34">
        <w:rPr>
          <w:kern w:val="0"/>
          <w:sz w:val="24"/>
          <w:szCs w:val="24"/>
          <w:vertAlign w:val="superscript"/>
        </w:rPr>
        <w:t>3+</w:t>
      </w:r>
      <w:r w:rsidRPr="003F3D18">
        <w:rPr>
          <w:sz w:val="24"/>
          <w:szCs w:val="24"/>
        </w:rPr>
        <w:t xml:space="preserve"> was measured by inductively coupled plasma atomic emission spectrometer (ICP-OES, Vista-AX, USA) at a wavelength of 379.478nm.</w:t>
      </w:r>
    </w:p>
    <w:p w14:paraId="3C98FDC1" w14:textId="19A51E28" w:rsidR="00830D98" w:rsidRPr="003F3D18" w:rsidRDefault="00830D98" w:rsidP="007F6BB3">
      <w:pPr>
        <w:spacing w:line="480" w:lineRule="auto"/>
        <w:ind w:firstLineChars="82" w:firstLine="198"/>
        <w:rPr>
          <w:b/>
          <w:bCs/>
          <w:sz w:val="24"/>
          <w:szCs w:val="24"/>
        </w:rPr>
      </w:pPr>
      <w:r w:rsidRPr="003F3D18">
        <w:rPr>
          <w:b/>
          <w:bCs/>
          <w:sz w:val="24"/>
          <w:szCs w:val="24"/>
        </w:rPr>
        <w:t>2. Adsorption experiment</w:t>
      </w:r>
    </w:p>
    <w:p w14:paraId="6C866932" w14:textId="28264159" w:rsidR="00830D98" w:rsidRPr="003F3D18" w:rsidRDefault="00830D98" w:rsidP="007F6BB3">
      <w:pPr>
        <w:spacing w:line="480" w:lineRule="auto"/>
        <w:ind w:firstLine="482"/>
        <w:rPr>
          <w:sz w:val="24"/>
          <w:szCs w:val="24"/>
        </w:rPr>
      </w:pPr>
      <w:bookmarkStart w:id="2" w:name="_Hlk51771240"/>
      <w:r w:rsidRPr="003F3D18">
        <w:rPr>
          <w:b/>
          <w:bCs/>
          <w:sz w:val="24"/>
          <w:szCs w:val="24"/>
        </w:rPr>
        <w:t xml:space="preserve">Effect of pH on adsorption: </w:t>
      </w:r>
      <w:bookmarkEnd w:id="2"/>
      <w:proofErr w:type="gramStart"/>
      <w:r w:rsidR="006D30FE">
        <w:rPr>
          <w:sz w:val="24"/>
          <w:szCs w:val="24"/>
        </w:rPr>
        <w:t>G</w:t>
      </w:r>
      <w:r w:rsidR="006D30FE">
        <w:rPr>
          <w:rFonts w:hint="eastAsia"/>
          <w:sz w:val="24"/>
          <w:szCs w:val="24"/>
        </w:rPr>
        <w:t>d</w:t>
      </w:r>
      <w:r w:rsidRPr="003F3D18">
        <w:rPr>
          <w:sz w:val="24"/>
          <w:szCs w:val="24"/>
        </w:rPr>
        <w:t>(</w:t>
      </w:r>
      <w:proofErr w:type="gramEnd"/>
      <w:r w:rsidRPr="003F3D18">
        <w:rPr>
          <w:sz w:val="24"/>
          <w:szCs w:val="24"/>
        </w:rPr>
        <w:t>NO</w:t>
      </w:r>
      <w:r w:rsidRPr="003F3D18">
        <w:rPr>
          <w:sz w:val="24"/>
          <w:szCs w:val="24"/>
          <w:vertAlign w:val="subscript"/>
        </w:rPr>
        <w:t>3</w:t>
      </w:r>
      <w:r w:rsidRPr="003F3D18">
        <w:rPr>
          <w:sz w:val="24"/>
          <w:szCs w:val="24"/>
        </w:rPr>
        <w:t>)</w:t>
      </w:r>
      <w:r w:rsidRPr="003F3D18">
        <w:rPr>
          <w:sz w:val="24"/>
          <w:szCs w:val="24"/>
          <w:vertAlign w:val="subscript"/>
        </w:rPr>
        <w:t>3</w:t>
      </w:r>
      <w:r w:rsidRPr="003F3D18">
        <w:rPr>
          <w:sz w:val="24"/>
          <w:szCs w:val="24"/>
        </w:rPr>
        <w:t xml:space="preserve"> was used to prepare a stock solution with </w:t>
      </w:r>
      <w:r w:rsidR="006726BE">
        <w:rPr>
          <w:sz w:val="24"/>
          <w:szCs w:val="24"/>
        </w:rPr>
        <w:t>G</w:t>
      </w:r>
      <w:r w:rsidR="006726BE">
        <w:rPr>
          <w:rFonts w:hint="eastAsia"/>
          <w:sz w:val="24"/>
          <w:szCs w:val="24"/>
        </w:rPr>
        <w:t>d</w:t>
      </w:r>
      <w:r w:rsidR="00853E34">
        <w:rPr>
          <w:kern w:val="0"/>
          <w:sz w:val="24"/>
          <w:szCs w:val="24"/>
          <w:vertAlign w:val="superscript"/>
        </w:rPr>
        <w:t>3+</w:t>
      </w:r>
      <w:r w:rsidRPr="003F3D18">
        <w:rPr>
          <w:sz w:val="24"/>
          <w:szCs w:val="24"/>
        </w:rPr>
        <w:t xml:space="preserve"> concentration of 50 mg L</w:t>
      </w:r>
      <w:r w:rsidRPr="003F3D18">
        <w:rPr>
          <w:sz w:val="24"/>
          <w:szCs w:val="24"/>
          <w:vertAlign w:val="superscript"/>
        </w:rPr>
        <w:t>-1</w:t>
      </w:r>
      <w:r w:rsidRPr="003F3D18">
        <w:rPr>
          <w:sz w:val="24"/>
          <w:szCs w:val="24"/>
        </w:rPr>
        <w:t xml:space="preserve">. At room temperature, 10 mg of adsorbents were immersed in </w:t>
      </w:r>
      <w:r w:rsidR="006726BE">
        <w:rPr>
          <w:sz w:val="24"/>
          <w:szCs w:val="24"/>
        </w:rPr>
        <w:t>G</w:t>
      </w:r>
      <w:r w:rsidR="006726BE">
        <w:rPr>
          <w:rFonts w:hint="eastAsia"/>
          <w:sz w:val="24"/>
          <w:szCs w:val="24"/>
        </w:rPr>
        <w:t>d</w:t>
      </w:r>
      <w:r w:rsidR="00853E34">
        <w:rPr>
          <w:kern w:val="0"/>
          <w:sz w:val="24"/>
          <w:szCs w:val="24"/>
          <w:vertAlign w:val="superscript"/>
        </w:rPr>
        <w:t>3+</w:t>
      </w:r>
      <w:r w:rsidRPr="003F3D18">
        <w:rPr>
          <w:sz w:val="24"/>
          <w:szCs w:val="24"/>
        </w:rPr>
        <w:t xml:space="preserve"> stock solution (10 mL) with different pH (2.0 to 7.0) for 24 hours. The pH value was adjusted by 0.1 M NaOH and 0.1 M HCl. After adsorption was completed, the mixture was centrifuged (10000 r </w:t>
      </w:r>
      <w:proofErr w:type="gramStart"/>
      <w:r w:rsidRPr="003F3D18">
        <w:rPr>
          <w:sz w:val="24"/>
          <w:szCs w:val="24"/>
        </w:rPr>
        <w:t>min</w:t>
      </w:r>
      <w:r w:rsidRPr="003F3D18">
        <w:rPr>
          <w:sz w:val="24"/>
          <w:szCs w:val="24"/>
          <w:vertAlign w:val="superscript"/>
        </w:rPr>
        <w:t>-1</w:t>
      </w:r>
      <w:proofErr w:type="gramEnd"/>
      <w:r w:rsidRPr="003F3D18">
        <w:rPr>
          <w:sz w:val="24"/>
          <w:szCs w:val="24"/>
        </w:rPr>
        <w:t xml:space="preserve">, 15 min) and the absorbents were removed using a 0.22 </w:t>
      </w:r>
      <w:proofErr w:type="spellStart"/>
      <w:r w:rsidRPr="003F3D18">
        <w:rPr>
          <w:sz w:val="24"/>
          <w:szCs w:val="24"/>
        </w:rPr>
        <w:t>μm</w:t>
      </w:r>
      <w:proofErr w:type="spellEnd"/>
      <w:r w:rsidRPr="003F3D18">
        <w:rPr>
          <w:sz w:val="24"/>
          <w:szCs w:val="24"/>
        </w:rPr>
        <w:t xml:space="preserve"> filter. The residual concentration of </w:t>
      </w:r>
      <w:r w:rsidR="006726BE">
        <w:rPr>
          <w:sz w:val="24"/>
          <w:szCs w:val="24"/>
        </w:rPr>
        <w:t>G</w:t>
      </w:r>
      <w:r w:rsidR="006726BE">
        <w:rPr>
          <w:rFonts w:hint="eastAsia"/>
          <w:sz w:val="24"/>
          <w:szCs w:val="24"/>
        </w:rPr>
        <w:t>d</w:t>
      </w:r>
      <w:r w:rsidR="00853E34">
        <w:rPr>
          <w:kern w:val="0"/>
          <w:sz w:val="24"/>
          <w:szCs w:val="24"/>
          <w:vertAlign w:val="superscript"/>
        </w:rPr>
        <w:t>3+</w:t>
      </w:r>
      <w:r w:rsidRPr="003F3D18">
        <w:rPr>
          <w:sz w:val="24"/>
          <w:szCs w:val="24"/>
        </w:rPr>
        <w:t xml:space="preserve"> in the mixed </w:t>
      </w:r>
      <w:r w:rsidRPr="003F3D18">
        <w:rPr>
          <w:sz w:val="24"/>
          <w:szCs w:val="24"/>
        </w:rPr>
        <w:lastRenderedPageBreak/>
        <w:t xml:space="preserve">solution was measured by the ICP-OES. The adsorption capacities </w:t>
      </w:r>
      <w:r w:rsidRPr="003F3D18">
        <w:rPr>
          <w:i/>
          <w:iCs/>
          <w:sz w:val="24"/>
          <w:szCs w:val="24"/>
        </w:rPr>
        <w:t>Q</w:t>
      </w:r>
      <w:r w:rsidRPr="003F3D18">
        <w:rPr>
          <w:sz w:val="24"/>
          <w:szCs w:val="24"/>
          <w:vertAlign w:val="subscript"/>
        </w:rPr>
        <w:t>t</w:t>
      </w:r>
      <w:r w:rsidRPr="003F3D18">
        <w:rPr>
          <w:sz w:val="24"/>
          <w:szCs w:val="24"/>
        </w:rPr>
        <w:t xml:space="preserve"> (mg g</w:t>
      </w:r>
      <w:r w:rsidRPr="003F3D18">
        <w:rPr>
          <w:sz w:val="24"/>
          <w:szCs w:val="24"/>
          <w:vertAlign w:val="superscript"/>
        </w:rPr>
        <w:t>-1</w:t>
      </w:r>
      <w:r w:rsidRPr="003F3D18">
        <w:rPr>
          <w:sz w:val="24"/>
          <w:szCs w:val="24"/>
        </w:rPr>
        <w:t>) were calculated by the following formula</w:t>
      </w:r>
      <w:r w:rsidR="00B44C9E">
        <w:rPr>
          <w:sz w:val="24"/>
          <w:szCs w:val="24"/>
        </w:rPr>
        <w:fldChar w:fldCharType="begin"/>
      </w:r>
      <w:r w:rsidR="00DC725C">
        <w:rPr>
          <w:sz w:val="24"/>
          <w:szCs w:val="24"/>
        </w:rPr>
        <w:instrText xml:space="preserve"> ADDIN EN.CITE &lt;EndNote&gt;&lt;Cite&gt;&lt;Author&gt;Fan&lt;/Author&gt;&lt;Year&gt;2022&lt;/Year&gt;&lt;RecNum&gt;138&lt;/RecNum&gt;&lt;DisplayText&gt;(Fan et al., 2022)&lt;/DisplayText&gt;&lt;record&gt;&lt;rec-number&gt;138&lt;/rec-number&gt;&lt;foreign-keys&gt;&lt;key app="EN" db-id="d2xdrwd99vpxz2exra7x599b9fpszds95ttf" timestamp="1665386869"&gt;138&lt;/key&gt;&lt;/foreign-keys&gt;&lt;ref-type name="Journal Article"&gt;17&lt;/ref-type&gt;&lt;contributors&gt;&lt;authors&gt;&lt;author&gt;Fan, Kehao&lt;/author&gt;&lt;author&gt;Zhang, Tianjing&lt;/author&gt;&lt;author&gt;Xiao, Siyu&lt;/author&gt;&lt;author&gt;He, Hua&lt;/author&gt;&lt;author&gt;Yang, Jisheng&lt;/author&gt;&lt;author&gt;Qin, Zhiyong&lt;/author&gt;&lt;/authors&gt;&lt;/contributors&gt;&lt;titles&gt;&lt;title&gt;Preparation and adsorption performance of functionalization cellulose-based composite aerogel&lt;/title&gt;&lt;secondary-title&gt;International Journal of Biological Macromolecules&lt;/secondary-title&gt;&lt;/titles&gt;&lt;periodical&gt;&lt;full-title&gt;International Journal of Biological Macromolecules&lt;/full-title&gt;&lt;/periodical&gt;&lt;pages&gt;1-14&lt;/pages&gt;&lt;volume&gt;211&lt;/volume&gt;&lt;dates&gt;&lt;year&gt;2022&lt;/year&gt;&lt;pub-dates&gt;&lt;date&gt;Jun 30&lt;/date&gt;&lt;/pub-dates&gt;&lt;/dates&gt;&lt;isbn&gt;0141-8130&lt;/isbn&gt;&lt;accession-num&gt;WOS:000806364400001&lt;/accession-num&gt;&lt;urls&gt;&lt;related-urls&gt;&lt;url&gt;&amp;lt;Go to ISI&amp;gt;://WOS:000806364400001&lt;/url&gt;&lt;/related-urls&gt;&lt;/urls&gt;&lt;electronic-resource-num&gt;10.1016/j.ijbiomac.2022.05.042&lt;/electronic-resource-num&gt;&lt;/record&gt;&lt;/Cite&gt;&lt;/EndNote&gt;</w:instrText>
      </w:r>
      <w:r w:rsidR="00B44C9E">
        <w:rPr>
          <w:sz w:val="24"/>
          <w:szCs w:val="24"/>
        </w:rPr>
        <w:fldChar w:fldCharType="separate"/>
      </w:r>
      <w:r w:rsidR="00DC725C">
        <w:rPr>
          <w:noProof/>
          <w:sz w:val="24"/>
          <w:szCs w:val="24"/>
        </w:rPr>
        <w:t>(Fan et al., 2022)</w:t>
      </w:r>
      <w:r w:rsidR="00B44C9E">
        <w:rPr>
          <w:sz w:val="24"/>
          <w:szCs w:val="24"/>
        </w:rPr>
        <w:fldChar w:fldCharType="end"/>
      </w:r>
      <w:r w:rsidRPr="003F3D18">
        <w:rPr>
          <w:sz w:val="24"/>
          <w:szCs w:val="24"/>
        </w:rPr>
        <w:t>:</w:t>
      </w:r>
    </w:p>
    <w:p w14:paraId="2DCEDDD9" w14:textId="3D24EFE1" w:rsidR="003F3D18" w:rsidRPr="003F3D18" w:rsidRDefault="003F3D18" w:rsidP="007F6BB3">
      <w:pPr>
        <w:spacing w:line="480" w:lineRule="auto"/>
        <w:ind w:firstLine="480"/>
        <w:jc w:val="center"/>
        <w:rPr>
          <w:sz w:val="24"/>
          <w:szCs w:val="24"/>
        </w:rPr>
      </w:pPr>
      <w:r w:rsidRPr="003F3D18">
        <w:rPr>
          <w:rFonts w:hint="eastAsia"/>
          <w:sz w:val="24"/>
          <w:szCs w:val="24"/>
        </w:rPr>
        <w:t xml:space="preserve"> </w:t>
      </w:r>
      <w:r w:rsidRPr="003F3D18">
        <w:rPr>
          <w:sz w:val="24"/>
          <w:szCs w:val="24"/>
        </w:rPr>
        <w:t xml:space="preserve">                     </w:t>
      </w:r>
      <m:oMath>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t</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V</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0</m:t>
                    </m:r>
                  </m:sub>
                </m:sSub>
              </m:e>
              <m:e>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t</m:t>
                    </m:r>
                  </m:sub>
                </m:sSub>
              </m:e>
            </m:d>
          </m:num>
          <m:den>
            <m:r>
              <w:rPr>
                <w:rFonts w:ascii="Cambria Math" w:hAnsi="Cambria Math"/>
                <w:sz w:val="24"/>
                <w:szCs w:val="24"/>
              </w:rPr>
              <m:t>m</m:t>
            </m:r>
          </m:den>
        </m:f>
      </m:oMath>
      <w:r w:rsidRPr="003F3D18">
        <w:rPr>
          <w:rFonts w:hint="eastAsia"/>
          <w:sz w:val="24"/>
          <w:szCs w:val="24"/>
        </w:rPr>
        <w:t xml:space="preserve"> </w:t>
      </w:r>
      <w:r w:rsidRPr="003F3D18">
        <w:rPr>
          <w:sz w:val="24"/>
          <w:szCs w:val="24"/>
        </w:rPr>
        <w:t xml:space="preserve">                            (1)</w:t>
      </w:r>
    </w:p>
    <w:p w14:paraId="789C7AC0" w14:textId="106DEB7D" w:rsidR="003F3D18" w:rsidRPr="003F3D18" w:rsidRDefault="003F3D18" w:rsidP="007F6BB3">
      <w:pPr>
        <w:snapToGrid w:val="0"/>
        <w:spacing w:line="480" w:lineRule="auto"/>
        <w:ind w:firstLine="480"/>
        <w:rPr>
          <w:sz w:val="24"/>
          <w:szCs w:val="24"/>
        </w:rPr>
      </w:pPr>
      <w:r w:rsidRPr="003F3D18">
        <w:rPr>
          <w:sz w:val="24"/>
          <w:szCs w:val="24"/>
        </w:rPr>
        <w:t xml:space="preserve">Where </w:t>
      </w:r>
      <w:r w:rsidRPr="003F3D18">
        <w:rPr>
          <w:i/>
          <w:iCs/>
          <w:sz w:val="24"/>
          <w:szCs w:val="24"/>
        </w:rPr>
        <w:t>C</w:t>
      </w:r>
      <w:r w:rsidRPr="003F3D18">
        <w:rPr>
          <w:sz w:val="24"/>
          <w:szCs w:val="24"/>
          <w:vertAlign w:val="subscript"/>
        </w:rPr>
        <w:t>0</w:t>
      </w:r>
      <w:r w:rsidRPr="003F3D18">
        <w:rPr>
          <w:sz w:val="24"/>
          <w:szCs w:val="24"/>
        </w:rPr>
        <w:t xml:space="preserve"> and </w:t>
      </w:r>
      <w:r w:rsidRPr="003F3D18">
        <w:rPr>
          <w:i/>
          <w:iCs/>
          <w:sz w:val="24"/>
          <w:szCs w:val="24"/>
        </w:rPr>
        <w:t>C</w:t>
      </w:r>
      <w:r w:rsidRPr="003F3D18">
        <w:rPr>
          <w:sz w:val="24"/>
          <w:szCs w:val="24"/>
          <w:vertAlign w:val="subscript"/>
        </w:rPr>
        <w:t>t</w:t>
      </w:r>
      <w:r w:rsidRPr="003F3D18">
        <w:rPr>
          <w:sz w:val="24"/>
          <w:szCs w:val="24"/>
        </w:rPr>
        <w:t xml:space="preserve"> (mg L</w:t>
      </w:r>
      <w:r w:rsidRPr="003F3D18">
        <w:rPr>
          <w:sz w:val="24"/>
          <w:szCs w:val="24"/>
          <w:vertAlign w:val="superscript"/>
        </w:rPr>
        <w:t>-1</w:t>
      </w:r>
      <w:r w:rsidRPr="003F3D18">
        <w:rPr>
          <w:sz w:val="24"/>
          <w:szCs w:val="24"/>
        </w:rPr>
        <w:t xml:space="preserve">) are initial concentration and the residual concentration of </w:t>
      </w:r>
      <w:r w:rsidR="006726BE">
        <w:rPr>
          <w:sz w:val="24"/>
          <w:szCs w:val="24"/>
        </w:rPr>
        <w:t>G</w:t>
      </w:r>
      <w:r w:rsidR="006726BE">
        <w:rPr>
          <w:rFonts w:hint="eastAsia"/>
          <w:sz w:val="24"/>
          <w:szCs w:val="24"/>
        </w:rPr>
        <w:t>d</w:t>
      </w:r>
      <w:r w:rsidR="00853E34">
        <w:rPr>
          <w:kern w:val="0"/>
          <w:sz w:val="24"/>
          <w:szCs w:val="24"/>
          <w:vertAlign w:val="superscript"/>
        </w:rPr>
        <w:t>3+</w:t>
      </w:r>
      <w:r w:rsidRPr="003F3D18">
        <w:rPr>
          <w:sz w:val="24"/>
          <w:szCs w:val="24"/>
        </w:rPr>
        <w:t xml:space="preserve"> in mixed solution, respectively. </w:t>
      </w:r>
      <w:r w:rsidRPr="003F3D18">
        <w:rPr>
          <w:i/>
          <w:iCs/>
          <w:sz w:val="24"/>
          <w:szCs w:val="24"/>
        </w:rPr>
        <w:t>V</w:t>
      </w:r>
      <w:r w:rsidRPr="003F3D18">
        <w:rPr>
          <w:sz w:val="24"/>
          <w:szCs w:val="24"/>
        </w:rPr>
        <w:t xml:space="preserve"> (L) is the volume of </w:t>
      </w:r>
      <w:r w:rsidR="006726BE">
        <w:rPr>
          <w:sz w:val="24"/>
          <w:szCs w:val="24"/>
        </w:rPr>
        <w:t>G</w:t>
      </w:r>
      <w:r w:rsidR="006726BE">
        <w:rPr>
          <w:rFonts w:hint="eastAsia"/>
          <w:sz w:val="24"/>
          <w:szCs w:val="24"/>
        </w:rPr>
        <w:t>d</w:t>
      </w:r>
      <w:r w:rsidR="00853E34">
        <w:rPr>
          <w:kern w:val="0"/>
          <w:sz w:val="24"/>
          <w:szCs w:val="24"/>
          <w:vertAlign w:val="superscript"/>
        </w:rPr>
        <w:t>3+</w:t>
      </w:r>
      <w:r w:rsidRPr="003F3D18">
        <w:rPr>
          <w:sz w:val="24"/>
          <w:szCs w:val="24"/>
        </w:rPr>
        <w:t xml:space="preserve"> stock solution, and </w:t>
      </w:r>
      <w:r w:rsidRPr="003F3D18">
        <w:rPr>
          <w:i/>
          <w:iCs/>
          <w:sz w:val="24"/>
          <w:szCs w:val="24"/>
        </w:rPr>
        <w:t>m</w:t>
      </w:r>
      <w:r w:rsidRPr="003F3D18">
        <w:rPr>
          <w:sz w:val="24"/>
          <w:szCs w:val="24"/>
        </w:rPr>
        <w:t xml:space="preserve"> (g) is the mass of aerogel.</w:t>
      </w:r>
    </w:p>
    <w:p w14:paraId="0BBF1518" w14:textId="5184DA86" w:rsidR="00830D98" w:rsidRDefault="003F3D18" w:rsidP="007F6BB3">
      <w:pPr>
        <w:spacing w:line="480" w:lineRule="auto"/>
        <w:ind w:firstLineChars="95" w:firstLine="229"/>
        <w:rPr>
          <w:sz w:val="24"/>
          <w:szCs w:val="24"/>
        </w:rPr>
      </w:pPr>
      <w:r w:rsidRPr="003F3D18">
        <w:rPr>
          <w:rFonts w:hint="eastAsia"/>
          <w:b/>
          <w:bCs/>
          <w:sz w:val="24"/>
          <w:szCs w:val="24"/>
        </w:rPr>
        <w:t xml:space="preserve">Adsorption dynamics: </w:t>
      </w:r>
      <w:r w:rsidRPr="003F3D18">
        <w:rPr>
          <w:rFonts w:hint="eastAsia"/>
          <w:sz w:val="24"/>
          <w:szCs w:val="24"/>
        </w:rPr>
        <w:t xml:space="preserve">At room temperature, 10 mg of adsorbents separately immersed in </w:t>
      </w:r>
      <w:r w:rsidR="004324A3">
        <w:rPr>
          <w:sz w:val="24"/>
          <w:szCs w:val="24"/>
        </w:rPr>
        <w:t>G</w:t>
      </w:r>
      <w:r w:rsidR="004324A3">
        <w:rPr>
          <w:rFonts w:hint="eastAsia"/>
          <w:sz w:val="24"/>
          <w:szCs w:val="24"/>
        </w:rPr>
        <w:t>d</w:t>
      </w:r>
      <w:r w:rsidR="00853E34">
        <w:rPr>
          <w:kern w:val="0"/>
          <w:sz w:val="24"/>
          <w:szCs w:val="24"/>
          <w:vertAlign w:val="superscript"/>
        </w:rPr>
        <w:t>3+</w:t>
      </w:r>
      <w:r w:rsidRPr="003F3D18">
        <w:rPr>
          <w:rFonts w:hint="eastAsia"/>
          <w:sz w:val="24"/>
          <w:szCs w:val="24"/>
        </w:rPr>
        <w:t xml:space="preserve"> stock solution (10 mL, 50 mg L</w:t>
      </w:r>
      <w:r w:rsidRPr="00E74C09">
        <w:rPr>
          <w:rFonts w:hint="eastAsia"/>
          <w:sz w:val="24"/>
          <w:szCs w:val="24"/>
          <w:vertAlign w:val="superscript"/>
        </w:rPr>
        <w:t>-1</w:t>
      </w:r>
      <w:r w:rsidRPr="003F3D18">
        <w:rPr>
          <w:rFonts w:hint="eastAsia"/>
          <w:sz w:val="24"/>
          <w:szCs w:val="24"/>
        </w:rPr>
        <w:t xml:space="preserve">, pH=4.0), separately. The residual concentrations of </w:t>
      </w:r>
      <w:r w:rsidR="00B44C9E">
        <w:rPr>
          <w:sz w:val="24"/>
          <w:szCs w:val="24"/>
        </w:rPr>
        <w:t>G</w:t>
      </w:r>
      <w:r w:rsidR="00B44C9E">
        <w:rPr>
          <w:rFonts w:hint="eastAsia"/>
          <w:sz w:val="24"/>
          <w:szCs w:val="24"/>
        </w:rPr>
        <w:t>d</w:t>
      </w:r>
      <w:r w:rsidR="00853E34">
        <w:rPr>
          <w:kern w:val="0"/>
          <w:sz w:val="24"/>
          <w:szCs w:val="24"/>
          <w:vertAlign w:val="superscript"/>
        </w:rPr>
        <w:t>3+</w:t>
      </w:r>
      <w:r w:rsidRPr="003F3D18">
        <w:rPr>
          <w:rFonts w:hint="eastAsia"/>
          <w:sz w:val="24"/>
          <w:szCs w:val="24"/>
        </w:rPr>
        <w:t xml:space="preserve"> in mixed solution were determined at different contact times (0 minutes</w:t>
      </w:r>
      <w:r w:rsidRPr="003F3D18">
        <w:rPr>
          <w:sz w:val="24"/>
          <w:szCs w:val="24"/>
        </w:rPr>
        <w:t xml:space="preserve"> to 24 hours). We used the pseudo-ﬁrst-order kinetic model (PFOKM, equations (2)), pseudo-second-order kinetic model (PSOKM, equations (3)) respectively to fit the adsorption kinetic data, and then analyzed the adsorption mechanism</w:t>
      </w:r>
      <w:r w:rsidR="00AB5AAC">
        <w:rPr>
          <w:sz w:val="24"/>
          <w:szCs w:val="24"/>
        </w:rPr>
        <w:fldChar w:fldCharType="begin"/>
      </w:r>
      <w:r w:rsidR="00DC725C">
        <w:rPr>
          <w:sz w:val="24"/>
          <w:szCs w:val="24"/>
        </w:rPr>
        <w:instrText xml:space="preserve"> ADDIN EN.CITE &lt;EndNote&gt;&lt;Cite&gt;&lt;Author&gt;Bar&lt;/Author&gt;&lt;Year&gt;2020&lt;/Year&gt;&lt;RecNum&gt;139&lt;/RecNum&gt;&lt;DisplayText&gt;(Bar et al., 2020)&lt;/DisplayText&gt;&lt;record&gt;&lt;rec-number&gt;139&lt;/rec-number&gt;&lt;foreign-keys&gt;&lt;key app="EN" db-id="d2xdrwd99vpxz2exra7x599b9fpszds95ttf" timestamp="1665387610"&gt;139&lt;/key&gt;&lt;/foreign-keys&gt;&lt;ref-type name="Journal Article"&gt;17&lt;/ref-type&gt;&lt;contributors&gt;&lt;authors&gt;&lt;author&gt;Bar, Arun Kumar&lt;/author&gt;&lt;author&gt;Ojea, Maria Jose Heras&lt;/author&gt;&lt;author&gt;Tang, Jinkui&lt;/author&gt;&lt;author&gt;Layfield, Richard A.&lt;/author&gt;&lt;/authors&gt;&lt;/contributors&gt;&lt;titles&gt;&lt;title&gt;Coupling of Nitric Oxide and Release of Nitrous Oxide from Rare-Earth-Dinitrosyliron Complexes&lt;/title&gt;&lt;secondary-title&gt;Journal of the American Chemical Society&lt;/secondary-title&gt;&lt;/titles&gt;&lt;periodical&gt;&lt;full-title&gt;Journal of the American Chemical Society&lt;/full-title&gt;&lt;/periodical&gt;&lt;pages&gt;4104-4107&lt;/pages&gt;&lt;volume&gt;142&lt;/volume&gt;&lt;number&gt;9&lt;/number&gt;&lt;dates&gt;&lt;year&gt;2020&lt;/year&gt;&lt;pub-dates&gt;&lt;date&gt;Mar 4&lt;/date&gt;&lt;/pub-dates&gt;&lt;/dates&gt;&lt;isbn&gt;0002-7863&lt;/isbn&gt;&lt;accession-num&gt;WOS:000518700800005&lt;/accession-num&gt;&lt;urls&gt;&lt;related-urls&gt;&lt;url&gt;&amp;lt;Go to ISI&amp;gt;://WOS:000518700800005&lt;/url&gt;&lt;/related-urls&gt;&lt;/urls&gt;&lt;electronic-resource-num&gt;10.1021/jacs.9b13571&lt;/electronic-resource-num&gt;&lt;/record&gt;&lt;/Cite&gt;&lt;/EndNote&gt;</w:instrText>
      </w:r>
      <w:r w:rsidR="00AB5AAC">
        <w:rPr>
          <w:sz w:val="24"/>
          <w:szCs w:val="24"/>
        </w:rPr>
        <w:fldChar w:fldCharType="separate"/>
      </w:r>
      <w:r w:rsidR="00DC725C">
        <w:rPr>
          <w:noProof/>
          <w:sz w:val="24"/>
          <w:szCs w:val="24"/>
        </w:rPr>
        <w:t>(Bar et al., 2020)</w:t>
      </w:r>
      <w:r w:rsidR="00AB5AAC">
        <w:rPr>
          <w:sz w:val="24"/>
          <w:szCs w:val="24"/>
        </w:rPr>
        <w:fldChar w:fldCharType="end"/>
      </w:r>
      <w:r w:rsidR="007F6BB3">
        <w:rPr>
          <w:sz w:val="24"/>
          <w:szCs w:val="24"/>
        </w:rPr>
        <w:t>:</w:t>
      </w:r>
    </w:p>
    <w:p w14:paraId="52489419" w14:textId="5568774E" w:rsidR="00575A5B" w:rsidRDefault="00000000" w:rsidP="007A4DA6">
      <w:pPr>
        <w:spacing w:line="30" w:lineRule="atLeast"/>
        <w:ind w:leftChars="1695" w:left="3559" w:firstLineChars="0" w:firstLine="0"/>
        <w:rPr>
          <w:sz w:val="24"/>
          <w:szCs w:val="24"/>
        </w:rPr>
      </w:pPr>
      <m:oMath>
        <m:sSub>
          <m:sSubPr>
            <m:ctrlPr>
              <w:rPr>
                <w:rFonts w:ascii="Cambria Math" w:eastAsia="Times New Roman" w:hAnsi="Cambria Math"/>
                <w:i/>
                <w:sz w:val="24"/>
                <w:szCs w:val="24"/>
              </w:rPr>
            </m:ctrlPr>
          </m:sSubPr>
          <m:e>
            <m:r>
              <m:rPr>
                <m:nor/>
              </m:rPr>
              <w:rPr>
                <w:rFonts w:eastAsia="Times New Roman"/>
                <w:i/>
                <w:sz w:val="24"/>
                <w:szCs w:val="24"/>
              </w:rPr>
              <m:t>Q</m:t>
            </m:r>
          </m:e>
          <m:sub>
            <m:r>
              <m:rPr>
                <m:nor/>
              </m:rPr>
              <w:rPr>
                <w:rFonts w:eastAsia="Times New Roman"/>
                <w:iCs/>
                <w:sz w:val="24"/>
                <w:szCs w:val="24"/>
              </w:rPr>
              <m:t>t</m:t>
            </m:r>
          </m:sub>
        </m:sSub>
        <m:r>
          <m:rPr>
            <m:nor/>
          </m:rPr>
          <w:rPr>
            <w:rFonts w:eastAsia="Times New Roman"/>
            <w:sz w:val="24"/>
            <w:szCs w:val="24"/>
          </w:rPr>
          <m:t>=</m:t>
        </m:r>
        <m:sSub>
          <m:sSubPr>
            <m:ctrlPr>
              <w:rPr>
                <w:rFonts w:ascii="Cambria Math" w:eastAsia="Times New Roman" w:hAnsi="Cambria Math"/>
                <w:i/>
                <w:sz w:val="24"/>
                <w:szCs w:val="24"/>
              </w:rPr>
            </m:ctrlPr>
          </m:sSubPr>
          <m:e>
            <m:r>
              <m:rPr>
                <m:nor/>
              </m:rPr>
              <w:rPr>
                <w:rFonts w:eastAsia="Times New Roman"/>
                <w:i/>
                <w:sz w:val="24"/>
                <w:szCs w:val="24"/>
              </w:rPr>
              <m:t>Q</m:t>
            </m:r>
          </m:e>
          <m:sub>
            <m:r>
              <m:rPr>
                <m:nor/>
              </m:rPr>
              <w:rPr>
                <w:rFonts w:eastAsia="Times New Roman"/>
                <w:iCs/>
                <w:sz w:val="24"/>
                <w:szCs w:val="24"/>
              </w:rPr>
              <m:t>e</m:t>
            </m:r>
          </m:sub>
        </m:sSub>
        <m:r>
          <m:rPr>
            <m:nor/>
          </m:rPr>
          <w:rPr>
            <w:rFonts w:eastAsia="Times New Roman"/>
            <w:sz w:val="24"/>
            <w:szCs w:val="24"/>
          </w:rPr>
          <m:t>-</m:t>
        </m:r>
        <m:sSub>
          <m:sSubPr>
            <m:ctrlPr>
              <w:rPr>
                <w:rFonts w:ascii="Cambria Math" w:eastAsia="Times New Roman" w:hAnsi="Cambria Math"/>
                <w:i/>
                <w:sz w:val="24"/>
                <w:szCs w:val="24"/>
              </w:rPr>
            </m:ctrlPr>
          </m:sSubPr>
          <m:e>
            <m:r>
              <m:rPr>
                <m:nor/>
              </m:rPr>
              <w:rPr>
                <w:rFonts w:eastAsia="Times New Roman"/>
                <w:i/>
                <w:sz w:val="24"/>
                <w:szCs w:val="24"/>
              </w:rPr>
              <m:t>Q</m:t>
            </m:r>
          </m:e>
          <m:sub>
            <m:r>
              <m:rPr>
                <m:nor/>
              </m:rPr>
              <w:rPr>
                <w:rFonts w:eastAsia="Times New Roman"/>
                <w:iCs/>
                <w:sz w:val="24"/>
                <w:szCs w:val="24"/>
              </w:rPr>
              <m:t>e</m:t>
            </m:r>
          </m:sub>
        </m:sSub>
        <m:sSup>
          <m:sSupPr>
            <m:ctrlPr>
              <w:rPr>
                <w:rFonts w:ascii="Cambria Math" w:eastAsia="Times New Roman" w:hAnsi="Cambria Math"/>
                <w:i/>
                <w:sz w:val="24"/>
                <w:szCs w:val="24"/>
              </w:rPr>
            </m:ctrlPr>
          </m:sSupPr>
          <m:e>
            <m:r>
              <m:rPr>
                <m:nor/>
              </m:rPr>
              <w:rPr>
                <w:rFonts w:eastAsia="Times New Roman"/>
                <w:sz w:val="24"/>
                <w:szCs w:val="24"/>
              </w:rPr>
              <m:t>e</m:t>
            </m:r>
          </m:e>
          <m:sup>
            <m:r>
              <m:rPr>
                <m:nor/>
              </m:rPr>
              <w:rPr>
                <w:rFonts w:eastAsia="Times New Roman"/>
                <w:sz w:val="24"/>
                <w:szCs w:val="24"/>
              </w:rPr>
              <m:t>-</m:t>
            </m:r>
            <m:sSub>
              <m:sSubPr>
                <m:ctrlPr>
                  <w:rPr>
                    <w:rFonts w:ascii="Cambria Math" w:eastAsia="Times New Roman" w:hAnsi="Cambria Math"/>
                    <w:i/>
                    <w:sz w:val="24"/>
                    <w:szCs w:val="24"/>
                  </w:rPr>
                </m:ctrlPr>
              </m:sSubPr>
              <m:e>
                <m:r>
                  <m:rPr>
                    <m:nor/>
                  </m:rPr>
                  <w:rPr>
                    <w:rFonts w:eastAsia="Times New Roman"/>
                    <w:i/>
                    <w:sz w:val="24"/>
                    <w:szCs w:val="24"/>
                  </w:rPr>
                  <m:t>k</m:t>
                </m:r>
              </m:e>
              <m:sub>
                <m:r>
                  <m:rPr>
                    <m:nor/>
                  </m:rPr>
                  <w:rPr>
                    <w:rFonts w:eastAsia="Times New Roman"/>
                    <w:iCs/>
                    <w:sz w:val="24"/>
                    <w:szCs w:val="24"/>
                  </w:rPr>
                  <m:t>1</m:t>
                </m:r>
              </m:sub>
            </m:sSub>
            <m:r>
              <m:rPr>
                <m:nor/>
              </m:rPr>
              <w:rPr>
                <w:rFonts w:eastAsia="Times New Roman"/>
                <w:i/>
                <w:sz w:val="24"/>
                <w:szCs w:val="24"/>
              </w:rPr>
              <m:t>t</m:t>
            </m:r>
          </m:sup>
        </m:sSup>
      </m:oMath>
      <w:r w:rsidR="00575A5B">
        <w:rPr>
          <w:rFonts w:hint="eastAsia"/>
          <w:sz w:val="24"/>
          <w:szCs w:val="24"/>
        </w:rPr>
        <w:t xml:space="preserve"> </w:t>
      </w:r>
      <w:r w:rsidR="00575A5B">
        <w:rPr>
          <w:sz w:val="24"/>
          <w:szCs w:val="24"/>
        </w:rPr>
        <w:t xml:space="preserve">                        (2)</w:t>
      </w:r>
    </w:p>
    <w:p w14:paraId="599AFD12" w14:textId="26A0BD7A" w:rsidR="007A4DA6" w:rsidRPr="007A4DA6" w:rsidRDefault="007A4DA6" w:rsidP="007A4DA6">
      <w:pPr>
        <w:spacing w:line="30" w:lineRule="atLeast"/>
        <w:ind w:firstLineChars="1483" w:firstLine="3559"/>
        <w:rPr>
          <w:sz w:val="24"/>
          <w:szCs w:val="24"/>
        </w:rPr>
      </w:pPr>
      <m:oMath>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t</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2</m:t>
                </m:r>
              </m:sub>
            </m:sSub>
            <m:sSubSup>
              <m:sSubSupPr>
                <m:ctrlPr>
                  <w:rPr>
                    <w:rFonts w:ascii="Cambria Math" w:hAnsi="Cambria Math"/>
                    <w:i/>
                    <w:sz w:val="24"/>
                    <w:szCs w:val="24"/>
                  </w:rPr>
                </m:ctrlPr>
              </m:sSubSupPr>
              <m:e>
                <m:r>
                  <w:rPr>
                    <w:rFonts w:ascii="Cambria Math" w:hAnsi="Cambria Math"/>
                    <w:sz w:val="24"/>
                    <w:szCs w:val="24"/>
                  </w:rPr>
                  <m:t>Q</m:t>
                </m:r>
              </m:e>
              <m:sub>
                <m:r>
                  <w:rPr>
                    <w:rFonts w:ascii="Cambria Math" w:hAnsi="Cambria Math"/>
                    <w:sz w:val="24"/>
                    <w:szCs w:val="24"/>
                  </w:rPr>
                  <m:t>e</m:t>
                </m:r>
              </m:sub>
              <m:sup>
                <m:r>
                  <w:rPr>
                    <w:rFonts w:ascii="Cambria Math" w:hAnsi="Cambria Math"/>
                    <w:sz w:val="24"/>
                    <w:szCs w:val="24"/>
                  </w:rPr>
                  <m:t>2</m:t>
                </m:r>
              </m:sup>
            </m:sSubSup>
            <m:r>
              <w:rPr>
                <w:rFonts w:ascii="Cambria Math" w:hAnsi="Cambria Math"/>
                <w:sz w:val="24"/>
                <w:szCs w:val="24"/>
              </w:rPr>
              <m:t>t</m:t>
            </m:r>
          </m:num>
          <m:den>
            <m:r>
              <w:rPr>
                <w:rFonts w:ascii="Cambria Math" w:hAnsi="Cambria Math"/>
                <w:sz w:val="24"/>
                <w:szCs w:val="24"/>
              </w:rPr>
              <m:t>1+</m:t>
            </m:r>
            <m:sSub>
              <m:sSubPr>
                <m:ctrlPr>
                  <w:rPr>
                    <w:rFonts w:ascii="Cambria Math" w:hAnsi="Cambria Math"/>
                    <w:i/>
                    <w:sz w:val="24"/>
                    <w:szCs w:val="24"/>
                  </w:rPr>
                </m:ctrlPr>
              </m:sSubPr>
              <m:e>
                <m:r>
                  <w:rPr>
                    <w:rFonts w:ascii="Cambria Math" w:hAnsi="Cambria Math"/>
                    <w:sz w:val="24"/>
                    <w:szCs w:val="24"/>
                  </w:rPr>
                  <m:t>k</m:t>
                </m:r>
              </m:e>
              <m:sub>
                <m:r>
                  <w:rPr>
                    <w:rFonts w:ascii="Cambria Math" w:hAnsi="Cambria Math"/>
                    <w:sz w:val="24"/>
                    <w:szCs w:val="24"/>
                  </w:rPr>
                  <m:t>2</m:t>
                </m:r>
              </m:sub>
            </m:sSub>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e</m:t>
                </m:r>
              </m:sub>
            </m:sSub>
            <m:r>
              <w:rPr>
                <w:rFonts w:ascii="Cambria Math" w:hAnsi="Cambria Math"/>
                <w:sz w:val="24"/>
                <w:szCs w:val="24"/>
              </w:rPr>
              <m:t>t</m:t>
            </m:r>
          </m:den>
        </m:f>
      </m:oMath>
      <w:r>
        <w:rPr>
          <w:rFonts w:hint="eastAsia"/>
          <w:sz w:val="24"/>
          <w:szCs w:val="24"/>
        </w:rPr>
        <w:t xml:space="preserve"> </w:t>
      </w:r>
      <w:r>
        <w:rPr>
          <w:sz w:val="24"/>
          <w:szCs w:val="24"/>
        </w:rPr>
        <w:t xml:space="preserve">                        (3)</w:t>
      </w:r>
    </w:p>
    <w:p w14:paraId="2499F3EF" w14:textId="2F602F5F" w:rsidR="00575A5B" w:rsidRPr="00B23681" w:rsidRDefault="00575A5B" w:rsidP="00575A5B">
      <w:pPr>
        <w:adjustRightInd w:val="0"/>
        <w:snapToGrid w:val="0"/>
        <w:spacing w:line="480" w:lineRule="auto"/>
        <w:ind w:firstLine="480"/>
        <w:rPr>
          <w:rFonts w:eastAsia="Times New Roman"/>
          <w:sz w:val="24"/>
          <w:szCs w:val="24"/>
        </w:rPr>
      </w:pPr>
      <w:r w:rsidRPr="00B23681">
        <w:rPr>
          <w:rFonts w:eastAsia="Times New Roman"/>
          <w:sz w:val="24"/>
          <w:szCs w:val="24"/>
        </w:rPr>
        <w:t xml:space="preserve">Where, </w:t>
      </w:r>
      <w:r w:rsidRPr="00B23681">
        <w:rPr>
          <w:rFonts w:eastAsia="Times New Roman"/>
          <w:i/>
          <w:iCs/>
          <w:sz w:val="24"/>
          <w:szCs w:val="24"/>
        </w:rPr>
        <w:t>Q</w:t>
      </w:r>
      <w:r w:rsidRPr="00B23681">
        <w:rPr>
          <w:rFonts w:eastAsia="Times New Roman"/>
          <w:sz w:val="24"/>
          <w:szCs w:val="24"/>
          <w:vertAlign w:val="subscript"/>
        </w:rPr>
        <w:t>t</w:t>
      </w:r>
      <w:r w:rsidRPr="00B23681">
        <w:rPr>
          <w:rFonts w:eastAsia="Times New Roman"/>
          <w:sz w:val="24"/>
          <w:szCs w:val="24"/>
        </w:rPr>
        <w:t xml:space="preserve"> (mg g</w:t>
      </w:r>
      <w:r w:rsidRPr="00B23681">
        <w:rPr>
          <w:rFonts w:eastAsia="Times New Roman"/>
          <w:sz w:val="24"/>
          <w:szCs w:val="24"/>
          <w:vertAlign w:val="superscript"/>
        </w:rPr>
        <w:t>-1</w:t>
      </w:r>
      <w:r w:rsidRPr="00B23681">
        <w:rPr>
          <w:rFonts w:eastAsia="Times New Roman"/>
          <w:sz w:val="24"/>
          <w:szCs w:val="24"/>
        </w:rPr>
        <w:t xml:space="preserve">) and </w:t>
      </w:r>
      <w:proofErr w:type="spellStart"/>
      <w:r w:rsidRPr="00B23681">
        <w:rPr>
          <w:rFonts w:eastAsia="Times New Roman"/>
          <w:i/>
          <w:iCs/>
          <w:sz w:val="24"/>
          <w:szCs w:val="24"/>
        </w:rPr>
        <w:t>Q</w:t>
      </w:r>
      <w:r w:rsidRPr="00B23681">
        <w:rPr>
          <w:rFonts w:eastAsia="Times New Roman"/>
          <w:sz w:val="24"/>
          <w:szCs w:val="24"/>
          <w:vertAlign w:val="subscript"/>
        </w:rPr>
        <w:t>e</w:t>
      </w:r>
      <w:proofErr w:type="spellEnd"/>
      <w:r w:rsidRPr="00B23681">
        <w:rPr>
          <w:rFonts w:eastAsia="Times New Roman"/>
          <w:sz w:val="24"/>
          <w:szCs w:val="24"/>
        </w:rPr>
        <w:t xml:space="preserve"> (mg g</w:t>
      </w:r>
      <w:r w:rsidRPr="00B23681">
        <w:rPr>
          <w:rFonts w:eastAsia="Times New Roman"/>
          <w:sz w:val="24"/>
          <w:szCs w:val="24"/>
          <w:vertAlign w:val="superscript"/>
        </w:rPr>
        <w:t>-1</w:t>
      </w:r>
      <w:r w:rsidRPr="00B23681">
        <w:rPr>
          <w:rFonts w:eastAsia="Times New Roman"/>
          <w:sz w:val="24"/>
          <w:szCs w:val="24"/>
        </w:rPr>
        <w:t xml:space="preserve">) are the adsorption </w:t>
      </w:r>
      <w:proofErr w:type="gramStart"/>
      <w:r w:rsidRPr="00B23681">
        <w:rPr>
          <w:rFonts w:eastAsia="Times New Roman"/>
          <w:sz w:val="24"/>
          <w:szCs w:val="24"/>
        </w:rPr>
        <w:t>amount</w:t>
      </w:r>
      <w:proofErr w:type="gramEnd"/>
      <w:r w:rsidRPr="00B23681">
        <w:rPr>
          <w:rFonts w:eastAsia="Times New Roman"/>
          <w:sz w:val="24"/>
          <w:szCs w:val="24"/>
        </w:rPr>
        <w:t xml:space="preserve"> of aerogel</w:t>
      </w:r>
      <w:r w:rsidRPr="00B23681">
        <w:rPr>
          <w:rFonts w:eastAsiaTheme="minorEastAsia"/>
          <w:sz w:val="24"/>
          <w:szCs w:val="24"/>
        </w:rPr>
        <w:t>s</w:t>
      </w:r>
      <w:r w:rsidRPr="00B23681">
        <w:rPr>
          <w:rFonts w:eastAsia="Times New Roman"/>
          <w:sz w:val="24"/>
          <w:szCs w:val="24"/>
        </w:rPr>
        <w:t xml:space="preserve"> at time </w:t>
      </w:r>
      <w:r w:rsidRPr="00B23681">
        <w:rPr>
          <w:rFonts w:eastAsia="Times New Roman"/>
          <w:i/>
          <w:iCs/>
          <w:sz w:val="24"/>
          <w:szCs w:val="24"/>
        </w:rPr>
        <w:t>t</w:t>
      </w:r>
      <w:r w:rsidRPr="00B23681">
        <w:rPr>
          <w:rFonts w:eastAsia="Times New Roman"/>
          <w:sz w:val="24"/>
          <w:szCs w:val="24"/>
        </w:rPr>
        <w:t xml:space="preserve"> and equilibrium, respectively. </w:t>
      </w:r>
      <w:r w:rsidRPr="00B23681">
        <w:rPr>
          <w:rFonts w:eastAsia="Times New Roman"/>
          <w:i/>
          <w:iCs/>
          <w:sz w:val="24"/>
          <w:szCs w:val="24"/>
        </w:rPr>
        <w:t>k</w:t>
      </w:r>
      <w:r w:rsidRPr="00B23681">
        <w:rPr>
          <w:rFonts w:eastAsia="Times New Roman"/>
          <w:sz w:val="24"/>
          <w:szCs w:val="24"/>
          <w:vertAlign w:val="subscript"/>
        </w:rPr>
        <w:t>1</w:t>
      </w:r>
      <w:r w:rsidRPr="00B23681">
        <w:rPr>
          <w:rFonts w:eastAsia="Times New Roman"/>
          <w:sz w:val="24"/>
          <w:szCs w:val="24"/>
        </w:rPr>
        <w:t xml:space="preserve"> (min</w:t>
      </w:r>
      <w:r w:rsidRPr="00B23681">
        <w:rPr>
          <w:rFonts w:eastAsia="Times New Roman"/>
          <w:sz w:val="24"/>
          <w:szCs w:val="24"/>
          <w:vertAlign w:val="superscript"/>
        </w:rPr>
        <w:t>-1</w:t>
      </w:r>
      <w:r w:rsidRPr="00B23681">
        <w:rPr>
          <w:rFonts w:eastAsia="Times New Roman"/>
          <w:sz w:val="24"/>
          <w:szCs w:val="24"/>
        </w:rPr>
        <w:t>)</w:t>
      </w:r>
      <w:r>
        <w:rPr>
          <w:rFonts w:eastAsia="Times New Roman"/>
          <w:sz w:val="24"/>
          <w:szCs w:val="24"/>
        </w:rPr>
        <w:t xml:space="preserve">, </w:t>
      </w:r>
      <w:r w:rsidRPr="00B23681">
        <w:rPr>
          <w:rFonts w:eastAsia="Times New Roman"/>
          <w:i/>
          <w:iCs/>
          <w:sz w:val="24"/>
          <w:szCs w:val="24"/>
        </w:rPr>
        <w:t>k</w:t>
      </w:r>
      <w:r w:rsidRPr="00B23681">
        <w:rPr>
          <w:rFonts w:eastAsia="Times New Roman"/>
          <w:sz w:val="24"/>
          <w:szCs w:val="24"/>
          <w:vertAlign w:val="subscript"/>
        </w:rPr>
        <w:t>2</w:t>
      </w:r>
      <w:r w:rsidRPr="00B23681">
        <w:rPr>
          <w:rFonts w:eastAsia="Times New Roman"/>
          <w:sz w:val="24"/>
          <w:szCs w:val="24"/>
        </w:rPr>
        <w:t xml:space="preserve"> (g mg</w:t>
      </w:r>
      <w:r w:rsidRPr="00B23681">
        <w:rPr>
          <w:rFonts w:eastAsia="Times New Roman"/>
          <w:sz w:val="24"/>
          <w:szCs w:val="24"/>
          <w:vertAlign w:val="superscript"/>
        </w:rPr>
        <w:t>-1</w:t>
      </w:r>
      <w:r w:rsidRPr="00B23681">
        <w:rPr>
          <w:rFonts w:eastAsia="Times New Roman"/>
          <w:sz w:val="24"/>
          <w:szCs w:val="24"/>
        </w:rPr>
        <w:t xml:space="preserve"> min</w:t>
      </w:r>
      <w:r w:rsidRPr="00B23681">
        <w:rPr>
          <w:rFonts w:eastAsia="Times New Roman"/>
          <w:sz w:val="24"/>
          <w:szCs w:val="24"/>
          <w:vertAlign w:val="superscript"/>
        </w:rPr>
        <w:t>-1</w:t>
      </w:r>
      <w:r w:rsidRPr="00B23681">
        <w:rPr>
          <w:rFonts w:eastAsia="Times New Roman"/>
          <w:sz w:val="24"/>
          <w:szCs w:val="24"/>
        </w:rPr>
        <w:t>) represent the rate constants of PFOKM</w:t>
      </w:r>
      <w:r>
        <w:rPr>
          <w:rFonts w:eastAsia="Times New Roman"/>
          <w:sz w:val="24"/>
          <w:szCs w:val="24"/>
        </w:rPr>
        <w:t xml:space="preserve">, </w:t>
      </w:r>
      <w:r w:rsidRPr="00B23681">
        <w:rPr>
          <w:rFonts w:eastAsia="Times New Roman"/>
          <w:sz w:val="24"/>
          <w:szCs w:val="24"/>
        </w:rPr>
        <w:t>PSOKM, respectively.</w:t>
      </w:r>
      <w:r w:rsidRPr="00B70C0E">
        <w:rPr>
          <w:rFonts w:eastAsia="Times New Roman"/>
          <w:color w:val="000000" w:themeColor="text1"/>
          <w:sz w:val="24"/>
          <w:szCs w:val="24"/>
        </w:rPr>
        <w:t xml:space="preserve"> </w:t>
      </w:r>
    </w:p>
    <w:p w14:paraId="3C4577B5" w14:textId="66D498A8" w:rsidR="00575A5B" w:rsidRDefault="00575A5B" w:rsidP="00575A5B">
      <w:pPr>
        <w:adjustRightInd w:val="0"/>
        <w:snapToGrid w:val="0"/>
        <w:spacing w:line="480" w:lineRule="auto"/>
        <w:ind w:firstLine="482"/>
        <w:rPr>
          <w:rFonts w:eastAsia="等线"/>
          <w:sz w:val="24"/>
          <w:szCs w:val="24"/>
        </w:rPr>
      </w:pPr>
      <w:r w:rsidRPr="00B23681">
        <w:rPr>
          <w:b/>
          <w:bCs/>
          <w:sz w:val="24"/>
          <w:szCs w:val="24"/>
        </w:rPr>
        <w:t xml:space="preserve">Adsorption isotherms: </w:t>
      </w:r>
      <w:r w:rsidRPr="00B23681">
        <w:rPr>
          <w:sz w:val="24"/>
          <w:szCs w:val="24"/>
        </w:rPr>
        <w:t xml:space="preserve">At room temperature, </w:t>
      </w:r>
      <w:r w:rsidRPr="00B23681">
        <w:rPr>
          <w:bCs/>
          <w:snapToGrid w:val="0"/>
          <w:sz w:val="24"/>
          <w:szCs w:val="24"/>
        </w:rPr>
        <w:t xml:space="preserve">10 mg of adsorbents were immersed in the </w:t>
      </w:r>
      <w:r w:rsidR="004324A3">
        <w:rPr>
          <w:bCs/>
          <w:snapToGrid w:val="0"/>
          <w:sz w:val="24"/>
          <w:szCs w:val="24"/>
        </w:rPr>
        <w:t>G</w:t>
      </w:r>
      <w:r w:rsidR="004324A3">
        <w:rPr>
          <w:rFonts w:hint="eastAsia"/>
          <w:bCs/>
          <w:snapToGrid w:val="0"/>
          <w:sz w:val="24"/>
          <w:szCs w:val="24"/>
        </w:rPr>
        <w:t>d</w:t>
      </w:r>
      <w:r w:rsidR="00853E34">
        <w:rPr>
          <w:kern w:val="0"/>
          <w:sz w:val="24"/>
          <w:szCs w:val="24"/>
          <w:vertAlign w:val="superscript"/>
        </w:rPr>
        <w:t>3+</w:t>
      </w:r>
      <w:r w:rsidRPr="00B23681">
        <w:rPr>
          <w:bCs/>
          <w:snapToGrid w:val="0"/>
          <w:sz w:val="24"/>
          <w:szCs w:val="24"/>
        </w:rPr>
        <w:t xml:space="preserve"> stock solutions (10 mL, pH=4.0) with different initial concentrations (0, 25, 50, 100, 150 and 200 mg L</w:t>
      </w:r>
      <w:r w:rsidRPr="00B23681">
        <w:rPr>
          <w:bCs/>
          <w:snapToGrid w:val="0"/>
          <w:sz w:val="24"/>
          <w:szCs w:val="24"/>
          <w:vertAlign w:val="superscript"/>
        </w:rPr>
        <w:t>-1</w:t>
      </w:r>
      <w:r w:rsidRPr="00B23681">
        <w:rPr>
          <w:bCs/>
          <w:snapToGrid w:val="0"/>
          <w:sz w:val="24"/>
          <w:szCs w:val="24"/>
        </w:rPr>
        <w:t xml:space="preserve">). </w:t>
      </w:r>
      <w:r w:rsidRPr="00B23681">
        <w:rPr>
          <w:sz w:val="24"/>
          <w:szCs w:val="24"/>
        </w:rPr>
        <w:t xml:space="preserve">The residual concentrations of </w:t>
      </w:r>
      <w:r w:rsidR="004324A3">
        <w:rPr>
          <w:sz w:val="24"/>
          <w:szCs w:val="24"/>
        </w:rPr>
        <w:t>G</w:t>
      </w:r>
      <w:r w:rsidR="004324A3">
        <w:rPr>
          <w:rFonts w:hint="eastAsia"/>
          <w:sz w:val="24"/>
          <w:szCs w:val="24"/>
        </w:rPr>
        <w:t>d</w:t>
      </w:r>
      <w:r w:rsidR="00853E34">
        <w:rPr>
          <w:kern w:val="0"/>
          <w:sz w:val="24"/>
          <w:szCs w:val="24"/>
          <w:vertAlign w:val="superscript"/>
        </w:rPr>
        <w:t>3+</w:t>
      </w:r>
      <w:r w:rsidRPr="00B23681">
        <w:rPr>
          <w:sz w:val="24"/>
          <w:szCs w:val="24"/>
        </w:rPr>
        <w:t xml:space="preserve"> in the solution were determined after 24 hours. </w:t>
      </w:r>
      <w:r w:rsidRPr="00B23681">
        <w:rPr>
          <w:rFonts w:eastAsia="等线"/>
          <w:sz w:val="24"/>
          <w:szCs w:val="24"/>
        </w:rPr>
        <w:t xml:space="preserve">Langmuir </w:t>
      </w:r>
      <w:bookmarkStart w:id="3" w:name="OLE_LINK11"/>
      <w:bookmarkStart w:id="4" w:name="OLE_LINK14"/>
      <w:r w:rsidRPr="00B23681">
        <w:rPr>
          <w:rFonts w:eastAsia="等线"/>
          <w:sz w:val="24"/>
          <w:szCs w:val="24"/>
        </w:rPr>
        <w:t>(</w:t>
      </w:r>
      <w:r w:rsidRPr="00B23681">
        <w:rPr>
          <w:rFonts w:eastAsia="Times New Roman"/>
          <w:sz w:val="24"/>
          <w:szCs w:val="24"/>
        </w:rPr>
        <w:t xml:space="preserve">Eq. </w:t>
      </w:r>
      <w:bookmarkStart w:id="5" w:name="OLE_LINK259"/>
      <w:bookmarkStart w:id="6" w:name="OLE_LINK260"/>
      <w:bookmarkStart w:id="7" w:name="OLE_LINK261"/>
      <w:bookmarkStart w:id="8" w:name="OLE_LINK262"/>
      <w:r w:rsidRPr="00B23681">
        <w:rPr>
          <w:rFonts w:eastAsia="Times New Roman"/>
          <w:sz w:val="24"/>
          <w:szCs w:val="24"/>
        </w:rPr>
        <w:t>(</w:t>
      </w:r>
      <w:r w:rsidR="007A4DA6">
        <w:rPr>
          <w:rFonts w:eastAsia="Times New Roman"/>
          <w:sz w:val="24"/>
          <w:szCs w:val="24"/>
        </w:rPr>
        <w:t>4</w:t>
      </w:r>
      <w:r w:rsidRPr="00B23681">
        <w:rPr>
          <w:rFonts w:eastAsia="Times New Roman"/>
          <w:sz w:val="24"/>
          <w:szCs w:val="24"/>
        </w:rPr>
        <w:t>)</w:t>
      </w:r>
      <w:bookmarkEnd w:id="5"/>
      <w:bookmarkEnd w:id="6"/>
      <w:bookmarkEnd w:id="7"/>
      <w:bookmarkEnd w:id="8"/>
      <w:r w:rsidRPr="00B23681">
        <w:rPr>
          <w:rFonts w:eastAsia="等线"/>
          <w:sz w:val="24"/>
          <w:szCs w:val="24"/>
        </w:rPr>
        <w:t xml:space="preserve">) </w:t>
      </w:r>
      <w:bookmarkEnd w:id="3"/>
      <w:bookmarkEnd w:id="4"/>
      <w:r w:rsidRPr="00B23681">
        <w:rPr>
          <w:rFonts w:eastAsia="等线"/>
          <w:sz w:val="24"/>
          <w:szCs w:val="24"/>
        </w:rPr>
        <w:t>and Freundlich (</w:t>
      </w:r>
      <w:bookmarkStart w:id="9" w:name="OLE_LINK17"/>
      <w:bookmarkStart w:id="10" w:name="OLE_LINK18"/>
      <w:r w:rsidRPr="00B23681">
        <w:rPr>
          <w:rFonts w:eastAsia="Times New Roman"/>
          <w:sz w:val="24"/>
          <w:szCs w:val="24"/>
        </w:rPr>
        <w:t>Eq. (</w:t>
      </w:r>
      <w:r w:rsidR="007A4DA6">
        <w:rPr>
          <w:rFonts w:eastAsia="Times New Roman"/>
          <w:sz w:val="24"/>
          <w:szCs w:val="24"/>
        </w:rPr>
        <w:t>5</w:t>
      </w:r>
      <w:r w:rsidRPr="00B23681">
        <w:rPr>
          <w:rFonts w:eastAsia="Times New Roman"/>
          <w:sz w:val="24"/>
          <w:szCs w:val="24"/>
        </w:rPr>
        <w:t>)</w:t>
      </w:r>
      <w:bookmarkEnd w:id="9"/>
      <w:bookmarkEnd w:id="10"/>
      <w:r w:rsidRPr="00B23681">
        <w:rPr>
          <w:rFonts w:eastAsia="等线"/>
          <w:sz w:val="24"/>
          <w:szCs w:val="24"/>
        </w:rPr>
        <w:t>) models were used to fit the experimental equilibrium data</w:t>
      </w:r>
      <w:r w:rsidR="007F6BB3">
        <w:rPr>
          <w:rFonts w:eastAsia="等线"/>
          <w:sz w:val="24"/>
          <w:szCs w:val="24"/>
        </w:rPr>
        <w:t>:</w:t>
      </w:r>
    </w:p>
    <w:p w14:paraId="37004E4D" w14:textId="6EC245B4" w:rsidR="007A4DA6" w:rsidRDefault="007A4DA6" w:rsidP="007A4DA6">
      <w:pPr>
        <w:adjustRightInd w:val="0"/>
        <w:snapToGrid w:val="0"/>
        <w:spacing w:line="480" w:lineRule="auto"/>
        <w:ind w:firstLine="560"/>
        <w:jc w:val="center"/>
        <w:rPr>
          <w:rFonts w:eastAsia="等线"/>
          <w:sz w:val="24"/>
          <w:szCs w:val="24"/>
        </w:rPr>
      </w:pPr>
      <w:r>
        <w:rPr>
          <w:rFonts w:eastAsia="等线" w:hint="eastAsia"/>
          <w:sz w:val="28"/>
          <w:szCs w:val="28"/>
        </w:rPr>
        <w:t xml:space="preserve"> </w:t>
      </w:r>
      <w:r>
        <w:rPr>
          <w:rFonts w:eastAsia="等线"/>
          <w:sz w:val="28"/>
          <w:szCs w:val="28"/>
        </w:rPr>
        <w:t xml:space="preserve">           </w:t>
      </w:r>
      <w:r w:rsidRPr="00E74EDE">
        <w:rPr>
          <w:rFonts w:eastAsia="等线"/>
          <w:sz w:val="28"/>
          <w:szCs w:val="28"/>
        </w:rPr>
        <w:t xml:space="preserve">        </w:t>
      </w:r>
      <m:oMath>
        <m:sSub>
          <m:sSubPr>
            <m:ctrlPr>
              <w:rPr>
                <w:rFonts w:ascii="Cambria Math" w:eastAsia="等线" w:hAnsi="Cambria Math"/>
                <w:i/>
                <w:sz w:val="28"/>
                <w:szCs w:val="28"/>
              </w:rPr>
            </m:ctrlPr>
          </m:sSubPr>
          <m:e>
            <m:r>
              <w:rPr>
                <w:rFonts w:ascii="Cambria Math" w:eastAsia="等线" w:hAnsi="Cambria Math"/>
                <w:sz w:val="28"/>
                <w:szCs w:val="28"/>
              </w:rPr>
              <m:t>Q</m:t>
            </m:r>
          </m:e>
          <m:sub>
            <m:r>
              <w:rPr>
                <w:rFonts w:ascii="Cambria Math" w:eastAsia="等线" w:hAnsi="Cambria Math"/>
                <w:sz w:val="28"/>
                <w:szCs w:val="28"/>
              </w:rPr>
              <m:t>e</m:t>
            </m:r>
          </m:sub>
        </m:sSub>
        <m:r>
          <w:rPr>
            <w:rFonts w:ascii="Cambria Math" w:eastAsia="等线" w:hAnsi="Cambria Math"/>
            <w:sz w:val="28"/>
            <w:szCs w:val="28"/>
          </w:rPr>
          <m:t>=</m:t>
        </m:r>
        <m:f>
          <m:fPr>
            <m:ctrlPr>
              <w:rPr>
                <w:rFonts w:ascii="Cambria Math" w:eastAsia="等线" w:hAnsi="Cambria Math"/>
                <w:i/>
                <w:sz w:val="28"/>
                <w:szCs w:val="28"/>
              </w:rPr>
            </m:ctrlPr>
          </m:fPr>
          <m:num>
            <m:sSub>
              <m:sSubPr>
                <m:ctrlPr>
                  <w:rPr>
                    <w:rFonts w:ascii="Cambria Math" w:eastAsia="等线" w:hAnsi="Cambria Math"/>
                    <w:i/>
                    <w:sz w:val="28"/>
                    <w:szCs w:val="28"/>
                  </w:rPr>
                </m:ctrlPr>
              </m:sSubPr>
              <m:e>
                <m:r>
                  <w:rPr>
                    <w:rFonts w:ascii="Cambria Math" w:eastAsia="等线" w:hAnsi="Cambria Math"/>
                    <w:sz w:val="28"/>
                    <w:szCs w:val="28"/>
                  </w:rPr>
                  <m:t>K</m:t>
                </m:r>
              </m:e>
              <m:sub>
                <m:r>
                  <w:rPr>
                    <w:rFonts w:ascii="Cambria Math" w:eastAsia="等线" w:hAnsi="Cambria Math"/>
                    <w:sz w:val="28"/>
                    <w:szCs w:val="28"/>
                  </w:rPr>
                  <m:t>L</m:t>
                </m:r>
              </m:sub>
            </m:sSub>
            <m:sSub>
              <m:sSubPr>
                <m:ctrlPr>
                  <w:rPr>
                    <w:rFonts w:ascii="Cambria Math" w:eastAsia="等线" w:hAnsi="Cambria Math"/>
                    <w:i/>
                    <w:sz w:val="28"/>
                    <w:szCs w:val="28"/>
                  </w:rPr>
                </m:ctrlPr>
              </m:sSubPr>
              <m:e>
                <m:r>
                  <w:rPr>
                    <w:rFonts w:ascii="Cambria Math" w:eastAsia="等线" w:hAnsi="Cambria Math"/>
                    <w:sz w:val="28"/>
                    <w:szCs w:val="28"/>
                  </w:rPr>
                  <m:t>Q</m:t>
                </m:r>
              </m:e>
              <m:sub>
                <m:r>
                  <w:rPr>
                    <w:rFonts w:ascii="Cambria Math" w:eastAsia="等线" w:hAnsi="Cambria Math"/>
                    <w:sz w:val="28"/>
                    <w:szCs w:val="28"/>
                  </w:rPr>
                  <m:t>m</m:t>
                </m:r>
              </m:sub>
            </m:sSub>
            <m:sSub>
              <m:sSubPr>
                <m:ctrlPr>
                  <w:rPr>
                    <w:rFonts w:ascii="Cambria Math" w:eastAsia="等线" w:hAnsi="Cambria Math"/>
                    <w:i/>
                    <w:sz w:val="28"/>
                    <w:szCs w:val="28"/>
                  </w:rPr>
                </m:ctrlPr>
              </m:sSubPr>
              <m:e>
                <m:r>
                  <w:rPr>
                    <w:rFonts w:ascii="Cambria Math" w:eastAsia="等线" w:hAnsi="Cambria Math"/>
                    <w:sz w:val="28"/>
                    <w:szCs w:val="28"/>
                  </w:rPr>
                  <m:t>C</m:t>
                </m:r>
              </m:e>
              <m:sub>
                <m:r>
                  <w:rPr>
                    <w:rFonts w:ascii="Cambria Math" w:eastAsia="等线" w:hAnsi="Cambria Math"/>
                    <w:sz w:val="28"/>
                    <w:szCs w:val="28"/>
                  </w:rPr>
                  <m:t>e</m:t>
                </m:r>
              </m:sub>
            </m:sSub>
          </m:num>
          <m:den>
            <m:r>
              <w:rPr>
                <w:rFonts w:ascii="Cambria Math" w:eastAsia="等线" w:hAnsi="Cambria Math"/>
                <w:sz w:val="28"/>
                <w:szCs w:val="28"/>
              </w:rPr>
              <m:t>1+</m:t>
            </m:r>
            <m:sSub>
              <m:sSubPr>
                <m:ctrlPr>
                  <w:rPr>
                    <w:rFonts w:ascii="Cambria Math" w:eastAsia="等线" w:hAnsi="Cambria Math"/>
                    <w:i/>
                    <w:sz w:val="28"/>
                    <w:szCs w:val="28"/>
                  </w:rPr>
                </m:ctrlPr>
              </m:sSubPr>
              <m:e>
                <m:r>
                  <w:rPr>
                    <w:rFonts w:ascii="Cambria Math" w:eastAsia="等线" w:hAnsi="Cambria Math"/>
                    <w:sz w:val="28"/>
                    <w:szCs w:val="28"/>
                  </w:rPr>
                  <m:t>K</m:t>
                </m:r>
              </m:e>
              <m:sub>
                <m:r>
                  <w:rPr>
                    <w:rFonts w:ascii="Cambria Math" w:eastAsia="等线" w:hAnsi="Cambria Math"/>
                    <w:sz w:val="28"/>
                    <w:szCs w:val="28"/>
                  </w:rPr>
                  <m:t>L</m:t>
                </m:r>
              </m:sub>
            </m:sSub>
            <m:sSub>
              <m:sSubPr>
                <m:ctrlPr>
                  <w:rPr>
                    <w:rFonts w:ascii="Cambria Math" w:eastAsia="等线" w:hAnsi="Cambria Math"/>
                    <w:i/>
                    <w:sz w:val="28"/>
                    <w:szCs w:val="28"/>
                  </w:rPr>
                </m:ctrlPr>
              </m:sSubPr>
              <m:e>
                <m:r>
                  <w:rPr>
                    <w:rFonts w:ascii="Cambria Math" w:eastAsia="等线" w:hAnsi="Cambria Math"/>
                    <w:sz w:val="28"/>
                    <w:szCs w:val="28"/>
                  </w:rPr>
                  <m:t>C</m:t>
                </m:r>
              </m:e>
              <m:sub>
                <m:r>
                  <w:rPr>
                    <w:rFonts w:ascii="Cambria Math" w:eastAsia="等线" w:hAnsi="Cambria Math"/>
                    <w:sz w:val="28"/>
                    <w:szCs w:val="28"/>
                  </w:rPr>
                  <m:t>e</m:t>
                </m:r>
              </m:sub>
            </m:sSub>
          </m:den>
        </m:f>
      </m:oMath>
      <w:r w:rsidRPr="00E74EDE">
        <w:rPr>
          <w:rFonts w:eastAsia="等线"/>
          <w:sz w:val="28"/>
          <w:szCs w:val="28"/>
        </w:rPr>
        <w:t xml:space="preserve">         </w:t>
      </w:r>
      <w:r>
        <w:rPr>
          <w:rFonts w:eastAsia="等线"/>
          <w:sz w:val="28"/>
          <w:szCs w:val="28"/>
        </w:rPr>
        <w:t xml:space="preserve">          </w:t>
      </w:r>
      <w:r w:rsidRPr="007A4DA6">
        <w:rPr>
          <w:rFonts w:eastAsia="等线" w:hint="eastAsia"/>
          <w:sz w:val="24"/>
          <w:szCs w:val="24"/>
        </w:rPr>
        <w:t>（</w:t>
      </w:r>
      <w:r w:rsidRPr="007A4DA6">
        <w:rPr>
          <w:rFonts w:eastAsia="等线" w:hint="eastAsia"/>
          <w:sz w:val="24"/>
          <w:szCs w:val="24"/>
        </w:rPr>
        <w:t>4</w:t>
      </w:r>
      <w:r w:rsidRPr="007A4DA6">
        <w:rPr>
          <w:rFonts w:eastAsia="等线" w:hint="eastAsia"/>
          <w:sz w:val="24"/>
          <w:szCs w:val="24"/>
        </w:rPr>
        <w:t>）</w:t>
      </w:r>
    </w:p>
    <w:p w14:paraId="2DF90B32" w14:textId="768B7835" w:rsidR="0044148D" w:rsidRDefault="0044148D" w:rsidP="007A4DA6">
      <w:pPr>
        <w:adjustRightInd w:val="0"/>
        <w:snapToGrid w:val="0"/>
        <w:spacing w:line="480" w:lineRule="auto"/>
        <w:ind w:firstLine="480"/>
        <w:jc w:val="center"/>
        <w:rPr>
          <w:rFonts w:eastAsia="等线"/>
          <w:sz w:val="24"/>
          <w:szCs w:val="24"/>
        </w:rPr>
      </w:pPr>
      <w:r>
        <w:rPr>
          <w:rFonts w:eastAsia="等线" w:hint="eastAsia"/>
          <w:sz w:val="24"/>
          <w:szCs w:val="24"/>
        </w:rPr>
        <w:lastRenderedPageBreak/>
        <w:t xml:space="preserve"> </w:t>
      </w:r>
      <w:r>
        <w:rPr>
          <w:rFonts w:eastAsia="等线"/>
          <w:sz w:val="24"/>
          <w:szCs w:val="24"/>
        </w:rPr>
        <w:t xml:space="preserve">                      </w:t>
      </w:r>
      <m:oMath>
        <m:sSub>
          <m:sSubPr>
            <m:ctrlPr>
              <w:rPr>
                <w:rFonts w:ascii="Cambria Math" w:eastAsia="等线" w:hAnsi="Cambria Math"/>
                <w:i/>
                <w:sz w:val="24"/>
                <w:szCs w:val="24"/>
              </w:rPr>
            </m:ctrlPr>
          </m:sSubPr>
          <m:e>
            <m:r>
              <w:rPr>
                <w:rFonts w:ascii="Cambria Math" w:eastAsia="等线" w:hAnsi="Cambria Math"/>
                <w:sz w:val="24"/>
                <w:szCs w:val="24"/>
              </w:rPr>
              <m:t>Q</m:t>
            </m:r>
          </m:e>
          <m:sub>
            <m:r>
              <w:rPr>
                <w:rFonts w:ascii="Cambria Math" w:eastAsia="等线" w:hAnsi="Cambria Math" w:hint="eastAsia"/>
                <w:sz w:val="24"/>
                <w:szCs w:val="24"/>
              </w:rPr>
              <m:t>e</m:t>
            </m:r>
          </m:sub>
        </m:sSub>
        <m:r>
          <w:rPr>
            <w:rFonts w:ascii="Cambria Math" w:eastAsia="等线" w:hAnsi="Cambria Math"/>
            <w:sz w:val="24"/>
            <w:szCs w:val="24"/>
          </w:rPr>
          <m:t>=</m:t>
        </m:r>
        <m:sSub>
          <m:sSubPr>
            <m:ctrlPr>
              <w:rPr>
                <w:rFonts w:ascii="Cambria Math" w:eastAsia="等线" w:hAnsi="Cambria Math"/>
                <w:i/>
                <w:sz w:val="24"/>
                <w:szCs w:val="24"/>
              </w:rPr>
            </m:ctrlPr>
          </m:sSubPr>
          <m:e>
            <m:r>
              <w:rPr>
                <w:rFonts w:ascii="Cambria Math" w:eastAsia="等线" w:hAnsi="Cambria Math"/>
                <w:sz w:val="24"/>
                <w:szCs w:val="24"/>
              </w:rPr>
              <m:t>K</m:t>
            </m:r>
          </m:e>
          <m:sub>
            <m:r>
              <w:rPr>
                <w:rFonts w:ascii="Cambria Math" w:eastAsia="等线" w:hAnsi="Cambria Math"/>
                <w:sz w:val="24"/>
                <w:szCs w:val="24"/>
              </w:rPr>
              <m:t>F</m:t>
            </m:r>
          </m:sub>
        </m:sSub>
        <m:sSubSup>
          <m:sSubSupPr>
            <m:ctrlPr>
              <w:rPr>
                <w:rFonts w:ascii="Cambria Math" w:eastAsia="等线" w:hAnsi="Cambria Math"/>
                <w:i/>
                <w:sz w:val="24"/>
                <w:szCs w:val="24"/>
              </w:rPr>
            </m:ctrlPr>
          </m:sSubSupPr>
          <m:e>
            <m:r>
              <w:rPr>
                <w:rFonts w:ascii="Cambria Math" w:eastAsia="等线" w:hAnsi="Cambria Math"/>
                <w:sz w:val="24"/>
                <w:szCs w:val="24"/>
              </w:rPr>
              <m:t>C</m:t>
            </m:r>
          </m:e>
          <m:sub>
            <m:r>
              <w:rPr>
                <w:rFonts w:ascii="Cambria Math" w:eastAsia="等线" w:hAnsi="Cambria Math"/>
                <w:sz w:val="24"/>
                <w:szCs w:val="24"/>
              </w:rPr>
              <m:t>e</m:t>
            </m:r>
          </m:sub>
          <m:sup>
            <m:f>
              <m:fPr>
                <m:type m:val="lin"/>
                <m:ctrlPr>
                  <w:rPr>
                    <w:rFonts w:ascii="Cambria Math" w:eastAsia="等线" w:hAnsi="Cambria Math"/>
                    <w:i/>
                    <w:sz w:val="24"/>
                    <w:szCs w:val="24"/>
                  </w:rPr>
                </m:ctrlPr>
              </m:fPr>
              <m:num>
                <m:r>
                  <w:rPr>
                    <w:rFonts w:ascii="Cambria Math" w:eastAsia="等线" w:hAnsi="Cambria Math"/>
                    <w:sz w:val="24"/>
                    <w:szCs w:val="24"/>
                  </w:rPr>
                  <m:t>1</m:t>
                </m:r>
              </m:num>
              <m:den>
                <m:r>
                  <w:rPr>
                    <w:rFonts w:ascii="Cambria Math" w:eastAsia="等线" w:hAnsi="Cambria Math"/>
                    <w:sz w:val="24"/>
                    <w:szCs w:val="24"/>
                  </w:rPr>
                  <m:t>n</m:t>
                </m:r>
              </m:den>
            </m:f>
          </m:sup>
        </m:sSubSup>
      </m:oMath>
      <w:r>
        <w:rPr>
          <w:rFonts w:eastAsia="等线" w:hint="eastAsia"/>
          <w:sz w:val="24"/>
          <w:szCs w:val="24"/>
        </w:rPr>
        <w:t xml:space="preserve"> </w:t>
      </w:r>
      <w:r>
        <w:rPr>
          <w:rFonts w:eastAsia="等线"/>
          <w:sz w:val="24"/>
          <w:szCs w:val="24"/>
        </w:rPr>
        <w:t xml:space="preserve">                        (5)</w:t>
      </w:r>
    </w:p>
    <w:p w14:paraId="02BE37A6" w14:textId="41CA7B91" w:rsidR="0044148D" w:rsidRPr="00B23681" w:rsidRDefault="0044148D" w:rsidP="0044148D">
      <w:pPr>
        <w:spacing w:line="480" w:lineRule="auto"/>
        <w:ind w:firstLine="480"/>
        <w:rPr>
          <w:rFonts w:eastAsia="等线"/>
          <w:sz w:val="24"/>
          <w:szCs w:val="24"/>
        </w:rPr>
      </w:pPr>
      <w:r w:rsidRPr="00B23681">
        <w:rPr>
          <w:rFonts w:eastAsia="等线"/>
          <w:i/>
          <w:iCs/>
          <w:sz w:val="24"/>
          <w:szCs w:val="24"/>
        </w:rPr>
        <w:t>C</w:t>
      </w:r>
      <w:r w:rsidRPr="00B23681">
        <w:rPr>
          <w:rFonts w:eastAsia="等线"/>
          <w:sz w:val="24"/>
          <w:szCs w:val="24"/>
          <w:vertAlign w:val="subscript"/>
        </w:rPr>
        <w:t>e</w:t>
      </w:r>
      <w:r w:rsidRPr="00B23681">
        <w:rPr>
          <w:rFonts w:eastAsia="等线"/>
          <w:sz w:val="24"/>
          <w:szCs w:val="24"/>
        </w:rPr>
        <w:t xml:space="preserve"> (mg L</w:t>
      </w:r>
      <w:r w:rsidRPr="00B23681">
        <w:rPr>
          <w:rFonts w:eastAsia="等线"/>
          <w:sz w:val="24"/>
          <w:szCs w:val="24"/>
          <w:vertAlign w:val="superscript"/>
        </w:rPr>
        <w:t>-1</w:t>
      </w:r>
      <w:r w:rsidRPr="00B23681">
        <w:rPr>
          <w:rFonts w:eastAsia="等线"/>
          <w:sz w:val="24"/>
          <w:szCs w:val="24"/>
        </w:rPr>
        <w:t xml:space="preserve">) is the concentration of </w:t>
      </w:r>
      <w:r w:rsidR="004324A3">
        <w:rPr>
          <w:rFonts w:eastAsia="等线"/>
          <w:sz w:val="24"/>
          <w:szCs w:val="24"/>
        </w:rPr>
        <w:t>G</w:t>
      </w:r>
      <w:r w:rsidR="004324A3">
        <w:rPr>
          <w:rFonts w:eastAsia="等线" w:hint="eastAsia"/>
          <w:sz w:val="24"/>
          <w:szCs w:val="24"/>
        </w:rPr>
        <w:t>d</w:t>
      </w:r>
      <w:r w:rsidR="0017127B">
        <w:rPr>
          <w:kern w:val="0"/>
          <w:sz w:val="24"/>
          <w:szCs w:val="24"/>
          <w:vertAlign w:val="superscript"/>
        </w:rPr>
        <w:t>3+</w:t>
      </w:r>
      <w:r w:rsidRPr="00B23681">
        <w:rPr>
          <w:rFonts w:eastAsia="等线"/>
          <w:sz w:val="24"/>
          <w:szCs w:val="24"/>
        </w:rPr>
        <w:t xml:space="preserve"> in solution at equilibrium, </w:t>
      </w:r>
      <w:proofErr w:type="spellStart"/>
      <w:r w:rsidRPr="00B23681">
        <w:rPr>
          <w:rFonts w:eastAsia="等线"/>
          <w:i/>
          <w:iCs/>
          <w:sz w:val="24"/>
          <w:szCs w:val="24"/>
        </w:rPr>
        <w:t>Q</w:t>
      </w:r>
      <w:r w:rsidRPr="00B23681">
        <w:rPr>
          <w:rFonts w:eastAsia="等线"/>
          <w:sz w:val="24"/>
          <w:szCs w:val="24"/>
          <w:vertAlign w:val="subscript"/>
        </w:rPr>
        <w:t>m</w:t>
      </w:r>
      <w:proofErr w:type="spellEnd"/>
      <w:r w:rsidRPr="00B23681">
        <w:rPr>
          <w:rFonts w:eastAsia="等线"/>
          <w:sz w:val="24"/>
          <w:szCs w:val="24"/>
        </w:rPr>
        <w:t xml:space="preserve"> (mg g</w:t>
      </w:r>
      <w:r w:rsidRPr="00B23681">
        <w:rPr>
          <w:rFonts w:eastAsia="等线"/>
          <w:sz w:val="24"/>
          <w:szCs w:val="24"/>
          <w:vertAlign w:val="superscript"/>
        </w:rPr>
        <w:t>-1</w:t>
      </w:r>
      <w:r w:rsidRPr="00B23681">
        <w:rPr>
          <w:rFonts w:eastAsia="等线"/>
          <w:sz w:val="24"/>
          <w:szCs w:val="24"/>
        </w:rPr>
        <w:t xml:space="preserve">) is the maximum adsorption capacity of aerogels for </w:t>
      </w:r>
      <w:r w:rsidR="004324A3">
        <w:rPr>
          <w:rFonts w:eastAsia="等线"/>
          <w:sz w:val="24"/>
          <w:szCs w:val="24"/>
        </w:rPr>
        <w:t>G</w:t>
      </w:r>
      <w:r w:rsidR="004324A3">
        <w:rPr>
          <w:rFonts w:eastAsia="等线" w:hint="eastAsia"/>
          <w:sz w:val="24"/>
          <w:szCs w:val="24"/>
        </w:rPr>
        <w:t>d</w:t>
      </w:r>
      <w:r w:rsidR="00853E34">
        <w:rPr>
          <w:kern w:val="0"/>
          <w:sz w:val="24"/>
          <w:szCs w:val="24"/>
          <w:vertAlign w:val="superscript"/>
        </w:rPr>
        <w:t>3+</w:t>
      </w:r>
      <w:r w:rsidRPr="00B23681">
        <w:rPr>
          <w:rFonts w:eastAsia="等线"/>
          <w:sz w:val="24"/>
          <w:szCs w:val="24"/>
        </w:rPr>
        <w:t>.</w:t>
      </w:r>
      <w:bookmarkStart w:id="11" w:name="OLE_LINK366"/>
      <w:r w:rsidRPr="00B23681">
        <w:rPr>
          <w:rFonts w:eastAsia="等线"/>
          <w:sz w:val="24"/>
          <w:szCs w:val="24"/>
        </w:rPr>
        <w:t xml:space="preserve"> </w:t>
      </w:r>
      <w:r w:rsidRPr="00B23681">
        <w:rPr>
          <w:rFonts w:eastAsia="等线"/>
          <w:i/>
          <w:sz w:val="24"/>
          <w:szCs w:val="24"/>
        </w:rPr>
        <w:t>K</w:t>
      </w:r>
      <w:r w:rsidRPr="00B23681">
        <w:rPr>
          <w:rFonts w:eastAsia="等线"/>
          <w:iCs/>
          <w:sz w:val="24"/>
          <w:szCs w:val="24"/>
          <w:vertAlign w:val="subscript"/>
        </w:rPr>
        <w:t>L</w:t>
      </w:r>
      <w:r w:rsidRPr="00B23681">
        <w:rPr>
          <w:rFonts w:eastAsia="等线"/>
          <w:sz w:val="24"/>
          <w:szCs w:val="24"/>
        </w:rPr>
        <w:t xml:space="preserve"> </w:t>
      </w:r>
      <w:r w:rsidRPr="00B23681">
        <w:rPr>
          <w:rFonts w:eastAsia="Times New Roman"/>
          <w:sz w:val="24"/>
          <w:szCs w:val="24"/>
        </w:rPr>
        <w:t xml:space="preserve">(L </w:t>
      </w:r>
      <w:proofErr w:type="gramStart"/>
      <w:r w:rsidRPr="00B23681">
        <w:rPr>
          <w:rFonts w:eastAsia="Times New Roman"/>
          <w:sz w:val="24"/>
          <w:szCs w:val="24"/>
        </w:rPr>
        <w:t>mg</w:t>
      </w:r>
      <w:r w:rsidRPr="00B23681">
        <w:rPr>
          <w:rFonts w:eastAsia="Times New Roman"/>
          <w:sz w:val="24"/>
          <w:szCs w:val="24"/>
          <w:vertAlign w:val="superscript"/>
        </w:rPr>
        <w:t>-1</w:t>
      </w:r>
      <w:proofErr w:type="gramEnd"/>
      <w:r w:rsidRPr="00B23681">
        <w:rPr>
          <w:rFonts w:eastAsia="Times New Roman"/>
          <w:sz w:val="24"/>
          <w:szCs w:val="24"/>
        </w:rPr>
        <w:t xml:space="preserve">) </w:t>
      </w:r>
      <w:r w:rsidRPr="00B23681">
        <w:rPr>
          <w:rFonts w:eastAsia="等线"/>
          <w:sz w:val="24"/>
          <w:szCs w:val="24"/>
        </w:rPr>
        <w:t>is the Langmuir parameter denoted the energy of adsorption and affinity of binding sites.</w:t>
      </w:r>
      <w:bookmarkEnd w:id="11"/>
      <w:r w:rsidRPr="00B23681">
        <w:rPr>
          <w:rFonts w:eastAsia="等线"/>
          <w:sz w:val="24"/>
          <w:szCs w:val="24"/>
        </w:rPr>
        <w:t xml:space="preserve"> </w:t>
      </w:r>
      <w:r w:rsidRPr="00B23681">
        <w:rPr>
          <w:rFonts w:eastAsia="等线"/>
          <w:i/>
          <w:sz w:val="24"/>
          <w:szCs w:val="24"/>
        </w:rPr>
        <w:t>K</w:t>
      </w:r>
      <w:r w:rsidRPr="00B23681">
        <w:rPr>
          <w:rFonts w:eastAsia="等线"/>
          <w:iCs/>
          <w:sz w:val="24"/>
          <w:szCs w:val="24"/>
          <w:vertAlign w:val="subscript"/>
        </w:rPr>
        <w:t>F</w:t>
      </w:r>
      <w:r w:rsidRPr="00B23681">
        <w:rPr>
          <w:rFonts w:eastAsia="等线"/>
          <w:sz w:val="24"/>
          <w:szCs w:val="24"/>
          <w:vertAlign w:val="subscript"/>
        </w:rPr>
        <w:t xml:space="preserve"> </w:t>
      </w:r>
      <w:r w:rsidRPr="00B23681">
        <w:rPr>
          <w:rFonts w:eastAsia="等线"/>
          <w:sz w:val="24"/>
          <w:szCs w:val="24"/>
        </w:rPr>
        <w:t>(mg g</w:t>
      </w:r>
      <w:r w:rsidRPr="00B23681">
        <w:rPr>
          <w:rFonts w:eastAsia="等线"/>
          <w:sz w:val="24"/>
          <w:szCs w:val="24"/>
          <w:vertAlign w:val="superscript"/>
        </w:rPr>
        <w:t>-1</w:t>
      </w:r>
      <w:r w:rsidRPr="00B23681">
        <w:rPr>
          <w:rFonts w:eastAsia="等线"/>
          <w:sz w:val="24"/>
          <w:szCs w:val="24"/>
        </w:rPr>
        <w:t xml:space="preserve">) is the Freundlich sorbent adsorption strength, while </w:t>
      </w:r>
      <w:bookmarkStart w:id="12" w:name="OLE_LINK771"/>
      <w:bookmarkStart w:id="13" w:name="OLE_LINK772"/>
      <w:r w:rsidRPr="00B23681">
        <w:rPr>
          <w:rFonts w:eastAsia="等线"/>
          <w:sz w:val="24"/>
          <w:szCs w:val="24"/>
        </w:rPr>
        <w:t>1/</w:t>
      </w:r>
      <w:r w:rsidRPr="00B23681">
        <w:rPr>
          <w:rFonts w:eastAsia="等线"/>
          <w:i/>
          <w:sz w:val="24"/>
          <w:szCs w:val="24"/>
        </w:rPr>
        <w:t>n</w:t>
      </w:r>
      <w:r w:rsidRPr="00B23681">
        <w:rPr>
          <w:rFonts w:eastAsia="等线"/>
          <w:sz w:val="24"/>
          <w:szCs w:val="24"/>
        </w:rPr>
        <w:t xml:space="preserve"> is the heterogeneity factors</w:t>
      </w:r>
      <w:bookmarkEnd w:id="12"/>
      <w:bookmarkEnd w:id="13"/>
      <w:r w:rsidRPr="00B23681">
        <w:rPr>
          <w:rFonts w:eastAsia="等线"/>
          <w:sz w:val="24"/>
          <w:szCs w:val="24"/>
        </w:rPr>
        <w:t>.</w:t>
      </w:r>
    </w:p>
    <w:p w14:paraId="5F8F7DFE" w14:textId="1783CE16" w:rsidR="0044148D" w:rsidRDefault="00E74EDE" w:rsidP="0044148D">
      <w:pPr>
        <w:adjustRightInd w:val="0"/>
        <w:snapToGrid w:val="0"/>
        <w:spacing w:line="480" w:lineRule="auto"/>
        <w:ind w:firstLine="482"/>
        <w:rPr>
          <w:rFonts w:eastAsia="等线"/>
          <w:kern w:val="0"/>
          <w:sz w:val="24"/>
          <w:szCs w:val="24"/>
        </w:rPr>
      </w:pPr>
      <w:r w:rsidRPr="00B23681">
        <w:rPr>
          <w:b/>
          <w:bCs/>
          <w:sz w:val="24"/>
          <w:szCs w:val="24"/>
        </w:rPr>
        <w:t xml:space="preserve">Adsorption thermodynamics: </w:t>
      </w:r>
      <w:r w:rsidRPr="00B23681">
        <w:rPr>
          <w:sz w:val="24"/>
          <w:szCs w:val="24"/>
        </w:rPr>
        <w:t xml:space="preserve">10 mg of </w:t>
      </w:r>
      <w:r w:rsidRPr="00B23681">
        <w:rPr>
          <w:bCs/>
          <w:snapToGrid w:val="0"/>
          <w:sz w:val="24"/>
          <w:szCs w:val="24"/>
        </w:rPr>
        <w:t>adsorbents</w:t>
      </w:r>
      <w:r w:rsidRPr="00B23681">
        <w:rPr>
          <w:sz w:val="24"/>
          <w:szCs w:val="24"/>
        </w:rPr>
        <w:t xml:space="preserve"> were immersed in </w:t>
      </w:r>
      <w:bookmarkStart w:id="14" w:name="OLE_LINK1"/>
      <w:r w:rsidR="004324A3">
        <w:rPr>
          <w:sz w:val="24"/>
          <w:szCs w:val="24"/>
        </w:rPr>
        <w:t>G</w:t>
      </w:r>
      <w:r w:rsidR="004324A3">
        <w:rPr>
          <w:rFonts w:hint="eastAsia"/>
          <w:sz w:val="24"/>
          <w:szCs w:val="24"/>
        </w:rPr>
        <w:t>d</w:t>
      </w:r>
      <w:r w:rsidR="00853E34" w:rsidRPr="00853E34">
        <w:rPr>
          <w:sz w:val="24"/>
          <w:szCs w:val="24"/>
          <w:vertAlign w:val="superscript"/>
        </w:rPr>
        <w:t>3+</w:t>
      </w:r>
      <w:bookmarkEnd w:id="14"/>
      <w:r w:rsidRPr="00B23681">
        <w:rPr>
          <w:sz w:val="24"/>
          <w:szCs w:val="24"/>
        </w:rPr>
        <w:t xml:space="preserve"> stock solution (10 mL, pH=4.0) with different initial concentrations (25, 50</w:t>
      </w:r>
      <w:r w:rsidR="00853E34">
        <w:rPr>
          <w:sz w:val="24"/>
          <w:szCs w:val="24"/>
        </w:rPr>
        <w:t xml:space="preserve"> and</w:t>
      </w:r>
      <w:r w:rsidRPr="00B23681">
        <w:rPr>
          <w:sz w:val="24"/>
          <w:szCs w:val="24"/>
        </w:rPr>
        <w:t xml:space="preserve"> 100 mg L</w:t>
      </w:r>
      <w:r w:rsidRPr="00B23681">
        <w:rPr>
          <w:sz w:val="24"/>
          <w:szCs w:val="24"/>
          <w:vertAlign w:val="superscript"/>
        </w:rPr>
        <w:t>-1</w:t>
      </w:r>
      <w:r w:rsidRPr="00B23681">
        <w:rPr>
          <w:sz w:val="24"/>
          <w:szCs w:val="24"/>
        </w:rPr>
        <w:t xml:space="preserve">). Adsorption tests were carried out at 298.15 K, 308.15 K and 318.15 K, respectively. The residual </w:t>
      </w:r>
      <w:r w:rsidR="004324A3">
        <w:rPr>
          <w:sz w:val="24"/>
          <w:szCs w:val="24"/>
        </w:rPr>
        <w:t>G</w:t>
      </w:r>
      <w:r w:rsidR="004324A3">
        <w:rPr>
          <w:rFonts w:hint="eastAsia"/>
          <w:sz w:val="24"/>
          <w:szCs w:val="24"/>
        </w:rPr>
        <w:t>d</w:t>
      </w:r>
      <w:r w:rsidR="00853E34" w:rsidRPr="00853E34">
        <w:rPr>
          <w:bCs/>
          <w:snapToGrid w:val="0"/>
          <w:sz w:val="24"/>
          <w:szCs w:val="24"/>
          <w:vertAlign w:val="superscript"/>
        </w:rPr>
        <w:t>3+</w:t>
      </w:r>
      <w:r w:rsidRPr="00B23681">
        <w:rPr>
          <w:sz w:val="24"/>
          <w:szCs w:val="24"/>
        </w:rPr>
        <w:t xml:space="preserve"> concentrations in the solution </w:t>
      </w:r>
      <w:proofErr w:type="gramStart"/>
      <w:r w:rsidRPr="00B23681">
        <w:rPr>
          <w:sz w:val="24"/>
          <w:szCs w:val="24"/>
        </w:rPr>
        <w:t>was</w:t>
      </w:r>
      <w:proofErr w:type="gramEnd"/>
      <w:r w:rsidRPr="00B23681">
        <w:rPr>
          <w:sz w:val="24"/>
          <w:szCs w:val="24"/>
        </w:rPr>
        <w:t xml:space="preserve"> determined after 24 hours. </w:t>
      </w:r>
      <w:r w:rsidRPr="00B23681">
        <w:rPr>
          <w:rFonts w:eastAsia="等线"/>
          <w:kern w:val="0"/>
          <w:sz w:val="24"/>
          <w:szCs w:val="24"/>
        </w:rPr>
        <w:t>The values of Gibbs energy (</w:t>
      </w:r>
      <w:bookmarkStart w:id="15" w:name="OLE_LINK369"/>
      <w:bookmarkStart w:id="16" w:name="OLE_LINK370"/>
      <w:r w:rsidRPr="00B23681">
        <w:rPr>
          <w:rFonts w:eastAsia="等线"/>
          <w:i/>
          <w:iCs/>
          <w:kern w:val="0"/>
          <w:sz w:val="24"/>
          <w:szCs w:val="24"/>
        </w:rPr>
        <w:t>∆G</w:t>
      </w:r>
      <w:bookmarkEnd w:id="15"/>
      <w:bookmarkEnd w:id="16"/>
      <w:r w:rsidRPr="00B23681">
        <w:rPr>
          <w:sz w:val="24"/>
          <w:szCs w:val="24"/>
          <w:vertAlign w:val="superscript"/>
        </w:rPr>
        <w:t>°</w:t>
      </w:r>
      <w:r w:rsidRPr="00B23681">
        <w:rPr>
          <w:rFonts w:eastAsia="等线"/>
          <w:kern w:val="0"/>
          <w:sz w:val="24"/>
          <w:szCs w:val="24"/>
        </w:rPr>
        <w:t xml:space="preserve">) are calculated by </w:t>
      </w:r>
      <w:bookmarkStart w:id="17" w:name="OLE_LINK326"/>
      <w:bookmarkStart w:id="18" w:name="OLE_LINK327"/>
      <w:bookmarkStart w:id="19" w:name="OLE_LINK330"/>
      <w:r w:rsidRPr="00B23681">
        <w:rPr>
          <w:rFonts w:eastAsia="等线"/>
          <w:kern w:val="0"/>
          <w:sz w:val="24"/>
          <w:szCs w:val="24"/>
        </w:rPr>
        <w:t>equation</w:t>
      </w:r>
      <w:bookmarkEnd w:id="17"/>
      <w:bookmarkEnd w:id="18"/>
      <w:bookmarkEnd w:id="19"/>
      <w:r w:rsidRPr="00B23681">
        <w:rPr>
          <w:sz w:val="24"/>
          <w:szCs w:val="24"/>
        </w:rPr>
        <w:t xml:space="preserve"> </w:t>
      </w:r>
      <w:bookmarkStart w:id="20" w:name="OLE_LINK19"/>
      <w:bookmarkStart w:id="21" w:name="OLE_LINK20"/>
      <w:r w:rsidRPr="00B23681">
        <w:rPr>
          <w:rFonts w:eastAsia="等线"/>
          <w:kern w:val="0"/>
          <w:sz w:val="24"/>
          <w:szCs w:val="24"/>
        </w:rPr>
        <w:t>Eq. (</w:t>
      </w:r>
      <w:r>
        <w:rPr>
          <w:rFonts w:eastAsia="等线"/>
          <w:kern w:val="0"/>
          <w:sz w:val="24"/>
          <w:szCs w:val="24"/>
        </w:rPr>
        <w:t>6</w:t>
      </w:r>
      <w:r w:rsidRPr="00B23681">
        <w:rPr>
          <w:rFonts w:eastAsia="等线"/>
          <w:kern w:val="0"/>
          <w:sz w:val="24"/>
          <w:szCs w:val="24"/>
        </w:rPr>
        <w:t>)</w:t>
      </w:r>
      <w:bookmarkEnd w:id="20"/>
      <w:bookmarkEnd w:id="21"/>
      <w:r w:rsidR="00AB5AAC">
        <w:rPr>
          <w:rFonts w:eastAsia="等线"/>
          <w:kern w:val="0"/>
          <w:sz w:val="24"/>
          <w:szCs w:val="24"/>
        </w:rPr>
        <w:fldChar w:fldCharType="begin"/>
      </w:r>
      <w:r w:rsidR="00DC725C">
        <w:rPr>
          <w:rFonts w:eastAsia="等线"/>
          <w:kern w:val="0"/>
          <w:sz w:val="24"/>
          <w:szCs w:val="24"/>
        </w:rPr>
        <w:instrText xml:space="preserve"> ADDIN EN.CITE &lt;EndNote&gt;&lt;Cite&gt;&lt;Author&gt;Chowdhury&lt;/Author&gt;&lt;Year&gt;2021&lt;/Year&gt;&lt;RecNum&gt;140&lt;/RecNum&gt;&lt;DisplayText&gt;(Chowdhury et al., 2021)&lt;/DisplayText&gt;&lt;record&gt;&lt;rec-number&gt;140&lt;/rec-number&gt;&lt;foreign-keys&gt;&lt;key app="EN" db-id="d2xdrwd99vpxz2exra7x599b9fpszds95ttf" timestamp="1665387694"&gt;140&lt;/key&gt;&lt;/foreign-keys&gt;&lt;ref-type name="Journal Article"&gt;17&lt;/ref-type&gt;&lt;contributors&gt;&lt;authors&gt;&lt;author&gt;Chowdhury, Nighat Afroz&lt;/author&gt;&lt;author&gt;Deng, Sidi&lt;/author&gt;&lt;author&gt;Jin, Hongyue&lt;/author&gt;&lt;author&gt;Prodius, Denis&lt;/author&gt;&lt;author&gt;Sutherland, John W.&lt;/author&gt;&lt;author&gt;Nlebedim, Ikenna C.&lt;/author&gt;&lt;/authors&gt;&lt;/contributors&gt;&lt;titles&gt;&lt;title&gt;Sustainable Recycling of Rare-Earth Elements from NdFeB Magnet Swarf: Techno-Economic and Environmental Perspectives&lt;/title&gt;&lt;secondary-title&gt;Acs Sustainable Chemistry &amp;amp; Engineering&lt;/secondary-title&gt;&lt;/titles&gt;&lt;periodical&gt;&lt;full-title&gt;ACS Sustainable Chemistry &amp;amp; Engineering&lt;/full-title&gt;&lt;/periodical&gt;&lt;pages&gt;15915-15924&lt;/pages&gt;&lt;volume&gt;9&lt;/volume&gt;&lt;number&gt;47&lt;/number&gt;&lt;dates&gt;&lt;year&gt;2021&lt;/year&gt;&lt;pub-dates&gt;&lt;date&gt;Nov 29&lt;/date&gt;&lt;/pub-dates&gt;&lt;/dates&gt;&lt;isbn&gt;2168-0485&lt;/isbn&gt;&lt;accession-num&gt;WOS:000753955600019&lt;/accession-num&gt;&lt;urls&gt;&lt;related-urls&gt;&lt;url&gt;&amp;lt;Go to ISI&amp;gt;://WOS:000753955600019&lt;/url&gt;&lt;/related-urls&gt;&lt;/urls&gt;&lt;electronic-resource-num&gt;10.1021/acssuschemeng.1c05965&lt;/electronic-resource-num&gt;&lt;/record&gt;&lt;/Cite&gt;&lt;/EndNote&gt;</w:instrText>
      </w:r>
      <w:r w:rsidR="00AB5AAC">
        <w:rPr>
          <w:rFonts w:eastAsia="等线"/>
          <w:kern w:val="0"/>
          <w:sz w:val="24"/>
          <w:szCs w:val="24"/>
        </w:rPr>
        <w:fldChar w:fldCharType="separate"/>
      </w:r>
      <w:r w:rsidR="00DC725C">
        <w:rPr>
          <w:rFonts w:eastAsia="等线"/>
          <w:noProof/>
          <w:kern w:val="0"/>
          <w:sz w:val="24"/>
          <w:szCs w:val="24"/>
        </w:rPr>
        <w:t>(Chowdhury et al., 2021)</w:t>
      </w:r>
      <w:r w:rsidR="00AB5AAC">
        <w:rPr>
          <w:rFonts w:eastAsia="等线"/>
          <w:kern w:val="0"/>
          <w:sz w:val="24"/>
          <w:szCs w:val="24"/>
        </w:rPr>
        <w:fldChar w:fldCharType="end"/>
      </w:r>
      <w:r w:rsidR="007F6BB3">
        <w:rPr>
          <w:rFonts w:eastAsia="等线"/>
          <w:kern w:val="0"/>
          <w:sz w:val="24"/>
          <w:szCs w:val="24"/>
        </w:rPr>
        <w:t>:</w:t>
      </w:r>
    </w:p>
    <w:p w14:paraId="5E445216" w14:textId="2CD03395" w:rsidR="00E74EDE" w:rsidRDefault="00E74EDE" w:rsidP="00E74EDE">
      <w:pPr>
        <w:adjustRightInd w:val="0"/>
        <w:snapToGrid w:val="0"/>
        <w:spacing w:line="480" w:lineRule="auto"/>
        <w:ind w:firstLine="480"/>
        <w:jc w:val="center"/>
        <w:rPr>
          <w:rFonts w:eastAsia="等线"/>
          <w:sz w:val="24"/>
          <w:szCs w:val="24"/>
        </w:rPr>
      </w:pPr>
      <w:r>
        <w:rPr>
          <w:rFonts w:eastAsia="等线" w:hint="eastAsia"/>
          <w:sz w:val="24"/>
          <w:szCs w:val="24"/>
        </w:rPr>
        <w:t xml:space="preserve"> </w:t>
      </w:r>
      <w:r>
        <w:rPr>
          <w:rFonts w:eastAsia="等线"/>
          <w:sz w:val="24"/>
          <w:szCs w:val="24"/>
        </w:rPr>
        <w:t xml:space="preserve">                      </w:t>
      </w:r>
      <m:oMath>
        <m:r>
          <w:rPr>
            <w:rFonts w:ascii="Cambria Math" w:eastAsia="等线" w:hAnsi="Cambria Math"/>
            <w:sz w:val="24"/>
            <w:szCs w:val="24"/>
          </w:rPr>
          <m:t>∆</m:t>
        </m:r>
        <m:sSup>
          <m:sSupPr>
            <m:ctrlPr>
              <w:rPr>
                <w:rFonts w:ascii="Cambria Math" w:eastAsia="等线" w:hAnsi="Cambria Math"/>
                <w:i/>
                <w:sz w:val="24"/>
                <w:szCs w:val="24"/>
              </w:rPr>
            </m:ctrlPr>
          </m:sSupPr>
          <m:e>
            <m:r>
              <w:rPr>
                <w:rFonts w:ascii="Cambria Math" w:eastAsia="等线" w:hAnsi="Cambria Math"/>
                <w:sz w:val="24"/>
                <w:szCs w:val="24"/>
              </w:rPr>
              <m:t>G</m:t>
            </m:r>
          </m:e>
          <m:sup>
            <m:r>
              <w:rPr>
                <w:rFonts w:ascii="Cambria Math" w:eastAsia="等线" w:hAnsi="Cambria Math"/>
                <w:sz w:val="24"/>
                <w:szCs w:val="24"/>
              </w:rPr>
              <m:t>°</m:t>
            </m:r>
          </m:sup>
        </m:sSup>
        <m:r>
          <w:rPr>
            <w:rFonts w:ascii="Cambria Math" w:eastAsia="等线" w:hAnsi="Cambria Math"/>
            <w:sz w:val="24"/>
            <w:szCs w:val="24"/>
          </w:rPr>
          <m:t>=-RT</m:t>
        </m:r>
        <m:func>
          <m:funcPr>
            <m:ctrlPr>
              <w:rPr>
                <w:rFonts w:ascii="Cambria Math" w:eastAsia="等线" w:hAnsi="Cambria Math"/>
                <w:i/>
                <w:sz w:val="24"/>
                <w:szCs w:val="24"/>
              </w:rPr>
            </m:ctrlPr>
          </m:funcPr>
          <m:fName>
            <m:r>
              <m:rPr>
                <m:sty m:val="p"/>
              </m:rPr>
              <w:rPr>
                <w:rFonts w:ascii="Cambria Math" w:eastAsia="等线" w:hAnsi="Cambria Math"/>
                <w:sz w:val="24"/>
                <w:szCs w:val="24"/>
              </w:rPr>
              <m:t>ln</m:t>
            </m:r>
          </m:fName>
          <m:e>
            <m:sSup>
              <m:sSupPr>
                <m:ctrlPr>
                  <w:rPr>
                    <w:rFonts w:ascii="Cambria Math" w:eastAsia="等线" w:hAnsi="Cambria Math"/>
                    <w:i/>
                    <w:sz w:val="24"/>
                    <w:szCs w:val="24"/>
                  </w:rPr>
                </m:ctrlPr>
              </m:sSupPr>
              <m:e>
                <m:r>
                  <w:rPr>
                    <w:rFonts w:ascii="Cambria Math" w:eastAsia="等线" w:hAnsi="Cambria Math"/>
                    <w:sz w:val="24"/>
                    <w:szCs w:val="24"/>
                  </w:rPr>
                  <m:t>K</m:t>
                </m:r>
              </m:e>
              <m:sup>
                <m:r>
                  <w:rPr>
                    <w:rFonts w:ascii="Cambria Math" w:eastAsia="等线" w:hAnsi="Cambria Math"/>
                    <w:sz w:val="24"/>
                    <w:szCs w:val="24"/>
                  </w:rPr>
                  <m:t>°</m:t>
                </m:r>
              </m:sup>
            </m:sSup>
          </m:e>
        </m:func>
      </m:oMath>
      <w:r>
        <w:rPr>
          <w:rFonts w:eastAsia="等线" w:hint="eastAsia"/>
          <w:sz w:val="24"/>
          <w:szCs w:val="24"/>
        </w:rPr>
        <w:t xml:space="preserve"> </w:t>
      </w:r>
      <w:r>
        <w:rPr>
          <w:rFonts w:eastAsia="等线"/>
          <w:sz w:val="24"/>
          <w:szCs w:val="24"/>
        </w:rPr>
        <w:t xml:space="preserve">                    (6)</w:t>
      </w:r>
    </w:p>
    <w:p w14:paraId="7B87F451" w14:textId="07D13919" w:rsidR="00E74EDE" w:rsidRDefault="00E74EDE" w:rsidP="00E74EDE">
      <w:pPr>
        <w:adjustRightInd w:val="0"/>
        <w:snapToGrid w:val="0"/>
        <w:spacing w:line="480" w:lineRule="auto"/>
        <w:ind w:firstLine="480"/>
        <w:rPr>
          <w:rFonts w:eastAsia="等线"/>
          <w:kern w:val="0"/>
          <w:sz w:val="24"/>
          <w:szCs w:val="24"/>
        </w:rPr>
      </w:pPr>
      <w:r w:rsidRPr="00B23681">
        <w:rPr>
          <w:rFonts w:eastAsia="等线"/>
          <w:sz w:val="24"/>
          <w:szCs w:val="24"/>
        </w:rPr>
        <w:t xml:space="preserve">Where </w:t>
      </w:r>
      <w:r w:rsidRPr="00B23681">
        <w:rPr>
          <w:sz w:val="24"/>
          <w:szCs w:val="24"/>
        </w:rPr>
        <w:t xml:space="preserve">thermodynamic equilibrium constant </w:t>
      </w:r>
      <w:r w:rsidRPr="00B23681">
        <w:rPr>
          <w:i/>
          <w:sz w:val="24"/>
          <w:szCs w:val="24"/>
        </w:rPr>
        <w:t>K</w:t>
      </w:r>
      <w:r w:rsidRPr="00B23681">
        <w:rPr>
          <w:sz w:val="24"/>
          <w:szCs w:val="24"/>
          <w:vertAlign w:val="superscript"/>
        </w:rPr>
        <w:t>°</w:t>
      </w:r>
      <w:r w:rsidRPr="00B23681">
        <w:rPr>
          <w:sz w:val="24"/>
          <w:szCs w:val="24"/>
        </w:rPr>
        <w:t xml:space="preserve"> is calculated by plotting the function of </w:t>
      </w:r>
      <w:proofErr w:type="gramStart"/>
      <w:r w:rsidRPr="00B23681">
        <w:rPr>
          <w:sz w:val="24"/>
          <w:szCs w:val="24"/>
        </w:rPr>
        <w:t>ln(</w:t>
      </w:r>
      <w:bookmarkStart w:id="22" w:name="OLE_LINK97"/>
      <w:bookmarkStart w:id="23" w:name="OLE_LINK98"/>
      <w:proofErr w:type="gramEnd"/>
      <w:r w:rsidRPr="00B23681">
        <w:rPr>
          <w:i/>
          <w:iCs/>
          <w:sz w:val="24"/>
          <w:szCs w:val="24"/>
        </w:rPr>
        <w:t>C</w:t>
      </w:r>
      <w:bookmarkEnd w:id="22"/>
      <w:bookmarkEnd w:id="23"/>
      <w:r w:rsidRPr="00B23681">
        <w:rPr>
          <w:sz w:val="24"/>
          <w:szCs w:val="24"/>
          <w:vertAlign w:val="subscript"/>
        </w:rPr>
        <w:t>s</w:t>
      </w:r>
      <w:r w:rsidRPr="00B23681">
        <w:rPr>
          <w:sz w:val="24"/>
          <w:szCs w:val="24"/>
        </w:rPr>
        <w:t>/</w:t>
      </w:r>
      <w:r w:rsidRPr="00B23681">
        <w:rPr>
          <w:i/>
          <w:iCs/>
          <w:sz w:val="24"/>
          <w:szCs w:val="24"/>
        </w:rPr>
        <w:t>C</w:t>
      </w:r>
      <w:r w:rsidRPr="00B23681">
        <w:rPr>
          <w:sz w:val="24"/>
          <w:szCs w:val="24"/>
          <w:vertAlign w:val="subscript"/>
        </w:rPr>
        <w:t>e</w:t>
      </w:r>
      <w:r w:rsidRPr="00B23681">
        <w:rPr>
          <w:sz w:val="24"/>
          <w:szCs w:val="24"/>
        </w:rPr>
        <w:t xml:space="preserve">) </w:t>
      </w:r>
      <w:bookmarkStart w:id="24" w:name="OLE_LINK99"/>
      <w:bookmarkStart w:id="25" w:name="OLE_LINK100"/>
      <w:bookmarkStart w:id="26" w:name="OLE_LINK101"/>
      <w:r w:rsidRPr="00B23681">
        <w:rPr>
          <w:sz w:val="24"/>
          <w:szCs w:val="24"/>
        </w:rPr>
        <w:t>versus</w:t>
      </w:r>
      <w:bookmarkEnd w:id="24"/>
      <w:bookmarkEnd w:id="25"/>
      <w:bookmarkEnd w:id="26"/>
      <w:r w:rsidRPr="00B23681">
        <w:rPr>
          <w:sz w:val="24"/>
          <w:szCs w:val="24"/>
        </w:rPr>
        <w:t xml:space="preserve"> </w:t>
      </w:r>
      <w:r w:rsidRPr="00B23681">
        <w:rPr>
          <w:i/>
          <w:iCs/>
          <w:sz w:val="24"/>
          <w:szCs w:val="24"/>
        </w:rPr>
        <w:t>C</w:t>
      </w:r>
      <w:r w:rsidRPr="00B23681">
        <w:rPr>
          <w:sz w:val="24"/>
          <w:szCs w:val="24"/>
          <w:vertAlign w:val="subscript"/>
        </w:rPr>
        <w:t>s</w:t>
      </w:r>
      <w:r w:rsidRPr="00B23681">
        <w:rPr>
          <w:sz w:val="24"/>
          <w:szCs w:val="24"/>
        </w:rPr>
        <w:t xml:space="preserve">. Wherein, </w:t>
      </w:r>
      <w:r w:rsidRPr="00B23681">
        <w:rPr>
          <w:i/>
          <w:iCs/>
          <w:sz w:val="24"/>
          <w:szCs w:val="24"/>
        </w:rPr>
        <w:t>C</w:t>
      </w:r>
      <w:r w:rsidRPr="00B23681">
        <w:rPr>
          <w:sz w:val="24"/>
          <w:szCs w:val="24"/>
          <w:vertAlign w:val="subscript"/>
        </w:rPr>
        <w:t>s</w:t>
      </w:r>
      <w:r w:rsidRPr="00B23681">
        <w:rPr>
          <w:sz w:val="24"/>
          <w:szCs w:val="24"/>
        </w:rPr>
        <w:t xml:space="preserve"> (mmol g</w:t>
      </w:r>
      <w:r w:rsidRPr="00B23681">
        <w:rPr>
          <w:sz w:val="24"/>
          <w:szCs w:val="24"/>
          <w:vertAlign w:val="superscript"/>
        </w:rPr>
        <w:t>-1</w:t>
      </w:r>
      <w:r w:rsidRPr="00B23681">
        <w:rPr>
          <w:sz w:val="24"/>
          <w:szCs w:val="24"/>
        </w:rPr>
        <w:t xml:space="preserve">) is the adsorption amount per gram of aerogels, and </w:t>
      </w:r>
      <w:r w:rsidRPr="00B23681">
        <w:rPr>
          <w:i/>
          <w:iCs/>
          <w:sz w:val="24"/>
          <w:szCs w:val="24"/>
        </w:rPr>
        <w:t>C</w:t>
      </w:r>
      <w:r w:rsidRPr="00B23681">
        <w:rPr>
          <w:sz w:val="24"/>
          <w:szCs w:val="24"/>
          <w:vertAlign w:val="subscript"/>
        </w:rPr>
        <w:t>e</w:t>
      </w:r>
      <w:r w:rsidRPr="00B23681">
        <w:rPr>
          <w:sz w:val="24"/>
          <w:szCs w:val="24"/>
        </w:rPr>
        <w:t xml:space="preserve"> is the concentration of </w:t>
      </w:r>
      <w:r w:rsidR="00B44C9E">
        <w:rPr>
          <w:sz w:val="24"/>
          <w:szCs w:val="24"/>
        </w:rPr>
        <w:t>G</w:t>
      </w:r>
      <w:r w:rsidR="00B44C9E">
        <w:rPr>
          <w:rFonts w:hint="eastAsia"/>
          <w:sz w:val="24"/>
          <w:szCs w:val="24"/>
        </w:rPr>
        <w:t>d</w:t>
      </w:r>
      <w:r w:rsidR="0017127B">
        <w:rPr>
          <w:kern w:val="0"/>
          <w:sz w:val="24"/>
          <w:szCs w:val="24"/>
          <w:vertAlign w:val="superscript"/>
        </w:rPr>
        <w:t>3+</w:t>
      </w:r>
      <w:r w:rsidRPr="00B23681">
        <w:rPr>
          <w:sz w:val="24"/>
          <w:szCs w:val="24"/>
        </w:rPr>
        <w:t xml:space="preserve"> in the mixed solution at adsorption equilibrium. </w:t>
      </w:r>
      <w:r w:rsidRPr="00B23681">
        <w:rPr>
          <w:i/>
          <w:sz w:val="24"/>
          <w:szCs w:val="24"/>
        </w:rPr>
        <w:t xml:space="preserve">R </w:t>
      </w:r>
      <w:r w:rsidRPr="00B23681">
        <w:rPr>
          <w:sz w:val="24"/>
          <w:szCs w:val="24"/>
        </w:rPr>
        <w:t>(8.314 J mol</w:t>
      </w:r>
      <w:r w:rsidRPr="00B23681">
        <w:rPr>
          <w:sz w:val="24"/>
          <w:szCs w:val="24"/>
          <w:vertAlign w:val="superscript"/>
        </w:rPr>
        <w:t>-1</w:t>
      </w:r>
      <w:r w:rsidRPr="00B23681">
        <w:rPr>
          <w:sz w:val="24"/>
          <w:szCs w:val="24"/>
        </w:rPr>
        <w:t xml:space="preserve"> K</w:t>
      </w:r>
      <w:r w:rsidRPr="00B23681">
        <w:rPr>
          <w:sz w:val="24"/>
          <w:szCs w:val="24"/>
          <w:vertAlign w:val="superscript"/>
        </w:rPr>
        <w:t>-1</w:t>
      </w:r>
      <w:r w:rsidRPr="00B23681">
        <w:rPr>
          <w:sz w:val="24"/>
          <w:szCs w:val="24"/>
        </w:rPr>
        <w:t xml:space="preserve">) is the universal gas constant, and </w:t>
      </w:r>
      <w:r w:rsidRPr="00B23681">
        <w:rPr>
          <w:i/>
          <w:iCs/>
          <w:sz w:val="24"/>
          <w:szCs w:val="24"/>
        </w:rPr>
        <w:t>T</w:t>
      </w:r>
      <w:r w:rsidRPr="00B23681">
        <w:rPr>
          <w:sz w:val="24"/>
          <w:szCs w:val="24"/>
        </w:rPr>
        <w:t xml:space="preserve"> is the given temperature. Eventually, entropy (</w:t>
      </w:r>
      <w:r w:rsidRPr="00B23681">
        <w:rPr>
          <w:i/>
          <w:iCs/>
          <w:sz w:val="24"/>
          <w:szCs w:val="24"/>
        </w:rPr>
        <w:t>∆S</w:t>
      </w:r>
      <w:r w:rsidRPr="00B23681">
        <w:rPr>
          <w:sz w:val="24"/>
          <w:szCs w:val="24"/>
          <w:vertAlign w:val="superscript"/>
        </w:rPr>
        <w:t>°</w:t>
      </w:r>
      <w:r w:rsidRPr="00B23681">
        <w:rPr>
          <w:sz w:val="24"/>
          <w:szCs w:val="24"/>
        </w:rPr>
        <w:t>) and the enthalpy (</w:t>
      </w:r>
      <w:r w:rsidRPr="00B23681">
        <w:rPr>
          <w:i/>
          <w:iCs/>
          <w:sz w:val="24"/>
          <w:szCs w:val="24"/>
        </w:rPr>
        <w:t>∆H</w:t>
      </w:r>
      <w:r w:rsidRPr="00B23681">
        <w:rPr>
          <w:sz w:val="24"/>
          <w:szCs w:val="24"/>
          <w:vertAlign w:val="superscript"/>
        </w:rPr>
        <w:t>°</w:t>
      </w:r>
      <w:r w:rsidRPr="00B23681">
        <w:rPr>
          <w:sz w:val="24"/>
          <w:szCs w:val="24"/>
        </w:rPr>
        <w:t xml:space="preserve">) values are obtained from </w:t>
      </w:r>
      <w:proofErr w:type="spellStart"/>
      <w:r w:rsidRPr="00B23681">
        <w:rPr>
          <w:sz w:val="24"/>
          <w:szCs w:val="24"/>
        </w:rPr>
        <w:t>van’t</w:t>
      </w:r>
      <w:proofErr w:type="spellEnd"/>
      <w:r w:rsidRPr="00B23681">
        <w:rPr>
          <w:sz w:val="24"/>
          <w:szCs w:val="24"/>
        </w:rPr>
        <w:t xml:space="preserve"> Hoff equation</w:t>
      </w:r>
      <w:bookmarkStart w:id="27" w:name="OLE_LINK21"/>
      <w:bookmarkStart w:id="28" w:name="OLE_LINK22"/>
      <w:r w:rsidRPr="00B23681">
        <w:rPr>
          <w:rFonts w:eastAsia="等线"/>
          <w:kern w:val="0"/>
          <w:sz w:val="24"/>
          <w:szCs w:val="24"/>
        </w:rPr>
        <w:t xml:space="preserve"> </w:t>
      </w:r>
      <w:bookmarkEnd w:id="27"/>
      <w:bookmarkEnd w:id="28"/>
      <w:r w:rsidRPr="00B23681">
        <w:rPr>
          <w:rFonts w:eastAsia="等线"/>
          <w:kern w:val="0"/>
          <w:sz w:val="24"/>
          <w:szCs w:val="24"/>
        </w:rPr>
        <w:t>Eq. (</w:t>
      </w:r>
      <w:r>
        <w:rPr>
          <w:rFonts w:eastAsia="等线"/>
          <w:kern w:val="0"/>
          <w:sz w:val="24"/>
          <w:szCs w:val="24"/>
        </w:rPr>
        <w:t>7</w:t>
      </w:r>
      <w:r w:rsidRPr="00B23681">
        <w:rPr>
          <w:rFonts w:eastAsia="等线"/>
          <w:kern w:val="0"/>
          <w:sz w:val="24"/>
          <w:szCs w:val="24"/>
        </w:rPr>
        <w:t>)</w:t>
      </w:r>
      <w:r w:rsidR="007F6BB3">
        <w:rPr>
          <w:rFonts w:eastAsia="等线"/>
          <w:kern w:val="0"/>
          <w:sz w:val="24"/>
          <w:szCs w:val="24"/>
        </w:rPr>
        <w:t>:</w:t>
      </w:r>
    </w:p>
    <w:p w14:paraId="4A8863F0" w14:textId="6B6FD2C1" w:rsidR="00E74EDE" w:rsidRDefault="00E74EDE" w:rsidP="00E74EDE">
      <w:pPr>
        <w:adjustRightInd w:val="0"/>
        <w:snapToGrid w:val="0"/>
        <w:spacing w:line="480" w:lineRule="auto"/>
        <w:ind w:firstLine="480"/>
        <w:jc w:val="center"/>
        <w:rPr>
          <w:rFonts w:eastAsia="等线"/>
          <w:sz w:val="24"/>
          <w:szCs w:val="24"/>
        </w:rPr>
      </w:pPr>
      <w:r>
        <w:rPr>
          <w:rFonts w:eastAsia="等线" w:hint="eastAsia"/>
          <w:sz w:val="24"/>
          <w:szCs w:val="24"/>
        </w:rPr>
        <w:t xml:space="preserve"> </w:t>
      </w:r>
      <w:r>
        <w:rPr>
          <w:rFonts w:eastAsia="等线"/>
          <w:sz w:val="24"/>
          <w:szCs w:val="24"/>
        </w:rPr>
        <w:t xml:space="preserve">                     </w:t>
      </w:r>
      <m:oMath>
        <m:func>
          <m:funcPr>
            <m:ctrlPr>
              <w:rPr>
                <w:rFonts w:ascii="Cambria Math" w:eastAsia="等线" w:hAnsi="Cambria Math"/>
                <w:b/>
                <w:bCs/>
                <w:i/>
                <w:sz w:val="24"/>
                <w:szCs w:val="24"/>
              </w:rPr>
            </m:ctrlPr>
          </m:funcPr>
          <m:fName>
            <m:r>
              <m:rPr>
                <m:sty m:val="b"/>
              </m:rPr>
              <w:rPr>
                <w:rFonts w:ascii="Cambria Math" w:eastAsia="等线" w:hAnsi="Cambria Math"/>
                <w:sz w:val="24"/>
                <w:szCs w:val="24"/>
              </w:rPr>
              <m:t>ln</m:t>
            </m:r>
          </m:fName>
          <m:e>
            <m:sSup>
              <m:sSupPr>
                <m:ctrlPr>
                  <w:rPr>
                    <w:rFonts w:ascii="Cambria Math" w:eastAsia="等线" w:hAnsi="Cambria Math"/>
                    <w:b/>
                    <w:bCs/>
                    <w:i/>
                    <w:sz w:val="24"/>
                    <w:szCs w:val="24"/>
                  </w:rPr>
                </m:ctrlPr>
              </m:sSupPr>
              <m:e>
                <m:r>
                  <m:rPr>
                    <m:sty m:val="bi"/>
                  </m:rPr>
                  <w:rPr>
                    <w:rFonts w:ascii="Cambria Math" w:eastAsia="等线" w:hAnsi="Cambria Math"/>
                    <w:sz w:val="24"/>
                    <w:szCs w:val="24"/>
                  </w:rPr>
                  <m:t>K</m:t>
                </m:r>
              </m:e>
              <m:sup>
                <m:r>
                  <m:rPr>
                    <m:sty m:val="bi"/>
                  </m:rPr>
                  <w:rPr>
                    <w:rFonts w:ascii="Cambria Math" w:eastAsia="等线" w:hAnsi="Cambria Math"/>
                    <w:sz w:val="24"/>
                    <w:szCs w:val="24"/>
                  </w:rPr>
                  <m:t>°</m:t>
                </m:r>
              </m:sup>
            </m:sSup>
            <m:r>
              <m:rPr>
                <m:sty m:val="bi"/>
              </m:rPr>
              <w:rPr>
                <w:rFonts w:ascii="Cambria Math" w:eastAsia="等线" w:hAnsi="Cambria Math"/>
                <w:sz w:val="24"/>
                <w:szCs w:val="24"/>
              </w:rPr>
              <m:t>=</m:t>
            </m:r>
            <m:f>
              <m:fPr>
                <m:ctrlPr>
                  <w:rPr>
                    <w:rFonts w:ascii="Cambria Math" w:eastAsia="等线" w:hAnsi="Cambria Math"/>
                    <w:b/>
                    <w:bCs/>
                    <w:i/>
                    <w:sz w:val="24"/>
                    <w:szCs w:val="24"/>
                  </w:rPr>
                </m:ctrlPr>
              </m:fPr>
              <m:num>
                <m:r>
                  <m:rPr>
                    <m:sty m:val="bi"/>
                  </m:rPr>
                  <w:rPr>
                    <w:rFonts w:ascii="Cambria Math" w:eastAsia="等线" w:hAnsi="Cambria Math"/>
                    <w:sz w:val="24"/>
                    <w:szCs w:val="24"/>
                  </w:rPr>
                  <m:t>∆S</m:t>
                </m:r>
              </m:num>
              <m:den>
                <m:r>
                  <m:rPr>
                    <m:sty m:val="bi"/>
                  </m:rPr>
                  <w:rPr>
                    <w:rFonts w:ascii="Cambria Math" w:eastAsia="等线" w:hAnsi="Cambria Math"/>
                    <w:sz w:val="24"/>
                    <w:szCs w:val="24"/>
                  </w:rPr>
                  <m:t>R</m:t>
                </m:r>
              </m:den>
            </m:f>
          </m:e>
        </m:func>
        <m:r>
          <m:rPr>
            <m:sty m:val="bi"/>
          </m:rPr>
          <w:rPr>
            <w:rFonts w:ascii="Cambria Math" w:eastAsia="等线" w:hAnsi="Cambria Math"/>
            <w:sz w:val="24"/>
            <w:szCs w:val="24"/>
          </w:rPr>
          <m:t>-</m:t>
        </m:r>
        <m:f>
          <m:fPr>
            <m:ctrlPr>
              <w:rPr>
                <w:rFonts w:ascii="Cambria Math" w:eastAsia="等线" w:hAnsi="Cambria Math"/>
                <w:b/>
                <w:bCs/>
                <w:i/>
                <w:sz w:val="24"/>
                <w:szCs w:val="24"/>
              </w:rPr>
            </m:ctrlPr>
          </m:fPr>
          <m:num>
            <m:r>
              <m:rPr>
                <m:sty m:val="bi"/>
              </m:rPr>
              <w:rPr>
                <w:rFonts w:ascii="Cambria Math" w:eastAsia="等线" w:hAnsi="Cambria Math"/>
                <w:sz w:val="24"/>
                <w:szCs w:val="24"/>
              </w:rPr>
              <m:t>∆H</m:t>
            </m:r>
          </m:num>
          <m:den>
            <m:r>
              <m:rPr>
                <m:sty m:val="bi"/>
              </m:rPr>
              <w:rPr>
                <w:rFonts w:ascii="Cambria Math" w:eastAsia="等线" w:hAnsi="Cambria Math"/>
                <w:sz w:val="24"/>
                <w:szCs w:val="24"/>
              </w:rPr>
              <m:t>RT</m:t>
            </m:r>
          </m:den>
        </m:f>
      </m:oMath>
      <w:r>
        <w:rPr>
          <w:rFonts w:eastAsia="等线" w:hint="eastAsia"/>
          <w:sz w:val="24"/>
          <w:szCs w:val="24"/>
        </w:rPr>
        <w:t xml:space="preserve"> </w:t>
      </w:r>
      <w:r>
        <w:rPr>
          <w:rFonts w:eastAsia="等线"/>
          <w:sz w:val="24"/>
          <w:szCs w:val="24"/>
        </w:rPr>
        <w:t xml:space="preserve">                       (7)</w:t>
      </w:r>
    </w:p>
    <w:p w14:paraId="5254F3BC" w14:textId="20AE2C0C" w:rsidR="008E472E" w:rsidRPr="001879D7" w:rsidRDefault="00E74EDE" w:rsidP="00B44C9E">
      <w:pPr>
        <w:spacing w:line="480" w:lineRule="auto"/>
        <w:ind w:firstLine="482"/>
        <w:rPr>
          <w:sz w:val="24"/>
          <w:szCs w:val="24"/>
        </w:rPr>
      </w:pPr>
      <w:r w:rsidRPr="00B23681">
        <w:rPr>
          <w:b/>
          <w:bCs/>
          <w:sz w:val="24"/>
          <w:szCs w:val="24"/>
        </w:rPr>
        <w:t xml:space="preserve">Reusability tests: </w:t>
      </w:r>
      <w:r w:rsidRPr="00B23681">
        <w:rPr>
          <w:sz w:val="24"/>
          <w:szCs w:val="24"/>
        </w:rPr>
        <w:t xml:space="preserve">After the adsorption process was over, the adsorbents were eluted, and the adsorbents were soaked in a 10% glacial acetic acid solution for 24 hours to remove the adsorbed </w:t>
      </w:r>
      <w:r w:rsidR="004324A3">
        <w:rPr>
          <w:sz w:val="24"/>
          <w:szCs w:val="24"/>
        </w:rPr>
        <w:t>G</w:t>
      </w:r>
      <w:r w:rsidR="004324A3">
        <w:rPr>
          <w:rFonts w:hint="eastAsia"/>
          <w:sz w:val="24"/>
          <w:szCs w:val="24"/>
        </w:rPr>
        <w:t>d</w:t>
      </w:r>
      <w:r w:rsidR="0017127B">
        <w:rPr>
          <w:kern w:val="0"/>
          <w:sz w:val="24"/>
          <w:szCs w:val="24"/>
          <w:vertAlign w:val="superscript"/>
        </w:rPr>
        <w:t>3+</w:t>
      </w:r>
      <w:r w:rsidRPr="00B23681">
        <w:rPr>
          <w:sz w:val="24"/>
          <w:szCs w:val="24"/>
        </w:rPr>
        <w:t xml:space="preserve">. Then at room temperature, these adsorbents (10 mg) were re-injected into the </w:t>
      </w:r>
      <w:r w:rsidR="004324A3">
        <w:rPr>
          <w:sz w:val="24"/>
          <w:szCs w:val="24"/>
        </w:rPr>
        <w:t>G</w:t>
      </w:r>
      <w:r w:rsidR="004324A3">
        <w:rPr>
          <w:rFonts w:hint="eastAsia"/>
          <w:sz w:val="24"/>
          <w:szCs w:val="24"/>
        </w:rPr>
        <w:t>d</w:t>
      </w:r>
      <w:r w:rsidR="0017127B">
        <w:rPr>
          <w:sz w:val="24"/>
          <w:szCs w:val="24"/>
          <w:vertAlign w:val="superscript"/>
        </w:rPr>
        <w:t>3+</w:t>
      </w:r>
      <w:r w:rsidRPr="00B23681">
        <w:rPr>
          <w:sz w:val="24"/>
          <w:szCs w:val="24"/>
        </w:rPr>
        <w:t xml:space="preserve"> stock solution (10 mL, pH=4.0) for 24 hours, and the remaining concentration of </w:t>
      </w:r>
      <w:r w:rsidR="004324A3">
        <w:rPr>
          <w:sz w:val="24"/>
          <w:szCs w:val="24"/>
        </w:rPr>
        <w:t>G</w:t>
      </w:r>
      <w:r w:rsidR="004324A3">
        <w:rPr>
          <w:rFonts w:hint="eastAsia"/>
          <w:sz w:val="24"/>
          <w:szCs w:val="24"/>
        </w:rPr>
        <w:t>d</w:t>
      </w:r>
      <w:r w:rsidR="0017127B">
        <w:rPr>
          <w:kern w:val="0"/>
          <w:sz w:val="24"/>
          <w:szCs w:val="24"/>
          <w:vertAlign w:val="superscript"/>
        </w:rPr>
        <w:t>3+</w:t>
      </w:r>
      <w:r w:rsidRPr="00B23681">
        <w:rPr>
          <w:sz w:val="24"/>
          <w:szCs w:val="24"/>
        </w:rPr>
        <w:t xml:space="preserve"> in the solution was measured. The whole adsorption-</w:t>
      </w:r>
      <w:r w:rsidRPr="00B23681">
        <w:rPr>
          <w:sz w:val="24"/>
          <w:szCs w:val="24"/>
        </w:rPr>
        <w:lastRenderedPageBreak/>
        <w:t>desorption experiment was repeated 5 times. The reusability of the aerogels was verified by the changes of five adsorption capacities of the aerogels.</w:t>
      </w:r>
    </w:p>
    <w:p w14:paraId="724854F2" w14:textId="3E20448B" w:rsidR="00D23FD0" w:rsidRPr="00D23FD0" w:rsidRDefault="007F6BB3" w:rsidP="00D23FD0">
      <w:pPr>
        <w:spacing w:line="480" w:lineRule="auto"/>
        <w:ind w:firstLineChars="82" w:firstLine="198"/>
        <w:rPr>
          <w:b/>
          <w:bCs/>
          <w:sz w:val="24"/>
          <w:szCs w:val="24"/>
        </w:rPr>
      </w:pPr>
      <w:r w:rsidRPr="00B23681">
        <w:rPr>
          <w:b/>
          <w:bCs/>
          <w:sz w:val="24"/>
          <w:szCs w:val="24"/>
        </w:rPr>
        <w:t>References</w:t>
      </w:r>
      <w:r>
        <w:rPr>
          <w:b/>
          <w:bCs/>
          <w:sz w:val="24"/>
          <w:szCs w:val="24"/>
        </w:rPr>
        <w:t>:</w:t>
      </w:r>
    </w:p>
    <w:p w14:paraId="583C6B0F" w14:textId="77777777" w:rsidR="00DC725C" w:rsidRPr="00DC725C" w:rsidRDefault="00D23FD0" w:rsidP="00DC725C">
      <w:pPr>
        <w:pStyle w:val="EndNoteBibliography"/>
        <w:ind w:firstLine="480"/>
      </w:pPr>
      <w:r>
        <w:rPr>
          <w:rFonts w:eastAsia="等线"/>
          <w:sz w:val="24"/>
          <w:szCs w:val="24"/>
        </w:rPr>
        <w:fldChar w:fldCharType="begin"/>
      </w:r>
      <w:r>
        <w:rPr>
          <w:rFonts w:eastAsia="等线"/>
          <w:sz w:val="24"/>
          <w:szCs w:val="24"/>
        </w:rPr>
        <w:instrText xml:space="preserve"> ADDIN EN.REFLIST </w:instrText>
      </w:r>
      <w:r>
        <w:rPr>
          <w:rFonts w:eastAsia="等线"/>
          <w:sz w:val="24"/>
          <w:szCs w:val="24"/>
        </w:rPr>
        <w:fldChar w:fldCharType="separate"/>
      </w:r>
      <w:r w:rsidR="00DC725C" w:rsidRPr="00DC725C">
        <w:t>Bar, A.K., Ojea, M.J.H., Tang, J., and Layfield, R.A. (2020). Coupling of Nitric Oxide and Release of Nitrous Oxide from Rare-Earth-Dinitrosyliron Complexes. Journal of the American Chemical Society</w:t>
      </w:r>
      <w:r w:rsidR="00DC725C" w:rsidRPr="00DC725C">
        <w:rPr>
          <w:i/>
        </w:rPr>
        <w:t xml:space="preserve"> 142</w:t>
      </w:r>
      <w:r w:rsidR="00DC725C" w:rsidRPr="00DC725C">
        <w:t>, 4104-4107.</w:t>
      </w:r>
    </w:p>
    <w:p w14:paraId="263202B3" w14:textId="77777777" w:rsidR="00DC725C" w:rsidRPr="00DC725C" w:rsidRDefault="00DC725C" w:rsidP="00DC725C">
      <w:pPr>
        <w:pStyle w:val="EndNoteBibliography"/>
        <w:ind w:firstLine="400"/>
      </w:pPr>
      <w:r w:rsidRPr="00DC725C">
        <w:t>Chowdhury, N.A., Deng, S., Jin, H., Prodius, D., Sutherland, J.W., and Nlebedim, I.C. (2021). Sustainable Recycling of Rare-Earth Elements from NdFeB Magnet Swarf: Techno-Economic and Environmental Perspectives. Acs Sustainable Chemistry &amp; Engineering</w:t>
      </w:r>
      <w:r w:rsidRPr="00DC725C">
        <w:rPr>
          <w:i/>
        </w:rPr>
        <w:t xml:space="preserve"> 9</w:t>
      </w:r>
      <w:r w:rsidRPr="00DC725C">
        <w:t>, 15915-15924.</w:t>
      </w:r>
    </w:p>
    <w:p w14:paraId="5C97BAB7" w14:textId="77777777" w:rsidR="00DC725C" w:rsidRPr="00DC725C" w:rsidRDefault="00DC725C" w:rsidP="00DC725C">
      <w:pPr>
        <w:pStyle w:val="EndNoteBibliography"/>
        <w:ind w:firstLine="400"/>
      </w:pPr>
      <w:r w:rsidRPr="00DC725C">
        <w:t>Fan, K., Zhang, T., Xiao, S., He, H., Yang, J., and Qin, Z. (2022). Preparation and adsorption performance of functionalization cellulose-based composite aerogel. International Journal of Biological Macromolecules</w:t>
      </w:r>
      <w:r w:rsidRPr="00DC725C">
        <w:rPr>
          <w:i/>
        </w:rPr>
        <w:t xml:space="preserve"> 211</w:t>
      </w:r>
      <w:r w:rsidRPr="00DC725C">
        <w:t>, 1-14.</w:t>
      </w:r>
    </w:p>
    <w:p w14:paraId="7253B4E6" w14:textId="40A6DDCC" w:rsidR="00E74EDE" w:rsidRPr="00E74EDE" w:rsidRDefault="00D23FD0" w:rsidP="00B44C9E">
      <w:pPr>
        <w:ind w:firstLine="480"/>
        <w:rPr>
          <w:rFonts w:eastAsia="等线"/>
          <w:sz w:val="24"/>
          <w:szCs w:val="24"/>
        </w:rPr>
      </w:pPr>
      <w:r>
        <w:rPr>
          <w:rFonts w:eastAsia="等线"/>
          <w:sz w:val="24"/>
          <w:szCs w:val="24"/>
        </w:rPr>
        <w:fldChar w:fldCharType="end"/>
      </w:r>
    </w:p>
    <w:sectPr w:rsidR="00E74EDE" w:rsidRPr="00E74EDE">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653D9" w14:textId="77777777" w:rsidR="000C202C" w:rsidRDefault="000C202C" w:rsidP="00830D98">
      <w:pPr>
        <w:ind w:firstLine="420"/>
      </w:pPr>
      <w:r>
        <w:separator/>
      </w:r>
    </w:p>
  </w:endnote>
  <w:endnote w:type="continuationSeparator" w:id="0">
    <w:p w14:paraId="4FB4807E" w14:textId="77777777" w:rsidR="000C202C" w:rsidRDefault="000C202C" w:rsidP="00830D98">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D0DA9" w14:textId="77777777" w:rsidR="008E472E" w:rsidRDefault="008E472E">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2F2AE" w14:textId="77777777" w:rsidR="008E472E" w:rsidRDefault="008E472E">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74DE6" w14:textId="77777777" w:rsidR="008E472E" w:rsidRDefault="008E472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5A43B" w14:textId="77777777" w:rsidR="000C202C" w:rsidRDefault="000C202C" w:rsidP="00830D98">
      <w:pPr>
        <w:ind w:firstLine="420"/>
      </w:pPr>
      <w:r>
        <w:separator/>
      </w:r>
    </w:p>
  </w:footnote>
  <w:footnote w:type="continuationSeparator" w:id="0">
    <w:p w14:paraId="70B34439" w14:textId="77777777" w:rsidR="000C202C" w:rsidRDefault="000C202C" w:rsidP="00830D98">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E518D" w14:textId="77777777" w:rsidR="008E472E" w:rsidRDefault="008E472E">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0C284" w14:textId="77777777" w:rsidR="008E472E" w:rsidRDefault="008E472E">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63986" w14:textId="77777777" w:rsidR="008E472E" w:rsidRDefault="008E472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Cell&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2xdrwd99vpxz2exra7x599b9fpszds95ttf&quot;&gt;My EndNote Library&lt;record-ids&gt;&lt;item&gt;138&lt;/item&gt;&lt;item&gt;139&lt;/item&gt;&lt;item&gt;140&lt;/item&gt;&lt;/record-ids&gt;&lt;/item&gt;&lt;/Libraries&gt;"/>
  </w:docVars>
  <w:rsids>
    <w:rsidRoot w:val="00B11AEE"/>
    <w:rsid w:val="000C202C"/>
    <w:rsid w:val="000E0AD1"/>
    <w:rsid w:val="000F1637"/>
    <w:rsid w:val="0017127B"/>
    <w:rsid w:val="001879D7"/>
    <w:rsid w:val="001A091B"/>
    <w:rsid w:val="002028DB"/>
    <w:rsid w:val="002F2130"/>
    <w:rsid w:val="00305C31"/>
    <w:rsid w:val="003A524B"/>
    <w:rsid w:val="003F3D18"/>
    <w:rsid w:val="0042358E"/>
    <w:rsid w:val="004324A3"/>
    <w:rsid w:val="0044148D"/>
    <w:rsid w:val="00514A17"/>
    <w:rsid w:val="00545883"/>
    <w:rsid w:val="00575A5B"/>
    <w:rsid w:val="005901A4"/>
    <w:rsid w:val="00663847"/>
    <w:rsid w:val="006726BE"/>
    <w:rsid w:val="006D30FE"/>
    <w:rsid w:val="006F33BF"/>
    <w:rsid w:val="00701C2F"/>
    <w:rsid w:val="00705313"/>
    <w:rsid w:val="007A4DA6"/>
    <w:rsid w:val="007D46DF"/>
    <w:rsid w:val="007E00B5"/>
    <w:rsid w:val="007F6BB3"/>
    <w:rsid w:val="00830D98"/>
    <w:rsid w:val="00853E34"/>
    <w:rsid w:val="008E472E"/>
    <w:rsid w:val="00AB5AAC"/>
    <w:rsid w:val="00B11AEE"/>
    <w:rsid w:val="00B44C9E"/>
    <w:rsid w:val="00B8089A"/>
    <w:rsid w:val="00BB37C6"/>
    <w:rsid w:val="00C55C9D"/>
    <w:rsid w:val="00CD4E61"/>
    <w:rsid w:val="00CF0FFA"/>
    <w:rsid w:val="00D23FD0"/>
    <w:rsid w:val="00D61ADA"/>
    <w:rsid w:val="00DC725C"/>
    <w:rsid w:val="00DF1C67"/>
    <w:rsid w:val="00E74C09"/>
    <w:rsid w:val="00E74EDE"/>
    <w:rsid w:val="00EE6294"/>
    <w:rsid w:val="00F152F5"/>
    <w:rsid w:val="00F554B6"/>
    <w:rsid w:val="00F86D38"/>
    <w:rsid w:val="00FC0A6B"/>
    <w:rsid w:val="00FE7D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B7F97"/>
  <w15:chartTrackingRefBased/>
  <w15:docId w15:val="{D2A316C5-6372-4EB1-8CB3-95307C6A8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0D98"/>
    <w:pPr>
      <w:widowControl w:val="0"/>
      <w:ind w:firstLineChars="200" w:firstLine="200"/>
      <w:jc w:val="both"/>
    </w:pPr>
    <w:rPr>
      <w:rFonts w:ascii="Times New Roman" w:eastAsia="宋体" w:hAnsi="Times New Roman"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0D98"/>
    <w:pPr>
      <w:pBdr>
        <w:bottom w:val="single" w:sz="6" w:space="1" w:color="auto"/>
      </w:pBdr>
      <w:tabs>
        <w:tab w:val="center" w:pos="4153"/>
        <w:tab w:val="right" w:pos="8306"/>
      </w:tabs>
      <w:snapToGrid w:val="0"/>
      <w:ind w:firstLineChars="0" w:firstLine="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830D98"/>
    <w:rPr>
      <w:sz w:val="18"/>
      <w:szCs w:val="18"/>
    </w:rPr>
  </w:style>
  <w:style w:type="paragraph" w:styleId="a5">
    <w:name w:val="footer"/>
    <w:basedOn w:val="a"/>
    <w:link w:val="a6"/>
    <w:uiPriority w:val="99"/>
    <w:unhideWhenUsed/>
    <w:rsid w:val="00830D98"/>
    <w:pPr>
      <w:tabs>
        <w:tab w:val="center" w:pos="4153"/>
        <w:tab w:val="right" w:pos="8306"/>
      </w:tabs>
      <w:snapToGrid w:val="0"/>
      <w:ind w:firstLineChars="0" w:firstLine="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830D98"/>
    <w:rPr>
      <w:sz w:val="18"/>
      <w:szCs w:val="18"/>
    </w:rPr>
  </w:style>
  <w:style w:type="character" w:styleId="a7">
    <w:name w:val="Placeholder Text"/>
    <w:basedOn w:val="a0"/>
    <w:uiPriority w:val="99"/>
    <w:semiHidden/>
    <w:rsid w:val="003F3D18"/>
    <w:rPr>
      <w:color w:val="808080"/>
    </w:rPr>
  </w:style>
  <w:style w:type="table" w:customStyle="1" w:styleId="21">
    <w:name w:val="网格型21"/>
    <w:basedOn w:val="a1"/>
    <w:next w:val="a8"/>
    <w:uiPriority w:val="99"/>
    <w:qFormat/>
    <w:rsid w:val="007A4DA6"/>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7A4D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D23FD0"/>
    <w:pPr>
      <w:jc w:val="center"/>
    </w:pPr>
    <w:rPr>
      <w:noProof/>
      <w:sz w:val="20"/>
    </w:rPr>
  </w:style>
  <w:style w:type="character" w:customStyle="1" w:styleId="EndNoteBibliographyTitle0">
    <w:name w:val="EndNote Bibliography Title 字符"/>
    <w:basedOn w:val="a0"/>
    <w:link w:val="EndNoteBibliographyTitle"/>
    <w:rsid w:val="00D23FD0"/>
    <w:rPr>
      <w:rFonts w:ascii="Times New Roman" w:eastAsia="宋体" w:hAnsi="Times New Roman" w:cs="Times New Roman"/>
      <w:noProof/>
      <w:sz w:val="20"/>
    </w:rPr>
  </w:style>
  <w:style w:type="paragraph" w:customStyle="1" w:styleId="EndNoteBibliography">
    <w:name w:val="EndNote Bibliography"/>
    <w:basedOn w:val="a"/>
    <w:link w:val="EndNoteBibliography0"/>
    <w:rsid w:val="00D23FD0"/>
    <w:rPr>
      <w:noProof/>
      <w:sz w:val="20"/>
    </w:rPr>
  </w:style>
  <w:style w:type="character" w:customStyle="1" w:styleId="EndNoteBibliography0">
    <w:name w:val="EndNote Bibliography 字符"/>
    <w:basedOn w:val="a0"/>
    <w:link w:val="EndNoteBibliography"/>
    <w:rsid w:val="00D23FD0"/>
    <w:rPr>
      <w:rFonts w:ascii="Times New Roman" w:eastAsia="宋体" w:hAnsi="Times New Roman" w:cs="Times New Roman"/>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686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335</TotalTime>
  <Pages>4</Pages>
  <Words>1481</Words>
  <Characters>8444</Characters>
  <Application>Microsoft Office Word</Application>
  <DocSecurity>0</DocSecurity>
  <Lines>70</Lines>
  <Paragraphs>19</Paragraphs>
  <ScaleCrop>false</ScaleCrop>
  <Company/>
  <LinksUpToDate>false</LinksUpToDate>
  <CharactersWithSpaces>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Alexis Holt</dc:creator>
  <cp:keywords/>
  <dc:description/>
  <cp:lastModifiedBy>李 昂</cp:lastModifiedBy>
  <cp:revision>26</cp:revision>
  <dcterms:created xsi:type="dcterms:W3CDTF">2021-12-02T02:20:00Z</dcterms:created>
  <dcterms:modified xsi:type="dcterms:W3CDTF">2023-04-20T10:35:00Z</dcterms:modified>
</cp:coreProperties>
</file>