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498" w:type="dxa"/>
        <w:tblLook w:val="04A0" w:firstRow="1" w:lastRow="0" w:firstColumn="1" w:lastColumn="0" w:noHBand="0" w:noVBand="1"/>
      </w:tblPr>
      <w:tblGrid>
        <w:gridCol w:w="1418"/>
        <w:gridCol w:w="1843"/>
        <w:gridCol w:w="1842"/>
        <w:gridCol w:w="4395"/>
      </w:tblGrid>
      <w:tr w:rsidR="0021001F" w:rsidTr="0021001F">
        <w:tc>
          <w:tcPr>
            <w:tcW w:w="94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Table 1:  Cancer slope factors and reference oral doses for some heavy metals. The acceptable range of the risk limit is 10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  <w:lang w:bidi="fa-IR"/>
              </w:rPr>
              <w:t>−6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to 10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  <w:lang w:bidi="fa-IR"/>
              </w:rPr>
              <w:t>−4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</w:t>
            </w:r>
          </w:p>
        </w:tc>
      </w:tr>
      <w:tr w:rsidR="0021001F" w:rsidTr="0021001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Heavy metal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Reference doses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Oral slope factors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References</w:t>
            </w:r>
          </w:p>
        </w:tc>
      </w:tr>
      <w:tr w:rsidR="0021001F" w:rsidTr="0021001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Arsenic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3 × 10-4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1.5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 xml:space="preserve">(USEPA, 2012;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Kortei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et al. 2020)</w:t>
            </w:r>
          </w:p>
        </w:tc>
      </w:tr>
      <w:tr w:rsidR="0021001F" w:rsidTr="0021001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 xml:space="preserve">Lead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4 × 10-3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8.5 × 10-3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 xml:space="preserve">(USEPA, 2012;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Kortei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et al. 2020)</w:t>
            </w:r>
          </w:p>
        </w:tc>
      </w:tr>
      <w:tr w:rsidR="0021001F" w:rsidTr="0021001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Cadmium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1 × 10-3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6.3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 xml:space="preserve">(USEPA, 2012;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Kortei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et al. 2020)</w:t>
            </w:r>
          </w:p>
        </w:tc>
      </w:tr>
      <w:tr w:rsidR="0021001F" w:rsidTr="0021001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Copper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4 × 10-2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bidi="fa-IR"/>
              </w:rPr>
              <w:t>-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(USEPA, 2012; IRIS 2011;</w:t>
            </w: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Kortei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et al. 2020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)</w:t>
            </w:r>
          </w:p>
        </w:tc>
      </w:tr>
    </w:tbl>
    <w:p w:rsidR="0021001F" w:rsidRDefault="0021001F" w:rsidP="0021001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</w:p>
    <w:p w:rsidR="00BA4D03" w:rsidRDefault="00BA4D03" w:rsidP="0021001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5"/>
        <w:gridCol w:w="861"/>
        <w:gridCol w:w="814"/>
        <w:gridCol w:w="982"/>
        <w:gridCol w:w="982"/>
        <w:gridCol w:w="982"/>
        <w:gridCol w:w="820"/>
        <w:gridCol w:w="982"/>
        <w:gridCol w:w="846"/>
        <w:gridCol w:w="982"/>
      </w:tblGrid>
      <w:tr w:rsidR="0021001F" w:rsidTr="0021001F">
        <w:trPr>
          <w:trHeight w:val="378"/>
        </w:trPr>
        <w:tc>
          <w:tcPr>
            <w:tcW w:w="935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Table 2. Comparison of </w:t>
            </w:r>
            <w:proofErr w:type="gramStart"/>
            <w:r>
              <w:rPr>
                <w:rFonts w:asciiTheme="majorBidi" w:hAnsiTheme="majorBidi" w:cstheme="majorBidi"/>
                <w:sz w:val="20"/>
                <w:szCs w:val="20"/>
              </w:rPr>
              <w:t>As</w:t>
            </w:r>
            <w:proofErr w:type="gram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Pb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>, Cd and Cu concentration among stations by season and organism. Boldface numbers indicate statistically significant differences.</w:t>
            </w:r>
          </w:p>
        </w:tc>
      </w:tr>
      <w:tr w:rsidR="0021001F" w:rsidTr="0021001F">
        <w:tc>
          <w:tcPr>
            <w:tcW w:w="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Heavy metal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Stations</w:t>
            </w:r>
          </w:p>
        </w:tc>
        <w:tc>
          <w:tcPr>
            <w:tcW w:w="3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Gammarus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sp.</w:t>
            </w:r>
          </w:p>
        </w:tc>
        <w:tc>
          <w:tcPr>
            <w:tcW w:w="37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Zander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Spring</w:t>
            </w:r>
          </w:p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Mean ± SE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Summer</w:t>
            </w:r>
          </w:p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Mean ± SE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Autumn</w:t>
            </w:r>
          </w:p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Mean ± SE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Winter</w:t>
            </w:r>
          </w:p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Mean ± SE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Spring</w:t>
            </w:r>
          </w:p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Mean ± SE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Summer</w:t>
            </w:r>
          </w:p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Mean ± SE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Autumn</w:t>
            </w:r>
          </w:p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Mean ± SE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Winter</w:t>
            </w:r>
          </w:p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Mean ± SE</w:t>
            </w:r>
          </w:p>
        </w:tc>
      </w:tr>
      <w:tr w:rsidR="0021001F" w:rsidTr="0021001F">
        <w:tc>
          <w:tcPr>
            <w:tcW w:w="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Pb</w:t>
            </w:r>
            <w:proofErr w:type="spellEnd"/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0.51 ± 0.02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0.51 ± 0.03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0.56 ± 0.02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0.49 ± 0.02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0.51 ± .02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0.72 ± 0.05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0.84 ± 0.04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0.70 ± 0.03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0.51 ± 0.14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0.45 ± 0.12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0.49 ± 0.12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0.50 ± 0.08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0.51 ± 0.14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0.63 ± 0.14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0.75 ± 0.16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0.77 ± 0.09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0.62 ± 0.98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0.66 ± 0.09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0.61 ± 0.10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0.63 ± 0.13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0.62 ± 0.10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0.93 ± 0.08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0.81 ± 0.07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0.89 ± 0.12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0.40 ± 0.03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0.46 ± 0.04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0.50 ± 0.06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0.62 ± 0.07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0.50 ± 0.07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0.65 ± 0.04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0.75 ± 0.07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0.84 ± 0.06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 (p)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1.01 (0.421)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1.53 (0.257)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0.49 (0.695)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0.80 (0.518)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0.37 (0.776)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2.83 (0.083)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0.20 (0.895)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1.03 (0.412)</w:t>
            </w:r>
          </w:p>
        </w:tc>
      </w:tr>
      <w:tr w:rsidR="0021001F" w:rsidTr="0021001F">
        <w:tc>
          <w:tcPr>
            <w:tcW w:w="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Cd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0.59 ± 0.03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0.44 ± 0.04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0.37 ± 0.03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0.35 ± 0.03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0.83 ± 0.05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0.77 ± 0.04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0.64 ± 0.09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0.50 ± 0.03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0.79 ± 0.02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0.84 ± 0.03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0.84 ± 0.01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0.83 ± 0.01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0.93 ± 0.05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1.10 ± 0.07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1.03 ± 0.06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1.02 ± 0.03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0.43 ± 0.04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0.27 ± 0.02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0.49 ± 0.04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0.50 ± 0.05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0.73 ± 0.05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0.42 ± 0.03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0.66 ± 0.07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0.68 ± 0.05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0.42 ± 0.08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0.22 ± 0.01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0.29 ± 0.04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0.37 ± 0.04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0.69 ± 0.10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0.36 ± 0.03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0.44 ± 0.06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0.44 ± 0.03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 (p)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12.17 (0.001)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111.05 (&lt;0.0001)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48.41 (&lt;0.0001)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38.50 (&lt;0.0001)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2.68 (0.094)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53.91 (&lt;0.0001)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11.95 (0.001)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55.84 (&lt;0.0001)</w:t>
            </w:r>
          </w:p>
        </w:tc>
      </w:tr>
      <w:tr w:rsidR="0021001F" w:rsidTr="0021001F">
        <w:tc>
          <w:tcPr>
            <w:tcW w:w="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Cu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0.32 ± 0.03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0.37 ± 0.06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0.34 ± 0.03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0.44 ± 0.05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0.48 ± 0.04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0.61 ± 0.04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0.54 ± 0.03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0.69 ± 0.05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0.51 ± 0.15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0.54 ± 0.15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0.52 ± 0.17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0.63 ± 0.10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0.71 ± 0.17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0.75 ± 0.14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0.69 ± 0.15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0.88 ± 0.05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0.62 ± 0.09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0.67 ± 0.11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0.55 ± 0.08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0.61 ± 0.10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0.87 ± 0.12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0.85 ± 0.07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0.67 ± 0.07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0.78 ± 0.15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0.35 ± 0.05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0.43 ± 0.03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0.37 ± 0.04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0.35 ± 0.02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0.55 ± 0.04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0.64 ± 0.04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0.54 ± 0.05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0.54 ± 0.01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 (p)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2.46 (0.113)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1.74 (0.212)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1.14 (0.371)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3.10 (0.067)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2.68 (0.094)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1.67 (0.226)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0.93 (0.454)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2.92 (0.077)</w:t>
            </w:r>
          </w:p>
        </w:tc>
      </w:tr>
      <w:tr w:rsidR="0021001F" w:rsidTr="0021001F">
        <w:tc>
          <w:tcPr>
            <w:tcW w:w="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As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0.49 ± 0.03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0.44 ± 0.04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0.40 ± 0.03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0.47 ± 0.02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0.79 ± 0.06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0.64 ± 0.05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0.58 ± 0.05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0.73 ± 0.06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0.71 ± 0.13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0.96 ± 0.06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0.84 ± 0.10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0.74 ± 0.11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0.97 ± 0.11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1.25 ± 0.23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1.10 ± 0.09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0.97 ± 0.05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St3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0.75 ± 0.11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0.54 ± 0.09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0.58 ± 0.08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0.58 ± 0.05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1.16 ± 0.23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0.81 ± 0.07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0.84 ± 0.09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0.78 ± 0.04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St4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0.48 ± 0.05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0.48 ± 0.04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0.47 ± 0.04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0.45 ± 0.05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0.71 ± 0.06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0.69 ± 0.06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0.78 ± 0.08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0.66 ± 0.05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 (p)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2.55 (0.105)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16.25 (&lt;0.0001)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7.46 (0.004)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3.94 (0.036)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2.25 (0.135)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4.72 (0.021)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7.04 (0.006)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7.40 (0.005)</w:t>
            </w:r>
          </w:p>
        </w:tc>
      </w:tr>
    </w:tbl>
    <w:p w:rsidR="0021001F" w:rsidRDefault="0021001F" w:rsidP="0021001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1001F" w:rsidRDefault="0021001F" w:rsidP="0021001F">
      <w:pPr>
        <w:autoSpaceDE w:val="0"/>
        <w:autoSpaceDN w:val="0"/>
        <w:adjustRightInd w:val="0"/>
        <w:spacing w:after="0" w:line="360" w:lineRule="auto"/>
        <w:ind w:left="426"/>
        <w:jc w:val="lowKashida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Table 3. Comparison of </w:t>
      </w:r>
      <w:proofErr w:type="spellStart"/>
      <w:r>
        <w:rPr>
          <w:rFonts w:asciiTheme="majorBidi" w:hAnsiTheme="majorBidi" w:cstheme="majorBidi"/>
          <w:sz w:val="20"/>
          <w:szCs w:val="20"/>
        </w:rPr>
        <w:t>Pb</w:t>
      </w:r>
      <w:proofErr w:type="spellEnd"/>
      <w:r>
        <w:rPr>
          <w:rFonts w:asciiTheme="majorBidi" w:hAnsiTheme="majorBidi" w:cstheme="majorBidi"/>
          <w:sz w:val="20"/>
          <w:szCs w:val="20"/>
        </w:rPr>
        <w:t xml:space="preserve">, Cd, Cu, and Zn concentrations between fish and </w:t>
      </w:r>
      <w:proofErr w:type="spellStart"/>
      <w:r>
        <w:rPr>
          <w:rFonts w:asciiTheme="majorBidi" w:hAnsiTheme="majorBidi" w:cstheme="majorBidi"/>
          <w:i/>
          <w:iCs/>
          <w:sz w:val="20"/>
          <w:szCs w:val="20"/>
        </w:rPr>
        <w:t>Gammarus</w:t>
      </w:r>
      <w:proofErr w:type="spellEnd"/>
      <w:r>
        <w:rPr>
          <w:rFonts w:asciiTheme="majorBidi" w:hAnsiTheme="majorBidi" w:cstheme="majorBidi"/>
          <w:sz w:val="20"/>
          <w:szCs w:val="20"/>
        </w:rPr>
        <w:t xml:space="preserve"> sp. body by season and station. S: significant; NS: not significant.</w:t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1240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7"/>
        <w:gridCol w:w="487"/>
        <w:gridCol w:w="487"/>
        <w:gridCol w:w="483"/>
      </w:tblGrid>
      <w:tr w:rsidR="0021001F" w:rsidTr="0021001F">
        <w:tc>
          <w:tcPr>
            <w:tcW w:w="6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>Heavy metal</w:t>
            </w:r>
          </w:p>
        </w:tc>
        <w:tc>
          <w:tcPr>
            <w:tcW w:w="10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Spring</w:t>
            </w:r>
          </w:p>
        </w:tc>
        <w:tc>
          <w:tcPr>
            <w:tcW w:w="10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Summer</w:t>
            </w:r>
          </w:p>
        </w:tc>
        <w:tc>
          <w:tcPr>
            <w:tcW w:w="10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Autumn</w:t>
            </w:r>
          </w:p>
        </w:tc>
        <w:tc>
          <w:tcPr>
            <w:tcW w:w="10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Winter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St1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St2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St3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St4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St1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St2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St3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St4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St1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St2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St3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St4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St1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St2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St3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St4</w:t>
            </w:r>
          </w:p>
        </w:tc>
      </w:tr>
      <w:tr w:rsidR="0021001F" w:rsidTr="0021001F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Pb</w:t>
            </w:r>
            <w:proofErr w:type="spellEnd"/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</w:tr>
      <w:tr w:rsidR="0021001F" w:rsidTr="0021001F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Cd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</w:tr>
      <w:tr w:rsidR="0021001F" w:rsidTr="0021001F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Cu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</w:tr>
      <w:tr w:rsidR="0021001F" w:rsidTr="0021001F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As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</w:t>
            </w:r>
          </w:p>
        </w:tc>
      </w:tr>
    </w:tbl>
    <w:p w:rsidR="0021001F" w:rsidRDefault="0021001F" w:rsidP="0021001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1001F" w:rsidRDefault="0021001F" w:rsidP="0021001F">
      <w:pPr>
        <w:rPr>
          <w:rFonts w:asciiTheme="majorBidi" w:hAnsiTheme="majorBidi" w:cstheme="majorBid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0"/>
        <w:gridCol w:w="1118"/>
        <w:gridCol w:w="921"/>
        <w:gridCol w:w="1118"/>
        <w:gridCol w:w="921"/>
        <w:gridCol w:w="1118"/>
        <w:gridCol w:w="941"/>
        <w:gridCol w:w="1118"/>
        <w:gridCol w:w="921"/>
      </w:tblGrid>
      <w:tr w:rsidR="0021001F" w:rsidTr="0021001F">
        <w:trPr>
          <w:trHeight w:val="470"/>
        </w:trPr>
        <w:tc>
          <w:tcPr>
            <w:tcW w:w="0" w:type="auto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Table 4. Comparison of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Pb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, Cd, Cu, and As concentration between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Gammarus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sp. and Zander.</w:t>
            </w:r>
          </w:p>
        </w:tc>
      </w:tr>
      <w:tr w:rsidR="0021001F" w:rsidTr="0021001F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Pb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Cu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As</w:t>
            </w:r>
          </w:p>
        </w:tc>
      </w:tr>
      <w:tr w:rsidR="0021001F" w:rsidTr="002100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Gammarus</w:t>
            </w:r>
            <w:proofErr w:type="spellEnd"/>
            <w:r>
              <w:rPr>
                <w:rFonts w:asciiTheme="majorBidi" w:hAnsiTheme="majorBidi" w:cstheme="majorBidi"/>
                <w:sz w:val="18"/>
                <w:szCs w:val="18"/>
              </w:rPr>
              <w:t xml:space="preserve"> sp.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Zander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Gammarus</w:t>
            </w:r>
            <w:proofErr w:type="spellEnd"/>
            <w:r>
              <w:rPr>
                <w:rFonts w:asciiTheme="majorBidi" w:hAnsiTheme="majorBidi" w:cstheme="majorBidi"/>
                <w:sz w:val="18"/>
                <w:szCs w:val="18"/>
              </w:rPr>
              <w:t xml:space="preserve"> sp.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Zander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Gammarus</w:t>
            </w:r>
            <w:proofErr w:type="spellEnd"/>
            <w:r>
              <w:rPr>
                <w:rFonts w:asciiTheme="majorBidi" w:hAnsiTheme="majorBidi" w:cstheme="majorBidi"/>
                <w:sz w:val="18"/>
                <w:szCs w:val="18"/>
              </w:rPr>
              <w:t xml:space="preserve"> sp.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Zander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Gammarus</w:t>
            </w:r>
            <w:proofErr w:type="spellEnd"/>
            <w:r>
              <w:rPr>
                <w:rFonts w:asciiTheme="majorBidi" w:hAnsiTheme="majorBidi" w:cstheme="majorBidi"/>
                <w:sz w:val="18"/>
                <w:szCs w:val="18"/>
              </w:rPr>
              <w:t xml:space="preserve"> sp.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Zander</w:t>
            </w:r>
          </w:p>
        </w:tc>
      </w:tr>
      <w:tr w:rsidR="0021001F" w:rsidTr="002100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Mean ± 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0.50 ± 0.03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0.70 ± 0.03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0.53 ± 0.02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0.71 ± 0.03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0.48 ± 0.02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 67 ± 0.03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0.59 ± 0.03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0.84 ± 0.03</w:t>
            </w:r>
          </w:p>
        </w:tc>
      </w:tr>
      <w:tr w:rsidR="0021001F" w:rsidTr="002100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-4.395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-5.237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-5.497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-6.040</w:t>
            </w:r>
          </w:p>
        </w:tc>
      </w:tr>
      <w:tr w:rsidR="0021001F" w:rsidTr="002100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&lt;0.0005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&lt;0.0005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&lt;0.0005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&lt;0.0005</w:t>
            </w:r>
          </w:p>
        </w:tc>
      </w:tr>
    </w:tbl>
    <w:p w:rsidR="0021001F" w:rsidRDefault="0021001F" w:rsidP="0021001F">
      <w:pPr>
        <w:rPr>
          <w:rFonts w:asciiTheme="majorBidi" w:hAnsiTheme="majorBidi" w:cstheme="majorBidi"/>
        </w:rPr>
      </w:pPr>
    </w:p>
    <w:p w:rsidR="0021001F" w:rsidRDefault="0021001F" w:rsidP="0021001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color w:val="000000"/>
          <w:sz w:val="24"/>
          <w:szCs w:val="24"/>
          <w:lang w:bidi="fa-IR"/>
        </w:rPr>
      </w:pPr>
    </w:p>
    <w:p w:rsidR="0021001F" w:rsidRDefault="0021001F" w:rsidP="0021001F">
      <w:pPr>
        <w:autoSpaceDE w:val="0"/>
        <w:autoSpaceDN w:val="0"/>
        <w:adjustRightInd w:val="0"/>
        <w:spacing w:after="0" w:line="360" w:lineRule="auto"/>
        <w:jc w:val="lowKashida"/>
        <w:rPr>
          <w:rFonts w:ascii="Times New Roman" w:hAnsi="Times New Roman" w:cs="Times New Roman"/>
          <w:color w:val="000000" w:themeColor="text1"/>
          <w:sz w:val="20"/>
          <w:szCs w:val="20"/>
          <w:lang w:bidi="fa-I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32"/>
        <w:gridCol w:w="1121"/>
        <w:gridCol w:w="987"/>
        <w:gridCol w:w="738"/>
        <w:gridCol w:w="973"/>
        <w:gridCol w:w="909"/>
        <w:gridCol w:w="2166"/>
      </w:tblGrid>
      <w:tr w:rsidR="0021001F" w:rsidTr="0021001F">
        <w:tc>
          <w:tcPr>
            <w:tcW w:w="935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Table 5.  Comparison of heavy metals concentration 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μg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bidi="fa-IR"/>
              </w:rPr>
              <w:t>/g) in muscle of zander in this study with different standards and other studies worldwide.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Standards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Fish species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Cd 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As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Pb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Cu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References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FAO/WHO limits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  <w:highlight w:val="yellow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(FAO/WHO 2003)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European commission (EC)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 w:rsidP="00B948C5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(EC 200</w:t>
            </w:r>
            <w:r w:rsidR="00B948C5">
              <w:rPr>
                <w:rFonts w:asciiTheme="majorBidi" w:hAnsiTheme="majorBidi" w:cstheme="majorBidi"/>
                <w:sz w:val="16"/>
                <w:szCs w:val="16"/>
              </w:rPr>
              <w:t>6</w:t>
            </w:r>
            <w:bookmarkStart w:id="0" w:name="_GoBack"/>
            <w:bookmarkEnd w:id="0"/>
            <w:r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CODEX 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(CODEX STAN 1995)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Kayseri, Turkey</w:t>
            </w:r>
          </w:p>
        </w:tc>
        <w:tc>
          <w:tcPr>
            <w:tcW w:w="11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lucioperca</w:t>
            </w:r>
            <w:proofErr w:type="spellEnd"/>
          </w:p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2.52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˂0.03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Yildirim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et al. 2009)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Danube River, Serbia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0.66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Subotić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et al. 2013)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Beyşehir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Lake, Turkey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2.17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1.62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1.38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Özparlak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et al. 2012)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Beyşehir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Lake, Turkey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0.643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0.678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Altındağ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Yiğit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2005)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Caspian Sea, Iran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Alipour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 and 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Banagar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2018)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Velenjsko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jezero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>, Slovenia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˂0.01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0.03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Mazej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et al. 2010)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Hirfanlı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dam, Turkey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0.25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0.4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Gül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et al. 2011)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Sidi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Salem, Tunisia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0.171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0.046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Khemis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et al. 2017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Rhône, 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Escault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&amp; Seine, France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0.119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(Noël et al.  2013)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Novosibirsk res. &amp; 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Ob’River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>, Russia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0.003–0.01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0.007–0.42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0.23-3.3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(Popov et al. 2012)</w:t>
            </w:r>
          </w:p>
        </w:tc>
      </w:tr>
      <w:tr w:rsidR="0021001F" w:rsidTr="0021001F"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Aras river, Iran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01F" w:rsidRDefault="0021001F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0.838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0.67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Peresnt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Study</w:t>
            </w:r>
          </w:p>
        </w:tc>
      </w:tr>
    </w:tbl>
    <w:p w:rsidR="0021001F" w:rsidRDefault="0021001F" w:rsidP="0021001F">
      <w:pPr>
        <w:tabs>
          <w:tab w:val="left" w:pos="9223"/>
        </w:tabs>
        <w:spacing w:line="360" w:lineRule="auto"/>
        <w:ind w:left="142"/>
        <w:jc w:val="both"/>
        <w:rPr>
          <w:rFonts w:asciiTheme="majorBidi" w:hAnsiTheme="majorBidi" w:cstheme="majorBidi"/>
          <w:sz w:val="16"/>
          <w:szCs w:val="16"/>
        </w:rPr>
      </w:pPr>
    </w:p>
    <w:p w:rsidR="0021001F" w:rsidRDefault="0021001F" w:rsidP="0021001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sz w:val="24"/>
          <w:szCs w:val="24"/>
          <w:lang w:bidi="fa-IR"/>
        </w:rPr>
      </w:pPr>
    </w:p>
    <w:p w:rsidR="0021001F" w:rsidRDefault="0021001F" w:rsidP="0021001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sz w:val="20"/>
          <w:szCs w:val="20"/>
          <w:lang w:bidi="fa-IR"/>
        </w:rPr>
      </w:pPr>
    </w:p>
    <w:p w:rsidR="0021001F" w:rsidRDefault="0021001F" w:rsidP="0021001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sz w:val="20"/>
          <w:szCs w:val="20"/>
          <w:lang w:bidi="fa-IR"/>
        </w:rPr>
      </w:pPr>
    </w:p>
    <w:p w:rsidR="0021001F" w:rsidRPr="0021001F" w:rsidRDefault="0021001F" w:rsidP="0021001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sz w:val="20"/>
          <w:szCs w:val="20"/>
          <w:lang w:bidi="fa-IR"/>
        </w:rPr>
      </w:pPr>
    </w:p>
    <w:tbl>
      <w:tblPr>
        <w:tblStyle w:val="GridTable1Light"/>
        <w:tblW w:w="5000" w:type="pct"/>
        <w:tblLook w:val="04A0" w:firstRow="1" w:lastRow="0" w:firstColumn="1" w:lastColumn="0" w:noHBand="0" w:noVBand="1"/>
      </w:tblPr>
      <w:tblGrid>
        <w:gridCol w:w="950"/>
        <w:gridCol w:w="986"/>
        <w:gridCol w:w="989"/>
        <w:gridCol w:w="995"/>
        <w:gridCol w:w="1087"/>
        <w:gridCol w:w="1013"/>
        <w:gridCol w:w="1087"/>
        <w:gridCol w:w="1013"/>
        <w:gridCol w:w="906"/>
      </w:tblGrid>
      <w:tr w:rsidR="0021001F" w:rsidRPr="0021001F" w:rsidTr="002100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9"/>
            <w:tcBorders>
              <w:top w:val="nil"/>
              <w:left w:val="nil"/>
              <w:right w:val="nil"/>
            </w:tcBorders>
            <w:hideMark/>
          </w:tcPr>
          <w:p w:rsidR="0021001F" w:rsidRP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fa-IR"/>
              </w:rPr>
            </w:pPr>
            <w:r w:rsidRPr="0021001F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  <w:lastRenderedPageBreak/>
              <w:t>Table 6.  Values of target hazard quotient (THQ), total target hazard quotient (TTHQ), and lifetime cancer risk (CR) calculated for zander. Blue highlighted values exceed recommendations.</w:t>
            </w:r>
          </w:p>
        </w:tc>
      </w:tr>
      <w:tr w:rsidR="0021001F" w:rsidTr="002100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Station</w:t>
            </w:r>
          </w:p>
        </w:tc>
        <w:tc>
          <w:tcPr>
            <w:tcW w:w="54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THQ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As</w:t>
            </w:r>
          </w:p>
        </w:tc>
        <w:tc>
          <w:tcPr>
            <w:tcW w:w="5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TR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AS</w:t>
            </w:r>
          </w:p>
        </w:tc>
        <w:tc>
          <w:tcPr>
            <w:tcW w:w="55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THQ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Pb</w:t>
            </w:r>
            <w:proofErr w:type="spellEnd"/>
          </w:p>
        </w:tc>
        <w:tc>
          <w:tcPr>
            <w:tcW w:w="60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TR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Pb</w:t>
            </w:r>
            <w:proofErr w:type="spellEnd"/>
          </w:p>
        </w:tc>
        <w:tc>
          <w:tcPr>
            <w:tcW w:w="56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THQ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Cd</w:t>
            </w:r>
            <w:proofErr w:type="spellEnd"/>
          </w:p>
        </w:tc>
        <w:tc>
          <w:tcPr>
            <w:tcW w:w="60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TR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cd</w:t>
            </w:r>
            <w:proofErr w:type="spellEnd"/>
          </w:p>
        </w:tc>
        <w:tc>
          <w:tcPr>
            <w:tcW w:w="56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THQ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bidi="fa-IR"/>
              </w:rPr>
              <w:t>Cu</w:t>
            </w:r>
            <w:proofErr w:type="spellEnd"/>
          </w:p>
        </w:tc>
        <w:tc>
          <w:tcPr>
            <w:tcW w:w="50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TTHQ</w:t>
            </w:r>
          </w:p>
        </w:tc>
      </w:tr>
      <w:tr w:rsidR="0021001F" w:rsidTr="002100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ST1</w:t>
            </w:r>
          </w:p>
        </w:tc>
        <w:tc>
          <w:tcPr>
            <w:tcW w:w="54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  <w:t>1.17</w:t>
            </w:r>
          </w:p>
        </w:tc>
        <w:tc>
          <w:tcPr>
            <w:tcW w:w="5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5.2×10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fa-IR"/>
              </w:rPr>
              <w:t>-4</w:t>
            </w:r>
          </w:p>
        </w:tc>
        <w:tc>
          <w:tcPr>
            <w:tcW w:w="55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0.08</w:t>
            </w:r>
          </w:p>
        </w:tc>
        <w:tc>
          <w:tcPr>
            <w:tcW w:w="60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3.15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×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  <w:lang w:bidi="fa-IR"/>
              </w:rPr>
              <w:t>-6</w:t>
            </w:r>
          </w:p>
        </w:tc>
        <w:tc>
          <w:tcPr>
            <w:tcW w:w="56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0.35</w:t>
            </w:r>
          </w:p>
        </w:tc>
        <w:tc>
          <w:tcPr>
            <w:tcW w:w="60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2.3×10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fa-IR"/>
              </w:rPr>
              <w:t>-3</w:t>
            </w:r>
          </w:p>
        </w:tc>
        <w:tc>
          <w:tcPr>
            <w:tcW w:w="56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</w:t>
            </w:r>
          </w:p>
        </w:tc>
        <w:tc>
          <w:tcPr>
            <w:tcW w:w="50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1.6</w:t>
            </w:r>
          </w:p>
        </w:tc>
      </w:tr>
      <w:tr w:rsidR="0021001F" w:rsidTr="002100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ST2</w:t>
            </w:r>
          </w:p>
        </w:tc>
        <w:tc>
          <w:tcPr>
            <w:tcW w:w="54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  <w:t>1.83</w:t>
            </w:r>
          </w:p>
        </w:tc>
        <w:tc>
          <w:tcPr>
            <w:tcW w:w="5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8.2×10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fa-IR"/>
              </w:rPr>
              <w:t>-4</w:t>
            </w:r>
          </w:p>
        </w:tc>
        <w:tc>
          <w:tcPr>
            <w:tcW w:w="55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0.08</w:t>
            </w:r>
          </w:p>
        </w:tc>
        <w:tc>
          <w:tcPr>
            <w:tcW w:w="60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3.01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×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  <w:lang w:bidi="fa-IR"/>
              </w:rPr>
              <w:t>-6</w:t>
            </w:r>
          </w:p>
        </w:tc>
        <w:tc>
          <w:tcPr>
            <w:tcW w:w="56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0.52</w:t>
            </w:r>
          </w:p>
        </w:tc>
        <w:tc>
          <w:tcPr>
            <w:tcW w:w="60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3.4×10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fa-IR"/>
              </w:rPr>
              <w:t>-3</w:t>
            </w:r>
          </w:p>
        </w:tc>
        <w:tc>
          <w:tcPr>
            <w:tcW w:w="56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</w:t>
            </w:r>
          </w:p>
        </w:tc>
        <w:tc>
          <w:tcPr>
            <w:tcW w:w="50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2.43</w:t>
            </w:r>
          </w:p>
        </w:tc>
      </w:tr>
      <w:tr w:rsidR="0021001F" w:rsidTr="002100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ST3</w:t>
            </w:r>
          </w:p>
        </w:tc>
        <w:tc>
          <w:tcPr>
            <w:tcW w:w="54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  <w:t>1.52</w:t>
            </w:r>
          </w:p>
        </w:tc>
        <w:tc>
          <w:tcPr>
            <w:tcW w:w="5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6.8×10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fa-IR"/>
              </w:rPr>
              <w:t>-4</w:t>
            </w:r>
          </w:p>
        </w:tc>
        <w:tc>
          <w:tcPr>
            <w:tcW w:w="55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</w:t>
            </w:r>
          </w:p>
        </w:tc>
        <w:tc>
          <w:tcPr>
            <w:tcW w:w="60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3.54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×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  <w:lang w:bidi="fa-IR"/>
              </w:rPr>
              <w:t>-6</w:t>
            </w:r>
          </w:p>
        </w:tc>
        <w:tc>
          <w:tcPr>
            <w:tcW w:w="56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0.31</w:t>
            </w:r>
          </w:p>
        </w:tc>
        <w:tc>
          <w:tcPr>
            <w:tcW w:w="60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2.09×10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fa-IR"/>
              </w:rPr>
              <w:t>-3</w:t>
            </w:r>
          </w:p>
        </w:tc>
        <w:tc>
          <w:tcPr>
            <w:tcW w:w="56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0.01</w:t>
            </w:r>
          </w:p>
        </w:tc>
        <w:tc>
          <w:tcPr>
            <w:tcW w:w="50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1.94</w:t>
            </w:r>
          </w:p>
        </w:tc>
      </w:tr>
      <w:tr w:rsidR="0021001F" w:rsidTr="002100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ST4</w:t>
            </w:r>
          </w:p>
        </w:tc>
        <w:tc>
          <w:tcPr>
            <w:tcW w:w="54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  <w:t>1.21</w:t>
            </w:r>
          </w:p>
        </w:tc>
        <w:tc>
          <w:tcPr>
            <w:tcW w:w="5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5.4×10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fa-IR"/>
              </w:rPr>
              <w:t>-4</w:t>
            </w:r>
          </w:p>
        </w:tc>
        <w:tc>
          <w:tcPr>
            <w:tcW w:w="55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0.08</w:t>
            </w:r>
          </w:p>
        </w:tc>
        <w:tc>
          <w:tcPr>
            <w:tcW w:w="60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3.10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×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  <w:lang w:bidi="fa-IR"/>
              </w:rPr>
              <w:t>-6</w:t>
            </w:r>
          </w:p>
        </w:tc>
        <w:tc>
          <w:tcPr>
            <w:tcW w:w="56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0.24</w:t>
            </w:r>
          </w:p>
        </w:tc>
        <w:tc>
          <w:tcPr>
            <w:tcW w:w="60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1.62×10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fa-IR"/>
              </w:rPr>
              <w:t>-3</w:t>
            </w:r>
          </w:p>
        </w:tc>
        <w:tc>
          <w:tcPr>
            <w:tcW w:w="56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</w:t>
            </w:r>
          </w:p>
        </w:tc>
        <w:tc>
          <w:tcPr>
            <w:tcW w:w="50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21001F" w:rsidRDefault="0021001F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1.53</w:t>
            </w:r>
          </w:p>
        </w:tc>
      </w:tr>
      <w:tr w:rsidR="00313003" w:rsidTr="002100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13003" w:rsidRDefault="00313003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Average</w:t>
            </w:r>
          </w:p>
        </w:tc>
        <w:tc>
          <w:tcPr>
            <w:tcW w:w="54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</w:tcPr>
          <w:p w:rsidR="00313003" w:rsidRDefault="00313003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  <w:t>1.43</w:t>
            </w:r>
          </w:p>
        </w:tc>
        <w:tc>
          <w:tcPr>
            <w:tcW w:w="5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</w:tcPr>
          <w:p w:rsidR="00313003" w:rsidRDefault="00313003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6.4×10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fa-IR"/>
              </w:rPr>
              <w:t>-4</w:t>
            </w:r>
          </w:p>
        </w:tc>
        <w:tc>
          <w:tcPr>
            <w:tcW w:w="55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13003" w:rsidRDefault="00703EEC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0.085</w:t>
            </w:r>
          </w:p>
        </w:tc>
        <w:tc>
          <w:tcPr>
            <w:tcW w:w="60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13003" w:rsidRDefault="00703EEC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3.2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×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  <w:lang w:bidi="fa-IR"/>
              </w:rPr>
              <w:t>-6</w:t>
            </w:r>
          </w:p>
        </w:tc>
        <w:tc>
          <w:tcPr>
            <w:tcW w:w="56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13003" w:rsidRDefault="00005154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0.35</w:t>
            </w:r>
          </w:p>
        </w:tc>
        <w:tc>
          <w:tcPr>
            <w:tcW w:w="60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BDD6EE" w:themeFill="accent1" w:themeFillTint="66"/>
          </w:tcPr>
          <w:p w:rsidR="00313003" w:rsidRDefault="00005154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2.35×10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fa-IR"/>
              </w:rPr>
              <w:t>-3</w:t>
            </w:r>
          </w:p>
        </w:tc>
        <w:tc>
          <w:tcPr>
            <w:tcW w:w="56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13003" w:rsidRDefault="00005154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0.002</w:t>
            </w:r>
          </w:p>
        </w:tc>
        <w:tc>
          <w:tcPr>
            <w:tcW w:w="50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13003" w:rsidRDefault="00005154">
            <w:pPr>
              <w:autoSpaceDE w:val="0"/>
              <w:autoSpaceDN w:val="0"/>
              <w:adjustRightInd w:val="0"/>
              <w:spacing w:after="0"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1.87</w:t>
            </w:r>
          </w:p>
        </w:tc>
      </w:tr>
    </w:tbl>
    <w:p w:rsidR="0021001F" w:rsidRDefault="0021001F" w:rsidP="0021001F">
      <w:pPr>
        <w:tabs>
          <w:tab w:val="left" w:pos="9223"/>
        </w:tabs>
        <w:spacing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:rsidR="0021001F" w:rsidRPr="0021001F" w:rsidRDefault="0021001F" w:rsidP="0021001F"/>
    <w:sectPr w:rsidR="0021001F" w:rsidRPr="0021001F" w:rsidSect="00F51275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B11"/>
    <w:rsid w:val="00005154"/>
    <w:rsid w:val="00201492"/>
    <w:rsid w:val="0021001F"/>
    <w:rsid w:val="00313003"/>
    <w:rsid w:val="00405D52"/>
    <w:rsid w:val="00443AA0"/>
    <w:rsid w:val="00476DE5"/>
    <w:rsid w:val="00687B11"/>
    <w:rsid w:val="00703EEC"/>
    <w:rsid w:val="00B948C5"/>
    <w:rsid w:val="00BA4D03"/>
    <w:rsid w:val="00C13FEC"/>
    <w:rsid w:val="00D317DF"/>
    <w:rsid w:val="00F5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8139C04"/>
  <w15:chartTrackingRefBased/>
  <w15:docId w15:val="{798CBDAA-BBC9-4E20-B441-ED49F1DE3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3AA0"/>
    <w:pPr>
      <w:spacing w:after="200" w:line="276" w:lineRule="auto"/>
    </w:pPr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3AA0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443AA0"/>
    <w:pPr>
      <w:spacing w:after="0" w:line="240" w:lineRule="auto"/>
    </w:pPr>
    <w:rPr>
      <w:rFonts w:ascii="Times New Roman" w:hAnsi="Times New Roman" w:cs="B Lotus"/>
      <w:sz w:val="24"/>
      <w:szCs w:val="28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443AA0"/>
    <w:pPr>
      <w:spacing w:after="0" w:line="240" w:lineRule="auto"/>
    </w:pPr>
    <w:rPr>
      <w:lang w:bidi="ar-S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6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7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8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787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Gerdoo.net</Company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2021-01-20T15:45:00Z</dcterms:created>
  <dcterms:modified xsi:type="dcterms:W3CDTF">2021-03-03T04:04:00Z</dcterms:modified>
</cp:coreProperties>
</file>