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Supplemental Data</w:t>
      </w:r>
    </w:p>
    <w:p>
      <w:pPr>
        <w:autoSpaceDE w:val="0"/>
        <w:autoSpaceDN w:val="0"/>
        <w:spacing w:after="0" w:line="360" w:lineRule="auto"/>
        <w:ind w:left="720" w:hanging="720"/>
        <w:rPr>
          <w:rFonts w:ascii="Times New Roman" w:hAnsi="Times New Roman" w:eastAsia="黑体"/>
          <w:b/>
          <w:sz w:val="21"/>
          <w:szCs w:val="21"/>
        </w:rPr>
      </w:pPr>
      <w:r>
        <w:rPr>
          <w:rFonts w:ascii="Times New Roman" w:hAnsi="Times New Roman" w:eastAsia="黑体"/>
          <w:b/>
          <w:sz w:val="21"/>
          <w:szCs w:val="21"/>
        </w:rPr>
        <w:t xml:space="preserve">Table S1. </w:t>
      </w:r>
      <w:r>
        <w:rPr>
          <w:rFonts w:ascii="Times New Roman" w:hAnsi="Times New Roman" w:eastAsia="黑体"/>
          <w:sz w:val="21"/>
          <w:szCs w:val="21"/>
        </w:rPr>
        <w:t>Bacterial strains and plasmids used in this study.</w:t>
      </w:r>
    </w:p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9"/>
        <w:gridCol w:w="4777"/>
        <w:gridCol w:w="14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Strains or plasmids</w:t>
            </w:r>
          </w:p>
        </w:tc>
        <w:tc>
          <w:tcPr>
            <w:tcW w:w="2739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Relevant genotype description</w:t>
            </w:r>
          </w:p>
        </w:tc>
        <w:tc>
          <w:tcPr>
            <w:tcW w:w="83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References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3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Strains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3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i/>
                <w:sz w:val="15"/>
                <w:szCs w:val="15"/>
              </w:rPr>
              <w:t>Corynebacterium glutamicum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RES167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Restriction-deficient mutant of ATCC13032, Δ(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cglIM-cglIR-cglIIR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color w:val="00B0F0"/>
                <w:sz w:val="15"/>
                <w:szCs w:val="15"/>
              </w:rPr>
            </w:pPr>
            <w:r>
              <w:rPr>
                <w:rFonts w:ascii="Times New Roman" w:hAnsi="Times New Roman"/>
                <w:color w:val="auto"/>
                <w:sz w:val="15"/>
                <w:szCs w:val="15"/>
              </w:rPr>
              <w:t>Tauch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 xml:space="preserve">,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Δ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cgahp </w:t>
            </w:r>
            <w:r>
              <w:rPr>
                <w:rFonts w:ascii="Times New Roman" w:hAnsi="Times New Roman"/>
                <w:sz w:val="15"/>
                <w:szCs w:val="15"/>
              </w:rPr>
              <w:t>deleted in RES167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Δ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(pXMJ19)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  <w:r>
              <w:rPr>
                <w:rFonts w:ascii="Times New Roman" w:hAnsi="Times New Roman" w:eastAsia="宋体"/>
                <w:sz w:val="15"/>
                <w:szCs w:val="15"/>
              </w:rPr>
              <w:t>Δ</w:t>
            </w:r>
            <w:r>
              <w:rPr>
                <w:rFonts w:ascii="Times New Roman" w:hAnsi="Times New Roman" w:eastAsia="宋体"/>
                <w:i/>
                <w:sz w:val="15"/>
                <w:szCs w:val="15"/>
              </w:rPr>
              <w:t>cgah</w:t>
            </w:r>
            <w:r>
              <w:rPr>
                <w:rFonts w:hint="eastAsia" w:ascii="Times New Roman" w:hAnsi="Times New Roman" w:eastAsia="宋体"/>
                <w:i/>
                <w:sz w:val="15"/>
                <w:szCs w:val="15"/>
                <w:lang w:val="en-US" w:eastAsia="zh-CN"/>
              </w:rPr>
              <w:t>p</w:t>
            </w:r>
            <w:r>
              <w:rPr>
                <w:rFonts w:ascii="Times New Roman" w:hAnsi="Times New Roman" w:eastAsia="宋体"/>
                <w:i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eastAsia="宋体"/>
                <w:sz w:val="15"/>
                <w:szCs w:val="15"/>
              </w:rPr>
              <w:t>containing pXMJ19 vector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Δ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(pXMJ19-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)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 w:eastAsia="宋体"/>
                <w:sz w:val="15"/>
                <w:szCs w:val="15"/>
              </w:rPr>
            </w:pPr>
            <w:r>
              <w:rPr>
                <w:rFonts w:ascii="Times New Roman" w:hAnsi="Times New Roman" w:eastAsia="宋体"/>
                <w:sz w:val="15"/>
                <w:szCs w:val="15"/>
              </w:rPr>
              <w:t>Complementation of</w:t>
            </w:r>
            <w:r>
              <w:rPr>
                <w:rFonts w:ascii="Times New Roman" w:hAnsi="Times New Roman" w:eastAsia="宋体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eastAsia="宋体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 w:eastAsia="宋体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eastAsia="宋体"/>
                <w:sz w:val="15"/>
                <w:szCs w:val="15"/>
              </w:rPr>
              <w:t>in Δ</w:t>
            </w:r>
            <w:r>
              <w:rPr>
                <w:rFonts w:ascii="Times New Roman" w:hAnsi="Times New Roman" w:eastAsia="宋体"/>
                <w:i/>
                <w:sz w:val="15"/>
                <w:szCs w:val="15"/>
              </w:rPr>
              <w:t>cgahp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vAlign w:val="center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eastAsia="宋体"/>
                <w:sz w:val="15"/>
                <w:szCs w:val="15"/>
              </w:rPr>
              <w:t>WT(pXMJ19)</w:t>
            </w:r>
          </w:p>
        </w:tc>
        <w:tc>
          <w:tcPr>
            <w:tcW w:w="2739" w:type="pct"/>
            <w:vAlign w:val="center"/>
          </w:tcPr>
          <w:p>
            <w:pPr>
              <w:spacing w:line="270" w:lineRule="exact"/>
              <w:rPr>
                <w:rFonts w:ascii="Times New Roman" w:hAnsi="Times New Roman" w:eastAsia="宋体"/>
                <w:sz w:val="15"/>
                <w:szCs w:val="15"/>
              </w:rPr>
            </w:pPr>
            <w:r>
              <w:rPr>
                <w:rFonts w:ascii="Times New Roman" w:hAnsi="Times New Roman" w:eastAsia="宋体"/>
                <w:sz w:val="15"/>
                <w:szCs w:val="15"/>
              </w:rPr>
              <w:t>RES167 containing pXMJ19 vector</w:t>
            </w:r>
          </w:p>
        </w:tc>
        <w:tc>
          <w:tcPr>
            <w:tcW w:w="834" w:type="pct"/>
            <w:vAlign w:val="center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Δ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oa</w:t>
            </w:r>
            <w:r>
              <w:rPr>
                <w:rFonts w:hint="eastAsia" w:ascii="Times New Roman" w:hAnsi="Times New Roman"/>
                <w:i/>
                <w:sz w:val="15"/>
                <w:szCs w:val="15"/>
              </w:rPr>
              <w:t>s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R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(pXMJ19)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 w:eastAsia="宋体"/>
                <w:sz w:val="15"/>
                <w:szCs w:val="15"/>
              </w:rPr>
            </w:pP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>S</w:t>
            </w:r>
            <w:r>
              <w:rPr>
                <w:rFonts w:ascii="Times New Roman" w:hAnsi="Times New Roman"/>
                <w:color w:val="auto"/>
                <w:sz w:val="15"/>
                <w:szCs w:val="15"/>
              </w:rPr>
              <w:t>i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/>
                <w:color w:val="auto"/>
                <w:sz w:val="15"/>
                <w:szCs w:val="15"/>
              </w:rPr>
              <w:t>,</w:t>
            </w:r>
            <w:r>
              <w:rPr>
                <w:rFonts w:ascii="Times New Roman" w:hAnsi="Times New Roman"/>
                <w:color w:val="00B0F0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Δ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oasR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(pXMJ19-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oasR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)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>S</w:t>
            </w:r>
            <w:r>
              <w:rPr>
                <w:rFonts w:ascii="Times New Roman" w:hAnsi="Times New Roman"/>
                <w:color w:val="auto"/>
                <w:sz w:val="15"/>
                <w:szCs w:val="15"/>
              </w:rPr>
              <w:t>i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/>
                <w:color w:val="auto"/>
                <w:sz w:val="15"/>
                <w:szCs w:val="15"/>
              </w:rPr>
              <w:t>,</w:t>
            </w:r>
            <w:r>
              <w:rPr>
                <w:rFonts w:ascii="Times New Roman" w:hAnsi="Times New Roman"/>
                <w:color w:val="00B0F0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3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i/>
                <w:sz w:val="15"/>
                <w:szCs w:val="15"/>
              </w:rPr>
              <w:t>E. coli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BL21(DE3)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sz w:val="15"/>
                <w:szCs w:val="15"/>
                <w:lang w:val="de-DE"/>
              </w:rPr>
              <w:t>E. coli</w:t>
            </w:r>
            <w:r>
              <w:rPr>
                <w:rFonts w:ascii="Times New Roman" w:hAnsi="Times New Roman"/>
                <w:sz w:val="15"/>
                <w:szCs w:val="15"/>
                <w:lang w:val="de-DE"/>
              </w:rPr>
              <w:t xml:space="preserve"> expression host, 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lang w:val="de-DE"/>
              </w:rPr>
              <w:t>hsdS gal</w:t>
            </w:r>
            <w:r>
              <w:rPr>
                <w:rFonts w:ascii="Times New Roman" w:hAnsi="Times New Roman"/>
                <w:sz w:val="15"/>
                <w:szCs w:val="15"/>
                <w:lang w:val="de-DE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lang w:val="de-DE"/>
              </w:rPr>
              <w:t>λc</w:t>
            </w:r>
            <w:r>
              <w:rPr>
                <w:rFonts w:ascii="Times New Roman" w:hAnsi="Times New Roman"/>
                <w:sz w:val="15"/>
                <w:szCs w:val="15"/>
                <w:lang w:val="de-DE"/>
              </w:rPr>
              <w:t>I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lang w:val="de-DE"/>
              </w:rPr>
              <w:t>ts</w:t>
            </w:r>
            <w:r>
              <w:rPr>
                <w:rFonts w:ascii="Times New Roman" w:hAnsi="Times New Roman"/>
                <w:sz w:val="15"/>
                <w:szCs w:val="15"/>
                <w:lang w:val="de-DE"/>
              </w:rPr>
              <w:t xml:space="preserve">857 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lang w:val="de-DE"/>
              </w:rPr>
              <w:t>ind-l</w:t>
            </w:r>
            <w:r>
              <w:rPr>
                <w:rFonts w:ascii="Times New Roman" w:hAnsi="Times New Roman"/>
                <w:sz w:val="15"/>
                <w:szCs w:val="15"/>
                <w:lang w:val="de-DE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lang w:val="de-DE"/>
              </w:rPr>
              <w:t>Sam7 nin-</w:t>
            </w:r>
            <w:r>
              <w:rPr>
                <w:rFonts w:ascii="Times New Roman" w:hAnsi="Times New Roman"/>
                <w:sz w:val="15"/>
                <w:szCs w:val="15"/>
                <w:lang w:val="de-DE"/>
              </w:rPr>
              <w:t>5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lang w:val="de-DE"/>
              </w:rPr>
              <w:t xml:space="preserve"> lac UV5-</w:t>
            </w:r>
            <w:r>
              <w:rPr>
                <w:rFonts w:ascii="Times New Roman" w:hAnsi="Times New Roman"/>
                <w:sz w:val="15"/>
                <w:szCs w:val="15"/>
                <w:lang w:val="de-DE"/>
              </w:rPr>
              <w:t>T7 gene 1)</w:t>
            </w: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/>
                <w:color w:val="0000FF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Novagen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</w:trPr>
        <w:tc>
          <w:tcPr>
            <w:tcW w:w="1427" w:type="pct"/>
          </w:tcPr>
          <w:p>
            <w:pPr>
              <w:spacing w:line="270" w:lineRule="exact"/>
              <w:ind w:firstLine="75" w:firstLineChars="5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JM109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i/>
                <w:iCs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 xml:space="preserve">recA1 supE44 endA1 hsdR17 gyrA96 relA1 thi </w:t>
            </w:r>
            <w:r>
              <w:rPr>
                <w:rFonts w:ascii="Times New Roman" w:hAnsi="Times New Roman"/>
                <w:sz w:val="15"/>
                <w:szCs w:val="15"/>
              </w:rPr>
              <w:t>Δ(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lac-proAB</w:t>
            </w:r>
            <w:r>
              <w:rPr>
                <w:rFonts w:ascii="Times New Roman" w:hAnsi="Times New Roman"/>
                <w:sz w:val="15"/>
                <w:szCs w:val="15"/>
              </w:rPr>
              <w:t>)F′(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traD36 proABlacI</w:t>
            </w:r>
            <w:r>
              <w:rPr>
                <w:rFonts w:ascii="Times New Roman" w:hAnsi="Times New Roman"/>
                <w:sz w:val="15"/>
                <w:szCs w:val="15"/>
                <w:vertAlign w:val="superscript"/>
              </w:rPr>
              <w:t>q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lacΔZM15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w w:val="99"/>
                <w:sz w:val="15"/>
                <w:szCs w:val="15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Stratagene</w:t>
            </w:r>
            <w:r>
              <w:rPr>
                <w:rFonts w:ascii="Times New Roman" w:hAnsi="Times New Roman"/>
                <w:w w:val="99"/>
                <w:sz w:val="15"/>
                <w:szCs w:val="15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3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Plasmids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427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pK18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mobsacB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Suicide plasmid carrying 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sacB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for selecting double crossover in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C. glutamicum</w:t>
            </w:r>
            <w:r>
              <w:rPr>
                <w:rFonts w:ascii="Times New Roman" w:hAnsi="Times New Roman"/>
                <w:sz w:val="15"/>
                <w:szCs w:val="15"/>
              </w:rPr>
              <w:t>, Km</w:t>
            </w:r>
            <w:r>
              <w:rPr>
                <w:rFonts w:ascii="Times New Roman" w:hAnsi="Times New Roman"/>
                <w:sz w:val="15"/>
                <w:szCs w:val="15"/>
                <w:vertAlign w:val="superscript"/>
              </w:rPr>
              <w:t>r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color w:val="00B0F0"/>
                <w:sz w:val="15"/>
                <w:szCs w:val="15"/>
              </w:rPr>
            </w:pP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Schäfer</w:t>
            </w:r>
            <w:r>
              <w:rPr>
                <w:rFonts w:hint="eastAsia" w:ascii="Times New Roman" w:hAnsi="Times New Roman" w:eastAsia="等线"/>
                <w:color w:val="auto"/>
                <w:kern w:val="2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1994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pK18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mobsacB-</w:t>
            </w:r>
            <w:r>
              <w:rPr>
                <w:rFonts w:ascii="Times New Roman" w:hAnsi="Times New Roman"/>
                <w:sz w:val="15"/>
                <w:szCs w:val="15"/>
              </w:rPr>
              <w:t>Δ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Construct used for in-frame deletion of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pK18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mobsacB-P</w:t>
            </w:r>
            <w:r>
              <w:rPr>
                <w:rFonts w:ascii="Times New Roman" w:hAnsi="Times New Roman"/>
                <w:i/>
                <w:sz w:val="15"/>
                <w:szCs w:val="15"/>
                <w:vertAlign w:val="subscript"/>
              </w:rPr>
              <w:t>cgahp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::lacZ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Y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P</w:t>
            </w:r>
            <w:r>
              <w:rPr>
                <w:rFonts w:ascii="Times New Roman" w:hAnsi="Times New Roman"/>
                <w:i/>
                <w:sz w:val="15"/>
                <w:szCs w:val="15"/>
                <w:vertAlign w:val="subscript"/>
              </w:rPr>
              <w:t>cgahp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::lacZ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Y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sz w:val="15"/>
                <w:szCs w:val="15"/>
              </w:rPr>
              <w:t>fusion in pK18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mobsacB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pXMJ19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Shuttle vector (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P</w:t>
            </w:r>
            <w:r>
              <w:rPr>
                <w:rFonts w:ascii="Times New Roman" w:hAnsi="Times New Roman"/>
                <w:i/>
                <w:sz w:val="15"/>
                <w:szCs w:val="15"/>
                <w:vertAlign w:val="subscript"/>
              </w:rPr>
              <w:t>tac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 lacI</w:t>
            </w:r>
            <w:r>
              <w:rPr>
                <w:rFonts w:ascii="Times New Roman" w:hAnsi="Times New Roman"/>
                <w:i/>
                <w:sz w:val="15"/>
                <w:szCs w:val="15"/>
                <w:vertAlign w:val="superscript"/>
              </w:rPr>
              <w:t xml:space="preserve">q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pBL1 oriV</w:t>
            </w:r>
            <w:r>
              <w:rPr>
                <w:rFonts w:ascii="Times New Roman" w:hAnsi="Times New Roman"/>
                <w:i/>
                <w:sz w:val="15"/>
                <w:szCs w:val="15"/>
                <w:vertAlign w:val="subscript"/>
              </w:rPr>
              <w:t>C. glutamicum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pK18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oriV</w:t>
            </w:r>
            <w:r>
              <w:rPr>
                <w:rFonts w:ascii="Times New Roman" w:hAnsi="Times New Roman"/>
                <w:i/>
                <w:sz w:val="15"/>
                <w:szCs w:val="15"/>
                <w:vertAlign w:val="subscript"/>
              </w:rPr>
              <w:t>E. coli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834" w:type="pct"/>
          </w:tcPr>
          <w:p>
            <w:pPr>
              <w:autoSpaceDE w:val="0"/>
              <w:autoSpaceDN w:val="0"/>
              <w:spacing w:after="160" w:line="270" w:lineRule="exact"/>
              <w:rPr>
                <w:rFonts w:ascii="Times New Roman" w:hAnsi="Times New Roman"/>
                <w:color w:val="00B0F0"/>
                <w:sz w:val="15"/>
                <w:szCs w:val="15"/>
              </w:rPr>
            </w:pPr>
            <w:r>
              <w:rPr>
                <w:rFonts w:ascii="Times New Roman" w:hAnsi="Times New Roman"/>
                <w:color w:val="auto"/>
                <w:sz w:val="15"/>
                <w:szCs w:val="15"/>
              </w:rPr>
              <w:t>Jakoby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/>
                <w:color w:val="auto"/>
                <w:sz w:val="15"/>
                <w:szCs w:val="15"/>
              </w:rPr>
              <w:t>,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1999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pXMJ19-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sz w:val="15"/>
                <w:szCs w:val="15"/>
              </w:rPr>
              <w:t>cg</w:t>
            </w:r>
            <w:r>
              <w:rPr>
                <w:rFonts w:hint="eastAsia" w:ascii="Times New Roman" w:hAnsi="Times New Roman"/>
                <w:i/>
                <w:sz w:val="15"/>
                <w:szCs w:val="15"/>
                <w:lang w:val="en-US" w:eastAsia="zh-CN"/>
              </w:rPr>
              <w:t>ahp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sz w:val="15"/>
                <w:szCs w:val="15"/>
              </w:rPr>
              <w:t>cloned into pXMJ19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for complementation </w:t>
            </w:r>
          </w:p>
        </w:tc>
        <w:tc>
          <w:tcPr>
            <w:tcW w:w="834" w:type="pct"/>
          </w:tcPr>
          <w:p>
            <w:pPr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spacing w:line="270" w:lineRule="exact"/>
              <w:rPr>
                <w:rFonts w:ascii="Times New Roman" w:hAnsi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pET28a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Expression vector with N-terminal hexahistidine affinity tag</w:t>
            </w: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Novagen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pET28a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</w:p>
        </w:tc>
        <w:tc>
          <w:tcPr>
            <w:tcW w:w="2739" w:type="pct"/>
          </w:tcPr>
          <w:p>
            <w:pPr>
              <w:spacing w:line="27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hint="eastAsia" w:ascii="Times New Roman" w:hAnsi="Times New Roman"/>
                <w:i/>
                <w:sz w:val="15"/>
                <w:szCs w:val="15"/>
                <w:lang w:val="en-US" w:eastAsia="zh-CN"/>
              </w:rPr>
              <w:t>c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g</w:t>
            </w:r>
            <w:r>
              <w:rPr>
                <w:rFonts w:hint="eastAsia" w:ascii="Times New Roman" w:hAnsi="Times New Roman"/>
                <w:i/>
                <w:sz w:val="15"/>
                <w:szCs w:val="15"/>
                <w:lang w:val="en-US" w:eastAsia="zh-CN"/>
              </w:rPr>
              <w:t>ahp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sz w:val="15"/>
                <w:szCs w:val="15"/>
              </w:rPr>
              <w:t>in pET28a</w:t>
            </w:r>
          </w:p>
        </w:tc>
        <w:tc>
          <w:tcPr>
            <w:tcW w:w="834" w:type="pct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pET28a-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/>
                <w:bCs/>
                <w:i/>
                <w:sz w:val="15"/>
                <w:szCs w:val="15"/>
              </w:rPr>
              <w:t>:C42S</w:t>
            </w:r>
          </w:p>
        </w:tc>
        <w:tc>
          <w:tcPr>
            <w:tcW w:w="2739" w:type="pct"/>
            <w:vAlign w:val="center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/>
                <w:bCs/>
                <w:i/>
                <w:sz w:val="15"/>
                <w:szCs w:val="15"/>
              </w:rPr>
              <w:t>:C42S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sz w:val="15"/>
                <w:szCs w:val="15"/>
              </w:rPr>
              <w:t>in pET28a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pET28a-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/>
                <w:bCs/>
                <w:i/>
                <w:sz w:val="15"/>
                <w:szCs w:val="15"/>
              </w:rPr>
              <w:t>:C45S</w:t>
            </w:r>
          </w:p>
        </w:tc>
        <w:tc>
          <w:tcPr>
            <w:tcW w:w="2739" w:type="pct"/>
            <w:vAlign w:val="center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  <w:r>
              <w:rPr>
                <w:rFonts w:ascii="Times New Roman" w:hAnsi="Times New Roman"/>
                <w:bCs/>
                <w:i/>
                <w:sz w:val="15"/>
                <w:szCs w:val="15"/>
              </w:rPr>
              <w:t>:C45S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sz w:val="15"/>
                <w:szCs w:val="15"/>
              </w:rPr>
              <w:t>in pET28a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pET28a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mrx1</w:t>
            </w:r>
          </w:p>
        </w:tc>
        <w:tc>
          <w:tcPr>
            <w:tcW w:w="2739" w:type="pct"/>
            <w:vAlign w:val="center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 w:eastAsia="等线"/>
                <w:kern w:val="2"/>
                <w:sz w:val="15"/>
                <w:szCs w:val="15"/>
              </w:rPr>
            </w:pP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Si</w:t>
            </w:r>
            <w:r>
              <w:rPr>
                <w:rFonts w:hint="eastAsia" w:ascii="Times New Roman" w:hAnsi="Times New Roman" w:eastAsia="等线"/>
                <w:color w:val="auto"/>
                <w:kern w:val="2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 w:eastAsia="等线"/>
                <w:color w:val="00B0F0"/>
                <w:kern w:val="2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pET28a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mtr</w:t>
            </w:r>
          </w:p>
        </w:tc>
        <w:tc>
          <w:tcPr>
            <w:tcW w:w="2739" w:type="pct"/>
            <w:vAlign w:val="center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 w:eastAsia="等线"/>
                <w:kern w:val="2"/>
                <w:sz w:val="15"/>
                <w:szCs w:val="15"/>
              </w:rPr>
            </w:pP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Si</w:t>
            </w:r>
            <w:r>
              <w:rPr>
                <w:rFonts w:hint="eastAsia" w:ascii="Times New Roman" w:hAnsi="Times New Roman" w:eastAsia="等线"/>
                <w:color w:val="auto"/>
                <w:kern w:val="2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 xml:space="preserve">,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pET28a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sucB</w:t>
            </w:r>
          </w:p>
        </w:tc>
        <w:tc>
          <w:tcPr>
            <w:tcW w:w="2739" w:type="pct"/>
            <w:vAlign w:val="center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 w:eastAsia="等线"/>
                <w:color w:val="auto"/>
                <w:kern w:val="2"/>
                <w:sz w:val="15"/>
                <w:szCs w:val="15"/>
              </w:rPr>
              <w:t>S</w:t>
            </w: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i</w:t>
            </w:r>
            <w:r>
              <w:rPr>
                <w:rFonts w:hint="eastAsia" w:ascii="Times New Roman" w:hAnsi="Times New Roman" w:eastAsia="等线"/>
                <w:color w:val="auto"/>
                <w:kern w:val="2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 xml:space="preserve">,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pET28a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trx</w:t>
            </w:r>
          </w:p>
        </w:tc>
        <w:tc>
          <w:tcPr>
            <w:tcW w:w="2739" w:type="pct"/>
            <w:vAlign w:val="center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</w:p>
        </w:tc>
        <w:tc>
          <w:tcPr>
            <w:tcW w:w="834" w:type="pct"/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 w:eastAsia="等线"/>
                <w:kern w:val="2"/>
                <w:sz w:val="15"/>
                <w:szCs w:val="15"/>
              </w:rPr>
            </w:pP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Si</w:t>
            </w:r>
            <w:r>
              <w:rPr>
                <w:rFonts w:hint="eastAsia" w:ascii="Times New Roman" w:hAnsi="Times New Roman" w:eastAsia="等线"/>
                <w:color w:val="auto"/>
                <w:kern w:val="2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 xml:space="preserve">,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427" w:type="pct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pET28a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trxR</w:t>
            </w:r>
          </w:p>
        </w:tc>
        <w:tc>
          <w:tcPr>
            <w:tcW w:w="2739" w:type="pct"/>
            <w:tcBorders>
              <w:bottom w:val="single" w:color="auto" w:sz="4" w:space="0"/>
            </w:tcBorders>
            <w:vAlign w:val="center"/>
          </w:tcPr>
          <w:p>
            <w:pPr>
              <w:spacing w:line="270" w:lineRule="exact"/>
              <w:rPr>
                <w:rFonts w:ascii="Times New Roman" w:hAnsi="Times New Roman"/>
                <w:i/>
                <w:sz w:val="15"/>
                <w:szCs w:val="15"/>
              </w:rPr>
            </w:pPr>
          </w:p>
        </w:tc>
        <w:tc>
          <w:tcPr>
            <w:tcW w:w="834" w:type="pct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ascii="Times New Roman" w:hAnsi="Times New Roman" w:eastAsia="等线"/>
                <w:kern w:val="2"/>
                <w:sz w:val="15"/>
                <w:szCs w:val="15"/>
              </w:rPr>
            </w:pP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Si</w:t>
            </w:r>
            <w:r>
              <w:rPr>
                <w:rFonts w:hint="eastAsia" w:ascii="Times New Roman" w:hAnsi="Times New Roman" w:eastAsia="等线"/>
                <w:color w:val="auto"/>
                <w:kern w:val="2"/>
                <w:sz w:val="15"/>
                <w:szCs w:val="15"/>
                <w:lang w:val="en-US" w:eastAsia="zh-CN"/>
              </w:rPr>
              <w:t xml:space="preserve"> et al.</w:t>
            </w:r>
            <w:r>
              <w:rPr>
                <w:rFonts w:ascii="Times New Roman" w:hAnsi="Times New Roman" w:eastAsia="等线"/>
                <w:color w:val="auto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 w:eastAsia="等线"/>
                <w:color w:val="00B0F0"/>
                <w:kern w:val="2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color w:val="130EE2"/>
                <w:sz w:val="15"/>
                <w:szCs w:val="15"/>
              </w:rPr>
              <w:t>2014</w:t>
            </w:r>
          </w:p>
        </w:tc>
      </w:tr>
    </w:tbl>
    <w:p>
      <w:pPr>
        <w:widowControl w:val="0"/>
        <w:autoSpaceDE w:val="0"/>
        <w:autoSpaceDN w:val="0"/>
        <w:spacing w:after="0" w:line="360" w:lineRule="auto"/>
        <w:ind w:left="425" w:hanging="425"/>
        <w:jc w:val="both"/>
        <w:rPr>
          <w:rFonts w:ascii="Times New Roman" w:hAnsi="Times New Roman" w:eastAsia="等线"/>
          <w:b/>
          <w:bCs/>
          <w:kern w:val="2"/>
          <w:sz w:val="18"/>
          <w:szCs w:val="18"/>
        </w:rPr>
      </w:pPr>
      <w:r>
        <w:rPr>
          <w:rFonts w:ascii="Times New Roman" w:hAnsi="Times New Roman" w:eastAsia="等线"/>
          <w:b/>
          <w:bCs/>
          <w:kern w:val="2"/>
          <w:sz w:val="18"/>
          <w:szCs w:val="18"/>
        </w:rPr>
        <w:t>References</w:t>
      </w:r>
    </w:p>
    <w:p>
      <w:pPr>
        <w:widowControl w:val="0"/>
        <w:autoSpaceDE w:val="0"/>
        <w:autoSpaceDN w:val="0"/>
        <w:spacing w:after="0"/>
        <w:ind w:left="425" w:hanging="425"/>
        <w:contextualSpacing/>
        <w:jc w:val="both"/>
        <w:rPr>
          <w:rFonts w:ascii="Times New Roman" w:hAnsi="Times New Roman" w:eastAsia="等线"/>
          <w:kern w:val="2"/>
          <w:sz w:val="18"/>
          <w:szCs w:val="18"/>
        </w:rPr>
      </w:pPr>
      <w:r>
        <w:rPr>
          <w:rFonts w:ascii="Times New Roman" w:hAnsi="Times New Roman" w:eastAsia="等线"/>
          <w:kern w:val="2"/>
          <w:sz w:val="18"/>
          <w:szCs w:val="18"/>
        </w:rPr>
        <w:t xml:space="preserve">Tauch A, Kirchner O, Loffler B, Gotker S, Pühler A, Kalinowski J (2002) Efficient electro transformation of </w:t>
      </w:r>
      <w:r>
        <w:rPr>
          <w:rFonts w:ascii="Times New Roman" w:hAnsi="Times New Roman" w:eastAsia="等线"/>
          <w:i/>
          <w:iCs/>
          <w:kern w:val="2"/>
          <w:sz w:val="18"/>
          <w:szCs w:val="18"/>
        </w:rPr>
        <w:t>Corynebacterium diphtheriae</w:t>
      </w:r>
      <w:r>
        <w:rPr>
          <w:rFonts w:ascii="Times New Roman" w:hAnsi="Times New Roman" w:eastAsia="等线"/>
          <w:kern w:val="2"/>
          <w:sz w:val="18"/>
          <w:szCs w:val="18"/>
        </w:rPr>
        <w:t xml:space="preserve"> with a mini-replicon derived from the plasmid pGA1. Curr Microbiol 45</w:t>
      </w:r>
      <w:r>
        <w:rPr>
          <w:rFonts w:hint="eastAsia" w:ascii="Times New Roman" w:hAnsi="Times New Roman" w:eastAsia="等线"/>
          <w:kern w:val="2"/>
          <w:sz w:val="18"/>
          <w:szCs w:val="18"/>
          <w:lang w:val="en-US" w:eastAsia="zh-CN"/>
        </w:rPr>
        <w:t>:</w:t>
      </w:r>
      <w:r>
        <w:rPr>
          <w:rFonts w:ascii="Times New Roman" w:hAnsi="Times New Roman" w:eastAsia="等线"/>
          <w:kern w:val="2"/>
          <w:sz w:val="18"/>
          <w:szCs w:val="18"/>
        </w:rPr>
        <w:t xml:space="preserve"> 362-367.</w:t>
      </w:r>
    </w:p>
    <w:p>
      <w:pPr>
        <w:widowControl w:val="0"/>
        <w:autoSpaceDE w:val="0"/>
        <w:autoSpaceDN w:val="0"/>
        <w:spacing w:after="0"/>
        <w:ind w:left="425" w:hanging="425"/>
        <w:contextualSpacing/>
        <w:jc w:val="both"/>
        <w:rPr>
          <w:rFonts w:ascii="Times New Roman" w:hAnsi="Times New Roman" w:eastAsia="等线"/>
          <w:kern w:val="2"/>
          <w:sz w:val="18"/>
          <w:szCs w:val="18"/>
        </w:rPr>
      </w:pPr>
      <w:r>
        <w:rPr>
          <w:rFonts w:ascii="Times New Roman" w:hAnsi="Times New Roman" w:eastAsia="等线"/>
          <w:kern w:val="2"/>
          <w:sz w:val="18"/>
          <w:szCs w:val="18"/>
        </w:rPr>
        <w:t xml:space="preserve">Si M, Chen C, Che CC, Liu Y, Li XN, Su T (2020) The thiol oxidation-based sensing and regulation mechanism for the OasR-mediated organic peroxide and antibiotic resistance in </w:t>
      </w:r>
      <w:r>
        <w:rPr>
          <w:rFonts w:ascii="Times New Roman" w:hAnsi="Times New Roman" w:eastAsia="等线"/>
          <w:i/>
          <w:iCs/>
          <w:kern w:val="2"/>
          <w:sz w:val="18"/>
          <w:szCs w:val="18"/>
        </w:rPr>
        <w:t>C. glutamicum. Biochem J</w:t>
      </w:r>
      <w:r>
        <w:rPr>
          <w:rFonts w:hint="eastAsia" w:ascii="Times New Roman" w:hAnsi="Times New Roman" w:eastAsia="等线"/>
          <w:i/>
          <w:iCs/>
          <w:kern w:val="2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等线"/>
          <w:kern w:val="2"/>
          <w:sz w:val="18"/>
          <w:szCs w:val="18"/>
        </w:rPr>
        <w:t xml:space="preserve"> 477</w:t>
      </w:r>
      <w:r>
        <w:rPr>
          <w:rFonts w:hint="eastAsia" w:ascii="Times New Roman" w:hAnsi="Times New Roman" w:eastAsia="等线"/>
          <w:kern w:val="2"/>
          <w:sz w:val="18"/>
          <w:szCs w:val="18"/>
          <w:lang w:val="en-US" w:eastAsia="zh-CN"/>
        </w:rPr>
        <w:t>:</w:t>
      </w:r>
      <w:r>
        <w:rPr>
          <w:rFonts w:ascii="Times New Roman" w:hAnsi="Times New Roman" w:eastAsia="等线"/>
          <w:kern w:val="2"/>
          <w:sz w:val="18"/>
          <w:szCs w:val="18"/>
        </w:rPr>
        <w:t>3709</w:t>
      </w:r>
      <w:r>
        <w:rPr>
          <w:rFonts w:hint="eastAsia" w:ascii="Times New Roman" w:hAnsi="Times New Roman" w:eastAsia="等线"/>
          <w:kern w:val="2"/>
          <w:sz w:val="18"/>
          <w:szCs w:val="18"/>
          <w:lang w:val="en-US" w:eastAsia="zh-CN"/>
        </w:rPr>
        <w:t>-</w:t>
      </w:r>
      <w:r>
        <w:rPr>
          <w:rFonts w:ascii="Times New Roman" w:hAnsi="Times New Roman" w:eastAsia="等线"/>
          <w:kern w:val="2"/>
          <w:sz w:val="18"/>
          <w:szCs w:val="18"/>
        </w:rPr>
        <w:t>3727.</w:t>
      </w:r>
    </w:p>
    <w:p>
      <w:pPr>
        <w:widowControl w:val="0"/>
        <w:autoSpaceDE w:val="0"/>
        <w:autoSpaceDN w:val="0"/>
        <w:spacing w:after="0"/>
        <w:ind w:left="425" w:hanging="425"/>
        <w:contextualSpacing/>
        <w:jc w:val="both"/>
        <w:rPr>
          <w:rFonts w:ascii="Times New Roman" w:hAnsi="Times New Roman" w:eastAsia="等线"/>
          <w:kern w:val="2"/>
          <w:sz w:val="18"/>
          <w:szCs w:val="18"/>
        </w:rPr>
      </w:pPr>
      <w:r>
        <w:rPr>
          <w:rFonts w:ascii="Times New Roman" w:hAnsi="Times New Roman" w:eastAsia="等线"/>
          <w:kern w:val="2"/>
          <w:sz w:val="18"/>
          <w:szCs w:val="18"/>
        </w:rPr>
        <w:t>Si MR, Zhang L, Yang ZF, Xu YX, Liu YB,</w:t>
      </w:r>
      <w:r>
        <w:rPr>
          <w:sz w:val="18"/>
          <w:szCs w:val="18"/>
        </w:rPr>
        <w:t xml:space="preserve"> </w:t>
      </w:r>
      <w:r>
        <w:rPr>
          <w:rFonts w:ascii="Times New Roman" w:hAnsi="Times New Roman" w:eastAsia="等线"/>
          <w:kern w:val="2"/>
          <w:sz w:val="18"/>
          <w:szCs w:val="18"/>
        </w:rPr>
        <w:t xml:space="preserve">Jiang CY (2014) NrdH Redoxin enhances resistance to multiple oxidative stresses by acting as a peroxidase cofactor in </w:t>
      </w:r>
      <w:r>
        <w:rPr>
          <w:rFonts w:ascii="Times New Roman" w:hAnsi="Times New Roman" w:eastAsia="等线"/>
          <w:i/>
          <w:iCs/>
          <w:kern w:val="2"/>
          <w:sz w:val="18"/>
          <w:szCs w:val="18"/>
        </w:rPr>
        <w:t>Corynebacterium glutamicum</w:t>
      </w:r>
      <w:r>
        <w:rPr>
          <w:rFonts w:ascii="Times New Roman" w:hAnsi="Times New Roman" w:eastAsia="等线"/>
          <w:kern w:val="2"/>
          <w:sz w:val="18"/>
          <w:szCs w:val="18"/>
        </w:rPr>
        <w:t>. Appl Environ Microbiol 80(5)</w:t>
      </w:r>
      <w:r>
        <w:rPr>
          <w:rFonts w:hint="eastAsia" w:ascii="Times New Roman" w:hAnsi="Times New Roman" w:eastAsia="等线"/>
          <w:kern w:val="2"/>
          <w:sz w:val="18"/>
          <w:szCs w:val="18"/>
          <w:lang w:val="en-US" w:eastAsia="zh-CN"/>
        </w:rPr>
        <w:t>:</w:t>
      </w:r>
      <w:r>
        <w:rPr>
          <w:rFonts w:ascii="Times New Roman" w:hAnsi="Times New Roman" w:eastAsia="等线"/>
          <w:kern w:val="2"/>
          <w:sz w:val="18"/>
          <w:szCs w:val="18"/>
        </w:rPr>
        <w:t>1750-1762.</w:t>
      </w:r>
    </w:p>
    <w:p>
      <w:pPr>
        <w:adjustRightInd/>
        <w:snapToGrid/>
        <w:spacing w:after="0"/>
        <w:ind w:left="360" w:hanging="360" w:hangingChars="200"/>
        <w:jc w:val="both"/>
        <w:rPr>
          <w:rFonts w:ascii="Times New Roman" w:hAnsi="Times New Roman"/>
          <w:color w:val="212121"/>
          <w:sz w:val="18"/>
          <w:szCs w:val="18"/>
        </w:rPr>
      </w:pPr>
      <w:r>
        <w:rPr>
          <w:rFonts w:ascii="Times New Roman" w:hAnsi="Times New Roman" w:eastAsia="等线"/>
          <w:kern w:val="2"/>
          <w:sz w:val="18"/>
          <w:szCs w:val="18"/>
        </w:rPr>
        <w:t>Si M, Wang J, Xiao X, Guan J, Zhang Y, Ding W (2015)</w:t>
      </w:r>
      <w:r>
        <w:rPr>
          <w:rFonts w:ascii="Segoe UI" w:hAnsi="Segoe UI" w:cs="Segoe UI"/>
          <w:color w:val="212121"/>
          <w:sz w:val="18"/>
          <w:szCs w:val="18"/>
          <w:shd w:val="clear" w:color="auto" w:fill="FFFFFF"/>
        </w:rPr>
        <w:t> </w:t>
      </w:r>
      <w:r>
        <w:rPr>
          <w:rFonts w:ascii="Times New Roman" w:hAnsi="Times New Roman"/>
          <w:color w:val="212121"/>
          <w:sz w:val="18"/>
          <w:szCs w:val="18"/>
        </w:rPr>
        <w:t xml:space="preserve">Ohr Protects </w:t>
      </w:r>
      <w:r>
        <w:rPr>
          <w:rFonts w:ascii="Times New Roman" w:hAnsi="Times New Roman"/>
          <w:i/>
          <w:iCs/>
          <w:color w:val="212121"/>
          <w:sz w:val="18"/>
          <w:szCs w:val="18"/>
        </w:rPr>
        <w:t>Corynebacterium glutamicum</w:t>
      </w:r>
      <w:r>
        <w:rPr>
          <w:rFonts w:ascii="Times New Roman" w:hAnsi="Times New Roman"/>
          <w:color w:val="212121"/>
          <w:sz w:val="18"/>
          <w:szCs w:val="18"/>
        </w:rPr>
        <w:t xml:space="preserve"> against Organic Hydroperoxide Induced Oxidative Stress. PLoS One </w:t>
      </w:r>
      <w:r>
        <w:rPr>
          <w:rFonts w:ascii="Times New Roman" w:hAnsi="Times New Roman"/>
          <w:b w:val="0"/>
          <w:bCs w:val="0"/>
          <w:color w:val="212121"/>
          <w:sz w:val="18"/>
          <w:szCs w:val="18"/>
        </w:rPr>
        <w:t>10(6)</w:t>
      </w:r>
      <w:r>
        <w:rPr>
          <w:rFonts w:hint="eastAsia" w:ascii="Times New Roman" w:hAnsi="Times New Roman"/>
          <w:color w:val="212121"/>
          <w:sz w:val="18"/>
          <w:szCs w:val="18"/>
          <w:lang w:val="en-US" w:eastAsia="zh-CN"/>
        </w:rPr>
        <w:t>:</w:t>
      </w:r>
      <w:r>
        <w:rPr>
          <w:rFonts w:ascii="Times New Roman" w:hAnsi="Times New Roman"/>
          <w:color w:val="212121"/>
          <w:sz w:val="18"/>
          <w:szCs w:val="18"/>
        </w:rPr>
        <w:t xml:space="preserve"> e0131634.</w:t>
      </w:r>
    </w:p>
    <w:p>
      <w:pPr>
        <w:widowControl w:val="0"/>
        <w:autoSpaceDE w:val="0"/>
        <w:autoSpaceDN w:val="0"/>
        <w:spacing w:after="0"/>
        <w:ind w:left="425" w:hanging="425"/>
        <w:contextualSpacing/>
        <w:jc w:val="both"/>
        <w:rPr>
          <w:rFonts w:ascii="Times New Roman" w:hAnsi="Times New Roman" w:eastAsia="等线"/>
          <w:kern w:val="2"/>
          <w:sz w:val="18"/>
          <w:szCs w:val="18"/>
        </w:rPr>
      </w:pPr>
      <w:r>
        <w:rPr>
          <w:rFonts w:ascii="Times New Roman" w:hAnsi="Times New Roman" w:eastAsia="等线"/>
          <w:kern w:val="2"/>
          <w:sz w:val="18"/>
          <w:szCs w:val="18"/>
        </w:rPr>
        <w:t xml:space="preserve">Schäfer A, Tauch A, Jager W, Kalinowshi J, Thierbach G, Pühler A (1994) Small mobilizable multi-purpose cloning vectors derived from the </w:t>
      </w:r>
      <w:r>
        <w:rPr>
          <w:rFonts w:ascii="Times New Roman" w:hAnsi="Times New Roman" w:eastAsia="等线"/>
          <w:i/>
          <w:iCs/>
          <w:kern w:val="2"/>
          <w:sz w:val="18"/>
          <w:szCs w:val="18"/>
        </w:rPr>
        <w:t>Escherichia coli</w:t>
      </w:r>
      <w:r>
        <w:rPr>
          <w:rFonts w:ascii="Times New Roman" w:hAnsi="Times New Roman" w:eastAsia="等线"/>
          <w:kern w:val="2"/>
          <w:sz w:val="18"/>
          <w:szCs w:val="18"/>
        </w:rPr>
        <w:t xml:space="preserve"> plasmids pK18 and pK19: selection of defined deletions in the chromosome of </w:t>
      </w:r>
      <w:r>
        <w:rPr>
          <w:rFonts w:ascii="Times New Roman" w:hAnsi="Times New Roman" w:eastAsia="等线"/>
          <w:i/>
          <w:iCs/>
          <w:kern w:val="2"/>
          <w:sz w:val="18"/>
          <w:szCs w:val="18"/>
        </w:rPr>
        <w:t>Corynebacterium glutamicum</w:t>
      </w:r>
      <w:r>
        <w:rPr>
          <w:rFonts w:ascii="Times New Roman" w:hAnsi="Times New Roman" w:eastAsia="等线"/>
          <w:kern w:val="2"/>
          <w:sz w:val="18"/>
          <w:szCs w:val="18"/>
        </w:rPr>
        <w:t>. Gene 145</w:t>
      </w:r>
      <w:r>
        <w:rPr>
          <w:rFonts w:hint="eastAsia" w:ascii="Times New Roman" w:hAnsi="Times New Roman" w:eastAsia="等线"/>
          <w:kern w:val="2"/>
          <w:sz w:val="18"/>
          <w:szCs w:val="18"/>
          <w:lang w:val="en-US" w:eastAsia="zh-CN"/>
        </w:rPr>
        <w:t>:</w:t>
      </w:r>
      <w:r>
        <w:rPr>
          <w:rFonts w:ascii="Times New Roman" w:hAnsi="Times New Roman" w:eastAsia="等线"/>
          <w:kern w:val="2"/>
          <w:sz w:val="18"/>
          <w:szCs w:val="18"/>
        </w:rPr>
        <w:t>69-73.</w:t>
      </w:r>
    </w:p>
    <w:p>
      <w:pPr>
        <w:widowControl w:val="0"/>
        <w:autoSpaceDE w:val="0"/>
        <w:autoSpaceDN w:val="0"/>
        <w:spacing w:after="0"/>
        <w:ind w:left="425" w:hanging="425"/>
        <w:contextualSpacing/>
        <w:jc w:val="both"/>
        <w:rPr>
          <w:rFonts w:ascii="Times New Roman" w:hAnsi="Times New Roman" w:eastAsia="等线"/>
          <w:kern w:val="2"/>
          <w:sz w:val="18"/>
          <w:szCs w:val="18"/>
        </w:rPr>
      </w:pPr>
      <w:r>
        <w:rPr>
          <w:rFonts w:ascii="Times New Roman" w:hAnsi="Times New Roman" w:eastAsia="等线"/>
          <w:kern w:val="2"/>
          <w:sz w:val="18"/>
          <w:szCs w:val="18"/>
        </w:rPr>
        <w:t xml:space="preserve">Jakoby M, Ngouoto-Nkili CE, Burkovski A (1999) Construction and application of new </w:t>
      </w:r>
      <w:r>
        <w:rPr>
          <w:rFonts w:ascii="Times New Roman" w:hAnsi="Times New Roman" w:eastAsia="等线"/>
          <w:i/>
          <w:iCs/>
          <w:kern w:val="2"/>
          <w:sz w:val="18"/>
          <w:szCs w:val="18"/>
        </w:rPr>
        <w:t>Corynebacterium glutamicum</w:t>
      </w:r>
      <w:r>
        <w:rPr>
          <w:rFonts w:ascii="Times New Roman" w:hAnsi="Times New Roman" w:eastAsia="等线"/>
          <w:kern w:val="2"/>
          <w:sz w:val="18"/>
          <w:szCs w:val="18"/>
        </w:rPr>
        <w:t xml:space="preserve"> vectors. Biotechnol. Techniques 13</w:t>
      </w:r>
      <w:r>
        <w:rPr>
          <w:rFonts w:hint="eastAsia" w:ascii="Times New Roman" w:hAnsi="Times New Roman" w:eastAsia="等线"/>
          <w:kern w:val="2"/>
          <w:sz w:val="18"/>
          <w:szCs w:val="18"/>
          <w:lang w:val="en-US" w:eastAsia="zh-CN"/>
        </w:rPr>
        <w:t>:</w:t>
      </w:r>
      <w:r>
        <w:rPr>
          <w:rFonts w:ascii="Times New Roman" w:hAnsi="Times New Roman" w:eastAsia="等线"/>
          <w:kern w:val="2"/>
          <w:sz w:val="18"/>
          <w:szCs w:val="18"/>
        </w:rPr>
        <w:t>437-441.</w:t>
      </w:r>
    </w:p>
    <w:p>
      <w:pPr>
        <w:autoSpaceDE w:val="0"/>
        <w:autoSpaceDN w:val="0"/>
        <w:spacing w:line="360" w:lineRule="auto"/>
        <w:ind w:left="425" w:hanging="425"/>
        <w:contextualSpacing/>
        <w:rPr>
          <w:rFonts w:ascii="Times New Roman" w:hAnsi="Times New Roman"/>
          <w:szCs w:val="21"/>
        </w:rPr>
      </w:pPr>
    </w:p>
    <w:p>
      <w:pPr>
        <w:autoSpaceDE w:val="0"/>
        <w:autoSpaceDN w:val="0"/>
        <w:spacing w:line="360" w:lineRule="auto"/>
        <w:ind w:left="425" w:hanging="425"/>
        <w:contextualSpacing/>
        <w:rPr>
          <w:rFonts w:ascii="Times New Roman" w:hAnsi="Times New Roman"/>
          <w:szCs w:val="21"/>
        </w:rPr>
      </w:pPr>
    </w:p>
    <w:p>
      <w:pPr>
        <w:autoSpaceDE w:val="0"/>
        <w:autoSpaceDN w:val="0"/>
        <w:spacing w:after="0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Table S2.</w:t>
      </w:r>
      <w:r>
        <w:rPr>
          <w:rFonts w:ascii="Times New Roman" w:hAnsi="Times New Roman"/>
          <w:sz w:val="21"/>
          <w:szCs w:val="21"/>
        </w:rPr>
        <w:t xml:space="preserve"> Primers used in this study.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4714"/>
        <w:gridCol w:w="2728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spacing w:line="240" w:lineRule="exact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Primers</w:t>
            </w:r>
          </w:p>
        </w:tc>
        <w:tc>
          <w:tcPr>
            <w:tcW w:w="2702" w:type="pct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5’-3’ sequence</w:t>
            </w:r>
          </w:p>
        </w:tc>
        <w:tc>
          <w:tcPr>
            <w:tcW w:w="1564" w:type="pct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  <w:tcBorders>
              <w:top w:val="single" w:color="000000" w:sz="4" w:space="0"/>
            </w:tcBorders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Ccgahp-F</w:t>
            </w:r>
          </w:p>
        </w:tc>
        <w:tc>
          <w:tcPr>
            <w:tcW w:w="2702" w:type="pct"/>
            <w:tcBorders>
              <w:top w:val="single" w:color="000000" w:sz="4" w:space="0"/>
            </w:tcBorders>
          </w:tcPr>
          <w:p>
            <w:pPr>
              <w:spacing w:line="240" w:lineRule="exact"/>
              <w:rPr>
                <w:rFonts w:ascii="Times New Roman" w:hAnsi="Times New Roman"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AGCG</w:t>
            </w:r>
            <w:r>
              <w:rPr>
                <w:rFonts w:ascii="Times New Roman" w:hAnsi="Times New Roman"/>
                <w:bCs/>
                <w:sz w:val="15"/>
                <w:szCs w:val="15"/>
                <w:u w:val="single"/>
              </w:rPr>
              <w:t>GTCGAC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ATGAGTTCGCTCGACAATGCCC </w:t>
            </w:r>
            <w:r>
              <w:rPr>
                <w:rFonts w:ascii="Times New Roman" w:hAnsi="Times New Roman"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Sal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I</w:t>
            </w:r>
            <w:r>
              <w:rPr>
                <w:rFonts w:ascii="Times New Roman" w:hAnsi="Times New Roman"/>
                <w:bCs/>
                <w:sz w:val="15"/>
                <w:szCs w:val="15"/>
              </w:rPr>
              <w:t>)</w:t>
            </w:r>
          </w:p>
        </w:tc>
        <w:tc>
          <w:tcPr>
            <w:tcW w:w="1564" w:type="pct"/>
            <w:vMerge w:val="restart"/>
            <w:tcBorders>
              <w:top w:val="single" w:color="000000" w:sz="4" w:space="0"/>
            </w:tcBorders>
          </w:tcPr>
          <w:p>
            <w:pPr>
              <w:spacing w:line="240" w:lineRule="exact"/>
              <w:rPr>
                <w:rFonts w:ascii="Times New Roman" w:hAnsi="Times New Roman"/>
                <w:iCs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For cloning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cgahp 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into pXMJ19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Ccgahp-R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CGC</w:t>
            </w:r>
            <w:r>
              <w:rPr>
                <w:rFonts w:ascii="Times New Roman" w:hAnsi="Times New Roman"/>
                <w:bCs/>
                <w:sz w:val="15"/>
                <w:szCs w:val="15"/>
                <w:u w:val="single"/>
              </w:rPr>
              <w:t>GGATCC</w:t>
            </w:r>
            <w:bookmarkStart w:id="0" w:name="_Hlk43647713"/>
            <w:r>
              <w:rPr>
                <w:rFonts w:ascii="Times New Roman" w:hAnsi="Times New Roman"/>
                <w:sz w:val="15"/>
                <w:szCs w:val="15"/>
              </w:rPr>
              <w:t>TTAGGTTTCGTCCGTCTCTGAC</w:t>
            </w:r>
            <w:bookmarkEnd w:id="0"/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Bam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HI</w:t>
            </w:r>
            <w:r>
              <w:rPr>
                <w:rFonts w:ascii="Times New Roman" w:hAnsi="Times New Roman"/>
                <w:bCs/>
                <w:sz w:val="15"/>
                <w:szCs w:val="15"/>
              </w:rPr>
              <w:t>)</w:t>
            </w:r>
          </w:p>
        </w:tc>
        <w:tc>
          <w:tcPr>
            <w:tcW w:w="1564" w:type="pct"/>
            <w:vMerge w:val="continue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Ocgahp-F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bCs/>
                <w:sz w:val="15"/>
                <w:szCs w:val="15"/>
                <w:u w:val="single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CGC</w:t>
            </w:r>
            <w:r>
              <w:rPr>
                <w:rFonts w:ascii="Times New Roman" w:hAnsi="Times New Roman"/>
                <w:bCs/>
                <w:sz w:val="15"/>
                <w:szCs w:val="15"/>
                <w:u w:val="single"/>
              </w:rPr>
              <w:t>GGATCC</w:t>
            </w:r>
            <w:r>
              <w:rPr>
                <w:rFonts w:ascii="Times New Roman" w:hAnsi="Times New Roman"/>
                <w:sz w:val="15"/>
                <w:szCs w:val="15"/>
              </w:rPr>
              <w:t>ATGAGTTCGCTCGACAATGCCC</w:t>
            </w:r>
            <w:r>
              <w:rPr>
                <w:rFonts w:ascii="Times New Roman" w:hAnsi="Times New Roman"/>
                <w:bCs/>
                <w:sz w:val="15"/>
                <w:szCs w:val="15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Eco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RI</w:t>
            </w:r>
            <w:r>
              <w:rPr>
                <w:rFonts w:ascii="Times New Roman" w:hAnsi="Times New Roman"/>
                <w:bCs/>
                <w:sz w:val="15"/>
                <w:szCs w:val="15"/>
              </w:rPr>
              <w:t>)</w:t>
            </w:r>
          </w:p>
        </w:tc>
        <w:tc>
          <w:tcPr>
            <w:tcW w:w="1564" w:type="pct"/>
            <w:vMerge w:val="restar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For cloning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cgahp </w:t>
            </w:r>
            <w:r>
              <w:rPr>
                <w:rFonts w:ascii="Times New Roman" w:hAnsi="Times New Roman"/>
                <w:sz w:val="15"/>
                <w:szCs w:val="15"/>
              </w:rPr>
              <w:t>wild type and mutants into pET28a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Ocgahp-R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CCG</w:t>
            </w:r>
            <w:r>
              <w:rPr>
                <w:rFonts w:ascii="Times New Roman" w:hAnsi="Times New Roman"/>
                <w:sz w:val="15"/>
                <w:szCs w:val="15"/>
                <w:u w:val="single"/>
              </w:rPr>
              <w:t>CTCGAG</w:t>
            </w:r>
            <w:r>
              <w:rPr>
                <w:rFonts w:ascii="Times New Roman" w:hAnsi="Times New Roman"/>
                <w:sz w:val="15"/>
                <w:szCs w:val="15"/>
              </w:rPr>
              <w:t>TTAGGTTTCGTCCGTCTCTGAC (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Xho</w:t>
            </w:r>
            <w:r>
              <w:rPr>
                <w:rFonts w:ascii="Times New Roman" w:hAnsi="Times New Roman"/>
                <w:sz w:val="15"/>
                <w:szCs w:val="15"/>
              </w:rPr>
              <w:t>I)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1564" w:type="pct"/>
            <w:vMerge w:val="continue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Dcgahp-F1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CAA</w:t>
            </w:r>
            <w:r>
              <w:rPr>
                <w:rFonts w:ascii="Times New Roman" w:hAnsi="Times New Roman"/>
                <w:bCs/>
                <w:sz w:val="15"/>
                <w:szCs w:val="15"/>
                <w:u w:val="single"/>
              </w:rPr>
              <w:t>GAATTC</w:t>
            </w:r>
            <w:r>
              <w:rPr>
                <w:rFonts w:ascii="Times New Roman" w:hAnsi="Times New Roman"/>
                <w:sz w:val="15"/>
                <w:szCs w:val="15"/>
              </w:rPr>
              <w:t>CTTGAGCTCGCAAGAAGTGCTCGCTC 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Eco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RI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564" w:type="pct"/>
            <w:vMerge w:val="restar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To generate pK18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mobsacB-</w:t>
            </w:r>
            <w:r>
              <w:rPr>
                <w:rFonts w:ascii="Times New Roman" w:hAnsi="Times New Roman"/>
                <w:sz w:val="15"/>
                <w:szCs w:val="15"/>
              </w:rPr>
              <w:sym w:font="Symbol" w:char="F044"/>
            </w:r>
            <w:r>
              <w:rPr>
                <w:rFonts w:ascii="Times New Roman" w:hAnsi="Times New Roman"/>
                <w:i/>
                <w:sz w:val="15"/>
                <w:szCs w:val="15"/>
              </w:rPr>
              <w:t>cgahp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Dcgahp-R1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CCTGAACATCCAATTCCAGCAGC</w:t>
            </w:r>
          </w:p>
        </w:tc>
        <w:tc>
          <w:tcPr>
            <w:tcW w:w="1564" w:type="pct"/>
            <w:vMerge w:val="continue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Dcgahp-F2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GCTGCTGGAATTGGATGTTCAGGATTGCTGCTCGGCAGTTTGCTGTC</w:t>
            </w:r>
          </w:p>
        </w:tc>
        <w:tc>
          <w:tcPr>
            <w:tcW w:w="1564" w:type="pct"/>
            <w:vMerge w:val="continue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i/>
                <w:iCs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Dcgahp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R2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GGA</w:t>
            </w:r>
            <w:r>
              <w:rPr>
                <w:rFonts w:ascii="Times New Roman" w:hAnsi="Times New Roman"/>
                <w:bCs/>
                <w:sz w:val="15"/>
                <w:szCs w:val="15"/>
                <w:u w:val="single"/>
              </w:rPr>
              <w:t>AGATCT</w:t>
            </w:r>
            <w:r>
              <w:rPr>
                <w:rFonts w:ascii="Times New Roman" w:hAnsi="Times New Roman"/>
                <w:sz w:val="15"/>
                <w:szCs w:val="15"/>
              </w:rPr>
              <w:t>AGTGCTGCCATTCCGGTGATGCAC (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B</w:t>
            </w:r>
            <w:r>
              <w:rPr>
                <w:rFonts w:hint="eastAsia" w:ascii="Times New Roman" w:hAnsi="Times New Roman"/>
                <w:i/>
                <w:iCs/>
                <w:sz w:val="15"/>
                <w:szCs w:val="15"/>
              </w:rPr>
              <w:t>gl</w:t>
            </w:r>
            <w:r>
              <w:rPr>
                <w:rFonts w:hint="eastAsia" w:ascii="Times New Roman" w:hAnsi="Times New Roman"/>
                <w:sz w:val="15"/>
                <w:szCs w:val="15"/>
              </w:rPr>
              <w:t>I</w:t>
            </w:r>
            <w:r>
              <w:rPr>
                <w:rFonts w:ascii="Times New Roman" w:hAnsi="Times New Roman"/>
                <w:iCs/>
                <w:sz w:val="15"/>
                <w:szCs w:val="15"/>
              </w:rPr>
              <w:t>I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564" w:type="pct"/>
            <w:vMerge w:val="continue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Ocgahp-C42S-F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GTGTTTCAGATGCTA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A</w:t>
            </w:r>
            <w:r>
              <w:rPr>
                <w:rFonts w:ascii="Times New Roman" w:hAnsi="Times New Roman"/>
                <w:sz w:val="15"/>
                <w:szCs w:val="15"/>
              </w:rPr>
              <w:t>GCCCTGGATGCGTG</w:t>
            </w:r>
          </w:p>
        </w:tc>
        <w:tc>
          <w:tcPr>
            <w:tcW w:w="1564" w:type="pct"/>
            <w:vMerge w:val="restart"/>
          </w:tcPr>
          <w:p>
            <w:pPr>
              <w:spacing w:line="240" w:lineRule="exact"/>
              <w:rPr>
                <w:rFonts w:ascii="Times New Roman" w:hAnsi="Times New Roman"/>
                <w:iCs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To generate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cgahp:C42S </w:t>
            </w:r>
            <w:r>
              <w:rPr>
                <w:rFonts w:ascii="Times New Roman" w:hAnsi="Times New Roman"/>
                <w:sz w:val="15"/>
                <w:szCs w:val="15"/>
              </w:rPr>
              <w:t>DNA fragment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Ocgahp-C42S-R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CACGCATCCAGGGC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T</w:t>
            </w:r>
            <w:r>
              <w:rPr>
                <w:rFonts w:ascii="Times New Roman" w:hAnsi="Times New Roman"/>
                <w:sz w:val="15"/>
                <w:szCs w:val="15"/>
              </w:rPr>
              <w:t>TAGCATCTGAAACACC</w:t>
            </w:r>
          </w:p>
        </w:tc>
        <w:tc>
          <w:tcPr>
            <w:tcW w:w="1564" w:type="pct"/>
            <w:vMerge w:val="continue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Ocgahp-C45S-F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GCTATGCCCTGGA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A</w:t>
            </w:r>
            <w:r>
              <w:rPr>
                <w:rFonts w:ascii="Times New Roman" w:hAnsi="Times New Roman"/>
                <w:sz w:val="15"/>
                <w:szCs w:val="15"/>
              </w:rPr>
              <w:t>GCGTGAATCACG</w:t>
            </w:r>
          </w:p>
        </w:tc>
        <w:tc>
          <w:tcPr>
            <w:tcW w:w="1564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To generate 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 xml:space="preserve">cgahp:C45S </w:t>
            </w:r>
            <w:r>
              <w:rPr>
                <w:rFonts w:ascii="Times New Roman" w:hAnsi="Times New Roman"/>
                <w:sz w:val="15"/>
                <w:szCs w:val="15"/>
              </w:rPr>
              <w:t>DNA fragment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Ocgahp-C45S-R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CGTGATTCACGC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T</w:t>
            </w:r>
            <w:r>
              <w:rPr>
                <w:rFonts w:ascii="Times New Roman" w:hAnsi="Times New Roman"/>
                <w:sz w:val="15"/>
                <w:szCs w:val="15"/>
              </w:rPr>
              <w:t>TCCAGGGCATAGC</w:t>
            </w:r>
          </w:p>
        </w:tc>
        <w:tc>
          <w:tcPr>
            <w:tcW w:w="1564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P</w:t>
            </w:r>
            <w:r>
              <w:rPr>
                <w:rFonts w:hint="eastAsia" w:ascii="Times New Roman" w:hAnsi="Times New Roman"/>
                <w:i/>
                <w:iCs/>
                <w:sz w:val="15"/>
                <w:szCs w:val="15"/>
                <w:vertAlign w:val="subscript"/>
              </w:rPr>
              <w:t>cg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vertAlign w:val="subscript"/>
              </w:rPr>
              <w:t>ahp</w:t>
            </w:r>
            <w:r>
              <w:rPr>
                <w:rFonts w:ascii="Times New Roman" w:hAnsi="Times New Roman"/>
                <w:sz w:val="15"/>
                <w:szCs w:val="15"/>
              </w:rPr>
              <w:t>-F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TCC</w:t>
            </w:r>
            <w:r>
              <w:rPr>
                <w:rFonts w:ascii="Times New Roman" w:hAnsi="Times New Roman"/>
                <w:sz w:val="15"/>
                <w:szCs w:val="15"/>
                <w:u w:val="single"/>
              </w:rPr>
              <w:t>CCCGGG</w:t>
            </w:r>
            <w:r>
              <w:rPr>
                <w:rFonts w:ascii="Times New Roman" w:hAnsi="Times New Roman"/>
                <w:sz w:val="15"/>
                <w:szCs w:val="15"/>
              </w:rPr>
              <w:t>ATAATCATTGGAGTTTGTTGCAGC (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Sma</w:t>
            </w:r>
            <w:r>
              <w:rPr>
                <w:rFonts w:ascii="Times New Roman" w:hAnsi="Times New Roman"/>
                <w:sz w:val="15"/>
                <w:szCs w:val="15"/>
              </w:rPr>
              <w:t>I)</w:t>
            </w:r>
          </w:p>
        </w:tc>
        <w:tc>
          <w:tcPr>
            <w:tcW w:w="1564" w:type="pct"/>
            <w:vMerge w:val="restar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To generate pK18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mobsacB-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P</w:t>
            </w:r>
            <w:r>
              <w:rPr>
                <w:rFonts w:ascii="Times New Roman" w:hAnsi="Times New Roman"/>
                <w:i/>
                <w:sz w:val="15"/>
                <w:szCs w:val="15"/>
                <w:vertAlign w:val="subscript"/>
              </w:rPr>
              <w:t>cgahp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::lacZY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i/>
                <w:iCs/>
                <w:sz w:val="15"/>
                <w:szCs w:val="15"/>
              </w:rPr>
              <w:t>P</w:t>
            </w:r>
            <w:r>
              <w:rPr>
                <w:rFonts w:hint="eastAsia" w:ascii="Times New Roman" w:hAnsi="Times New Roman"/>
                <w:i/>
                <w:iCs/>
                <w:sz w:val="15"/>
                <w:szCs w:val="15"/>
                <w:vertAlign w:val="subscript"/>
              </w:rPr>
              <w:t>cg</w:t>
            </w:r>
            <w:r>
              <w:rPr>
                <w:rFonts w:ascii="Times New Roman" w:hAnsi="Times New Roman"/>
                <w:i/>
                <w:iCs/>
                <w:sz w:val="15"/>
                <w:szCs w:val="15"/>
                <w:vertAlign w:val="subscript"/>
              </w:rPr>
              <w:t>ahp</w:t>
            </w:r>
            <w:r>
              <w:rPr>
                <w:rFonts w:ascii="Times New Roman" w:hAnsi="Times New Roman"/>
                <w:sz w:val="15"/>
                <w:szCs w:val="15"/>
              </w:rPr>
              <w:t>-R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  <w:u w:val="single"/>
              </w:rPr>
              <w:t>ACTAGT</w:t>
            </w:r>
            <w:r>
              <w:rPr>
                <w:rFonts w:ascii="Times New Roman" w:hAnsi="Times New Roman"/>
                <w:sz w:val="15"/>
                <w:szCs w:val="15"/>
              </w:rPr>
              <w:t>GAGTTAAACCATGAGTTCGCTC (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Spe</w:t>
            </w:r>
            <w:r>
              <w:rPr>
                <w:rFonts w:ascii="Times New Roman" w:hAnsi="Times New Roman"/>
                <w:sz w:val="15"/>
                <w:szCs w:val="15"/>
              </w:rPr>
              <w:t>I)</w:t>
            </w:r>
          </w:p>
        </w:tc>
        <w:tc>
          <w:tcPr>
            <w:tcW w:w="1564" w:type="pct"/>
            <w:vMerge w:val="continue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lacZY-F1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GAGTTAAACCATGAGTTCGCTC</w:t>
            </w:r>
            <w:r>
              <w:rPr>
                <w:rFonts w:ascii="Times New Roman" w:hAnsi="Times New Roman"/>
                <w:sz w:val="15"/>
                <w:szCs w:val="15"/>
                <w:u w:val="single"/>
              </w:rPr>
              <w:t>ACTAGT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ATGACCATGATTACGGATTC(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Spe</w:t>
            </w:r>
            <w:r>
              <w:rPr>
                <w:rFonts w:ascii="Times New Roman" w:hAnsi="Times New Roman"/>
                <w:sz w:val="15"/>
                <w:szCs w:val="15"/>
              </w:rPr>
              <w:t>I)</w:t>
            </w:r>
          </w:p>
        </w:tc>
        <w:tc>
          <w:tcPr>
            <w:tcW w:w="1564" w:type="pct"/>
            <w:vMerge w:val="continue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lacZY-R</w:t>
            </w:r>
          </w:p>
        </w:tc>
        <w:tc>
          <w:tcPr>
            <w:tcW w:w="270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AAAA</w:t>
            </w:r>
            <w:r>
              <w:rPr>
                <w:rFonts w:ascii="Times New Roman" w:hAnsi="Times New Roman"/>
                <w:sz w:val="15"/>
                <w:szCs w:val="15"/>
                <w:u w:val="single"/>
              </w:rPr>
              <w:t>CTGCAG</w:t>
            </w:r>
            <w:r>
              <w:rPr>
                <w:rFonts w:ascii="Times New Roman" w:hAnsi="Times New Roman"/>
                <w:sz w:val="15"/>
                <w:szCs w:val="15"/>
              </w:rPr>
              <w:t>TTAAGCGACTTCATTCACCTG(</w:t>
            </w:r>
            <w:r>
              <w:rPr>
                <w:rFonts w:ascii="Times New Roman" w:hAnsi="Times New Roman"/>
                <w:i/>
                <w:sz w:val="15"/>
                <w:szCs w:val="15"/>
              </w:rPr>
              <w:t>Pst</w:t>
            </w:r>
            <w:r>
              <w:rPr>
                <w:rFonts w:ascii="Times New Roman" w:hAnsi="Times New Roman"/>
                <w:sz w:val="15"/>
                <w:szCs w:val="15"/>
              </w:rPr>
              <w:t>I)</w:t>
            </w:r>
          </w:p>
        </w:tc>
        <w:tc>
          <w:tcPr>
            <w:tcW w:w="1564" w:type="pct"/>
            <w:vMerge w:val="continue"/>
          </w:tcPr>
          <w:p>
            <w:pPr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autoSpaceDE w:val="0"/>
              <w:autoSpaceDN w:val="0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Qcgahp-F</w:t>
            </w:r>
          </w:p>
        </w:tc>
        <w:tc>
          <w:tcPr>
            <w:tcW w:w="2702" w:type="pct"/>
          </w:tcPr>
          <w:p>
            <w:pPr>
              <w:rPr>
                <w:rFonts w:ascii="Times New Roman" w:hAnsi="Times New Roman"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Cs/>
                <w:sz w:val="15"/>
                <w:szCs w:val="15"/>
              </w:rPr>
              <w:t>CCTGCGCGGCAAGGTTGTGGTGG</w:t>
            </w:r>
          </w:p>
        </w:tc>
        <w:tc>
          <w:tcPr>
            <w:tcW w:w="1564" w:type="pct"/>
            <w:vMerge w:val="restart"/>
          </w:tcPr>
          <w:p>
            <w:pPr>
              <w:autoSpaceDE w:val="0"/>
              <w:autoSpaceDN w:val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RT-PCR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autoSpaceDE w:val="0"/>
              <w:autoSpaceDN w:val="0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Qcgahp-R</w:t>
            </w:r>
          </w:p>
        </w:tc>
        <w:tc>
          <w:tcPr>
            <w:tcW w:w="2702" w:type="pct"/>
          </w:tcPr>
          <w:p>
            <w:pPr>
              <w:rPr>
                <w:rFonts w:ascii="Times New Roman" w:hAnsi="Times New Roman"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ACTTTCAAAGCCTCAGGTGTCATC</w:t>
            </w:r>
          </w:p>
        </w:tc>
        <w:tc>
          <w:tcPr>
            <w:tcW w:w="1564" w:type="pct"/>
            <w:vMerge w:val="continue"/>
          </w:tcPr>
          <w:p>
            <w:pPr>
              <w:autoSpaceDE w:val="0"/>
              <w:autoSpaceDN w:val="0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  <w:vAlign w:val="center"/>
          </w:tcPr>
          <w:p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Ecgahp-F</w:t>
            </w:r>
          </w:p>
        </w:tc>
        <w:tc>
          <w:tcPr>
            <w:tcW w:w="2702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GGTGTTAATTGACCAATCGAAG</w:t>
            </w:r>
          </w:p>
        </w:tc>
        <w:tc>
          <w:tcPr>
            <w:tcW w:w="1564" w:type="pct"/>
            <w:vMerge w:val="restar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To produce the </w:t>
            </w:r>
            <w:r>
              <w:rPr>
                <w:rFonts w:hint="eastAsia" w:ascii="Times New Roman" w:hAnsi="Times New Roman"/>
                <w:sz w:val="15"/>
                <w:szCs w:val="15"/>
              </w:rPr>
              <w:t>22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0-bp EMSA promoter DNA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Ecgahp-R</w:t>
            </w:r>
          </w:p>
        </w:tc>
        <w:tc>
          <w:tcPr>
            <w:tcW w:w="2702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GGTTTAACTCCCTTCATGAAATG</w:t>
            </w:r>
          </w:p>
        </w:tc>
        <w:tc>
          <w:tcPr>
            <w:tcW w:w="1564" w:type="pct"/>
            <w:vMerge w:val="continue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Control-F</w:t>
            </w:r>
          </w:p>
        </w:tc>
        <w:tc>
          <w:tcPr>
            <w:tcW w:w="2702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CCTGCGCGGCAAGGTTGTGGTG</w:t>
            </w:r>
          </w:p>
        </w:tc>
        <w:tc>
          <w:tcPr>
            <w:tcW w:w="1564" w:type="pct"/>
            <w:vMerge w:val="restar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To produce the </w:t>
            </w:r>
            <w:r>
              <w:rPr>
                <w:rFonts w:hint="eastAsia" w:ascii="Times New Roman" w:hAnsi="Times New Roman"/>
                <w:sz w:val="15"/>
                <w:szCs w:val="15"/>
              </w:rPr>
              <w:t>22</w:t>
            </w:r>
            <w:r>
              <w:rPr>
                <w:rFonts w:ascii="Times New Roman" w:hAnsi="Times New Roman"/>
                <w:sz w:val="15"/>
                <w:szCs w:val="15"/>
              </w:rPr>
              <w:t>0-bp EMSA control DNA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Control-R</w:t>
            </w:r>
          </w:p>
        </w:tc>
        <w:tc>
          <w:tcPr>
            <w:tcW w:w="2702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CACTGCCACGGGGAACTTGATC</w:t>
            </w:r>
          </w:p>
        </w:tc>
        <w:tc>
          <w:tcPr>
            <w:tcW w:w="1564" w:type="pct"/>
            <w:vMerge w:val="continue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16 S rRNA-F</w:t>
            </w:r>
          </w:p>
        </w:tc>
        <w:tc>
          <w:tcPr>
            <w:tcW w:w="2702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ACCCTTGTCTTATGTTGCCAG</w:t>
            </w:r>
          </w:p>
        </w:tc>
        <w:tc>
          <w:tcPr>
            <w:tcW w:w="1564" w:type="pct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RT-PCR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732" w:type="pct"/>
            <w:tcBorders>
              <w:bottom w:val="single" w:color="000000" w:sz="4" w:space="0"/>
            </w:tcBorders>
          </w:tcPr>
          <w:p>
            <w:pPr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16 S rRNA-R</w:t>
            </w:r>
          </w:p>
        </w:tc>
        <w:tc>
          <w:tcPr>
            <w:tcW w:w="2702" w:type="pct"/>
            <w:tcBorders>
              <w:bottom w:val="single" w:color="000000" w:sz="4" w:space="0"/>
            </w:tcBorders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TGTACCGACCATTGTAGCATG</w:t>
            </w:r>
          </w:p>
        </w:tc>
        <w:tc>
          <w:tcPr>
            <w:tcW w:w="1564" w:type="pct"/>
            <w:tcBorders>
              <w:bottom w:val="single" w:color="000000" w:sz="4" w:space="0"/>
            </w:tcBorders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 w:eastAsia="仿宋_GB2312"/>
                <w:b/>
                <w:sz w:val="15"/>
                <w:szCs w:val="15"/>
              </w:rPr>
            </w:pPr>
          </w:p>
        </w:tc>
      </w:tr>
    </w:tbl>
    <w:p>
      <w:pPr>
        <w:autoSpaceDE w:val="0"/>
        <w:autoSpaceDN w:val="0"/>
        <w:spacing w:before="120" w:beforeLines="50"/>
        <w:rPr>
          <w:rFonts w:ascii="Times New Roman" w:hAnsi="Times New Roman"/>
          <w:sz w:val="15"/>
          <w:szCs w:val="15"/>
        </w:rPr>
      </w:pPr>
      <w:r>
        <w:rPr>
          <w:rFonts w:ascii="Times New Roman" w:hAnsi="Times New Roman"/>
          <w:sz w:val="15"/>
          <w:szCs w:val="15"/>
        </w:rPr>
        <w:t>Underlined sites indicated restriction enzyme cutting sites added for cloning. Letters in italic denoted the mutation sites in overlap PCR for site-directed mutation.</w:t>
      </w:r>
    </w:p>
    <w:p>
      <w:pPr>
        <w:autoSpaceDE w:val="0"/>
        <w:autoSpaceDN w:val="0"/>
        <w:spacing w:line="480" w:lineRule="auto"/>
        <w:rPr>
          <w:rFonts w:ascii="Times New Roman" w:hAnsi="Times New Roman"/>
          <w:szCs w:val="21"/>
        </w:rPr>
      </w:pPr>
    </w:p>
    <w:p>
      <w:pPr>
        <w:autoSpaceDE w:val="0"/>
        <w:autoSpaceDN w:val="0"/>
        <w:spacing w:after="0" w:line="360" w:lineRule="auto"/>
        <w:rPr>
          <w:rFonts w:ascii="Times New Roman" w:hAnsi="Times New Roman"/>
          <w:bCs/>
          <w:szCs w:val="21"/>
        </w:rPr>
      </w:pPr>
    </w:p>
    <w:p>
      <w:pPr>
        <w:autoSpaceDE w:val="0"/>
        <w:autoSpaceDN w:val="0"/>
        <w:spacing w:after="0" w:line="360" w:lineRule="auto"/>
        <w:jc w:val="center"/>
        <w:rPr>
          <w:rFonts w:ascii="Times New Roman" w:hAnsi="Times New Roman"/>
          <w:szCs w:val="21"/>
        </w:rPr>
      </w:pPr>
      <w:r>
        <w:pict>
          <v:shape id="_x0000_i1025" o:spt="75" type="#_x0000_t75" style="height:391.35pt;width:368.6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>
      <w:pPr>
        <w:autoSpaceDE w:val="0"/>
        <w:autoSpaceDN w:val="0"/>
        <w:spacing w:after="0" w:line="360" w:lineRule="auto"/>
        <w:jc w:val="both"/>
        <w:rPr>
          <w:rFonts w:ascii="Times New Roman" w:hAnsi="Times New Roman"/>
          <w:color w:val="000000"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 xml:space="preserve">Fig. S1 Multiple sequence alignment of CgAhp with Ahp in other organisms. </w:t>
      </w:r>
      <w:r>
        <w:rPr>
          <w:rFonts w:hint="eastAsia" w:ascii="Times New Roman" w:hAnsi="Times New Roman"/>
          <w:color w:val="000000"/>
          <w:sz w:val="21"/>
          <w:szCs w:val="21"/>
        </w:rPr>
        <w:t>(A)</w:t>
      </w:r>
      <w:r>
        <w:rPr>
          <w:rFonts w:ascii="Times New Roman" w:hAnsi="Times New Roman"/>
          <w:color w:val="000000"/>
          <w:sz w:val="21"/>
          <w:szCs w:val="21"/>
        </w:rPr>
        <w:t xml:space="preserve"> Active site Cys were pointed out by a black star. Residues that were identical in in all or at least 5 of the 6 sequences were depicted on the black background. Reference sequences were retrieved from the NCBI Database, including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Achromobacter xylosoxidans </w:t>
      </w:r>
      <w:r>
        <w:rPr>
          <w:rFonts w:ascii="Times New Roman" w:hAnsi="Times New Roman"/>
          <w:color w:val="000000"/>
          <w:sz w:val="21"/>
          <w:szCs w:val="21"/>
        </w:rPr>
        <w:t xml:space="preserve">(ADP19073),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Nitrosococcus watsonii </w:t>
      </w:r>
      <w:r>
        <w:rPr>
          <w:rFonts w:ascii="Times New Roman" w:hAnsi="Times New Roman"/>
          <w:color w:val="000000"/>
          <w:sz w:val="21"/>
          <w:szCs w:val="21"/>
        </w:rPr>
        <w:t xml:space="preserve">(ADJ28176);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Citrobacter freundii </w:t>
      </w:r>
      <w:r>
        <w:rPr>
          <w:rFonts w:ascii="Times New Roman" w:hAnsi="Times New Roman"/>
          <w:color w:val="000000"/>
          <w:sz w:val="21"/>
          <w:szCs w:val="21"/>
        </w:rPr>
        <w:t xml:space="preserve">(AUV27934);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Simplicispira suum </w:t>
      </w:r>
      <w:r>
        <w:rPr>
          <w:rFonts w:ascii="Times New Roman" w:hAnsi="Times New Roman"/>
          <w:color w:val="000000"/>
          <w:sz w:val="21"/>
          <w:szCs w:val="21"/>
        </w:rPr>
        <w:t xml:space="preserve">(AVO42213);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Candidatus nitrosoglobus </w:t>
      </w:r>
      <w:bookmarkStart w:id="1" w:name="_Hlk101442904"/>
      <w:r>
        <w:rPr>
          <w:rFonts w:ascii="Times New Roman" w:hAnsi="Times New Roman"/>
          <w:color w:val="000000"/>
          <w:sz w:val="21"/>
          <w:szCs w:val="21"/>
        </w:rPr>
        <w:t>(BAW80394)</w:t>
      </w:r>
      <w:bookmarkEnd w:id="1"/>
      <w:r>
        <w:rPr>
          <w:rFonts w:ascii="Times New Roman" w:hAnsi="Times New Roman"/>
          <w:color w:val="000000"/>
          <w:sz w:val="21"/>
          <w:szCs w:val="21"/>
        </w:rPr>
        <w:t xml:space="preserve">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Corynebacterium glutamicum </w:t>
      </w:r>
      <w:r>
        <w:rPr>
          <w:rFonts w:ascii="Times New Roman" w:hAnsi="Times New Roman"/>
          <w:color w:val="000000"/>
          <w:sz w:val="21"/>
          <w:szCs w:val="21"/>
        </w:rPr>
        <w:t>(NP_600142).</w:t>
      </w:r>
      <w:bookmarkStart w:id="2" w:name="_Hlk44580687"/>
      <w:r>
        <w:rPr>
          <w:rFonts w:hint="eastAsia" w:ascii="Times New Roman" w:hAnsi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1"/>
          <w:szCs w:val="21"/>
        </w:rPr>
        <w:t xml:space="preserve">(B) </w:t>
      </w:r>
      <w:r>
        <w:rPr>
          <w:rFonts w:ascii="Times New Roman" w:hAnsi="Times New Roman"/>
          <w:color w:val="000000"/>
          <w:sz w:val="21"/>
          <w:szCs w:val="21"/>
        </w:rPr>
        <w:t xml:space="preserve">Sequence characterization of </w:t>
      </w:r>
      <w:r>
        <w:rPr>
          <w:rFonts w:ascii="Times New Roman" w:hAnsi="Times New Roman"/>
          <w:sz w:val="21"/>
          <w:szCs w:val="21"/>
        </w:rPr>
        <w:t xml:space="preserve">disulfide oxidoreductases </w:t>
      </w:r>
      <w:r>
        <w:rPr>
          <w:rFonts w:ascii="Times New Roman" w:hAnsi="Times New Roman"/>
          <w:color w:val="000000"/>
          <w:sz w:val="21"/>
          <w:szCs w:val="21"/>
        </w:rPr>
        <w:t xml:space="preserve">and </w:t>
      </w:r>
      <w:r>
        <w:rPr>
          <w:rFonts w:ascii="Times New Roman" w:hAnsi="Times New Roman"/>
          <w:iCs/>
          <w:color w:val="000000"/>
          <w:sz w:val="21"/>
          <w:szCs w:val="21"/>
        </w:rPr>
        <w:t>peroxidases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 </w:t>
      </w:r>
      <w:r>
        <w:rPr>
          <w:rFonts w:hint="eastAsia" w:ascii="Times New Roman" w:hAnsi="Times New Roman"/>
          <w:color w:val="000000"/>
          <w:sz w:val="21"/>
          <w:szCs w:val="21"/>
        </w:rPr>
        <w:t>o</w:t>
      </w:r>
      <w:r>
        <w:rPr>
          <w:rFonts w:ascii="Times New Roman" w:hAnsi="Times New Roman"/>
          <w:color w:val="000000"/>
          <w:sz w:val="21"/>
          <w:szCs w:val="21"/>
        </w:rPr>
        <w:t>f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 Corynebacterium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, and </w:t>
      </w:r>
      <w:r>
        <w:rPr>
          <w:rFonts w:ascii="Times New Roman" w:hAnsi="Times New Roman"/>
          <w:color w:val="231F20"/>
          <w:sz w:val="21"/>
          <w:szCs w:val="21"/>
        </w:rPr>
        <w:t>alkyl hydroperoxide reductase (AhpC)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color w:val="000000"/>
          <w:sz w:val="21"/>
          <w:szCs w:val="21"/>
        </w:rPr>
        <w:t xml:space="preserve">of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Mycobacterium tuberculosis</w:t>
      </w:r>
      <w:r>
        <w:rPr>
          <w:rFonts w:ascii="Times New Roman" w:hAnsi="Times New Roman"/>
          <w:color w:val="000000"/>
          <w:sz w:val="21"/>
          <w:szCs w:val="21"/>
        </w:rPr>
        <w:t>.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 </w:t>
      </w:r>
      <w:r>
        <w:rPr>
          <w:rFonts w:ascii="Times New Roman" w:hAnsi="Times New Roman"/>
          <w:color w:val="000000"/>
          <w:sz w:val="21"/>
          <w:szCs w:val="21"/>
        </w:rPr>
        <w:t xml:space="preserve">Sequence alignment between active-site </w:t>
      </w:r>
      <w:bookmarkStart w:id="3" w:name="OLE_LINK1"/>
      <w:r>
        <w:rPr>
          <w:rFonts w:ascii="Times New Roman" w:hAnsi="Times New Roman"/>
          <w:color w:val="000000"/>
          <w:sz w:val="21"/>
          <w:szCs w:val="21"/>
        </w:rPr>
        <w:t>cysteines</w:t>
      </w:r>
      <w:bookmarkEnd w:id="3"/>
      <w:r>
        <w:rPr>
          <w:rFonts w:ascii="Times New Roman" w:hAnsi="Times New Roman"/>
          <w:color w:val="000000"/>
          <w:sz w:val="21"/>
          <w:szCs w:val="21"/>
        </w:rPr>
        <w:t>. Magenta highlights the dicysteine motif.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 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Trx (NP_602283);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Mrx1 (NP_600071);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AhpD1 (NP_601570);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AhpD2 (NP_601633);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DsbA-like Mrx1 (NP_601623);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NrdH (NP_601732);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 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M</w:t>
      </w:r>
      <w:r>
        <w:rPr>
          <w:rFonts w:hint="eastAsia" w:ascii="Times New Roman" w:hAnsi="Times New Roman"/>
          <w:color w:val="000000"/>
          <w:sz w:val="21"/>
          <w:szCs w:val="21"/>
        </w:rPr>
        <w:t>r</w:t>
      </w:r>
      <w:r>
        <w:rPr>
          <w:rFonts w:ascii="Times New Roman" w:hAnsi="Times New Roman"/>
          <w:color w:val="000000"/>
          <w:sz w:val="21"/>
          <w:szCs w:val="21"/>
        </w:rPr>
        <w:t xml:space="preserve">x3 (NP_599663);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NCgl0877 (NP_600142);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MPx (NP_601789);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Prx (NP_600314);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 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Ohr (NP_599276);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 xml:space="preserve"> C. glutamicum</w:t>
      </w:r>
      <w:r>
        <w:rPr>
          <w:rFonts w:ascii="Times New Roman" w:hAnsi="Times New Roman"/>
          <w:color w:val="000000"/>
          <w:sz w:val="21"/>
          <w:szCs w:val="21"/>
        </w:rPr>
        <w:t xml:space="preserve"> OsmC (NP_600290);</w:t>
      </w:r>
      <w:r>
        <w:rPr>
          <w:rFonts w:ascii="Times New Roman" w:hAnsi="Times New Roman"/>
          <w:i/>
          <w:iCs/>
          <w:color w:val="231F20"/>
          <w:sz w:val="21"/>
          <w:szCs w:val="21"/>
        </w:rPr>
        <w:t xml:space="preserve"> M. tuberculosis</w:t>
      </w:r>
      <w:r>
        <w:rPr>
          <w:rFonts w:ascii="Times New Roman" w:hAnsi="Times New Roman"/>
          <w:color w:val="000000"/>
          <w:sz w:val="21"/>
          <w:szCs w:val="21"/>
        </w:rPr>
        <w:t xml:space="preserve"> AhpC (NP_216944). AA43, AA33, AA63, AA65, and AA112 expressed 43, 33, 63, 65, and 112 amino acids between two cysteines, respectively. </w:t>
      </w:r>
    </w:p>
    <w:p>
      <w:pPr>
        <w:autoSpaceDE w:val="0"/>
        <w:autoSpaceDN w:val="0"/>
        <w:spacing w:after="0" w:line="360" w:lineRule="auto"/>
        <w:jc w:val="center"/>
        <w:rPr>
          <w:rFonts w:ascii="Times New Roman" w:hAnsi="Times New Roman"/>
          <w:color w:val="000000"/>
          <w:sz w:val="21"/>
          <w:szCs w:val="21"/>
        </w:rPr>
      </w:pPr>
      <w:r>
        <w:pict>
          <v:shape id="_x0000_i1026" o:spt="75" type="#_x0000_t75" style="height:107.65pt;width:348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>
      <w:pPr>
        <w:spacing w:line="360" w:lineRule="auto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Fig. S</w:t>
      </w:r>
      <w:r>
        <w:rPr>
          <w:rFonts w:hint="eastAsia" w:ascii="Times New Roman" w:hAnsi="Times New Roman"/>
          <w:b/>
          <w:bCs/>
          <w:sz w:val="21"/>
          <w:szCs w:val="21"/>
        </w:rPr>
        <w:t>2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</w:rPr>
        <w:t>The Δ</w:t>
      </w:r>
      <w:r>
        <w:rPr>
          <w:rFonts w:ascii="Times New Roman" w:hAnsi="Times New Roman"/>
          <w:b/>
          <w:bCs/>
          <w:i/>
          <w:sz w:val="21"/>
          <w:szCs w:val="21"/>
        </w:rPr>
        <w:t xml:space="preserve">cgahp </w:t>
      </w:r>
      <w:r>
        <w:rPr>
          <w:rFonts w:ascii="Times New Roman" w:hAnsi="Times New Roman"/>
          <w:b/>
          <w:bCs/>
          <w:sz w:val="21"/>
          <w:szCs w:val="21"/>
        </w:rPr>
        <w:t xml:space="preserve">strains of </w:t>
      </w:r>
      <w:r>
        <w:rPr>
          <w:rFonts w:ascii="Times New Roman" w:hAnsi="Times New Roman"/>
          <w:b/>
          <w:bCs/>
          <w:i/>
          <w:iCs/>
          <w:sz w:val="21"/>
          <w:szCs w:val="21"/>
        </w:rPr>
        <w:t>C. glutamicum</w:t>
      </w:r>
      <w:r>
        <w:rPr>
          <w:rFonts w:ascii="Times New Roman" w:hAnsi="Times New Roman"/>
          <w:b/>
          <w:bCs/>
          <w:sz w:val="21"/>
          <w:szCs w:val="21"/>
        </w:rPr>
        <w:t xml:space="preserve"> were more sensitive to organic peroxide stress. </w:t>
      </w:r>
      <w:r>
        <w:rPr>
          <w:rFonts w:hint="eastAsia" w:ascii="Times New Roman" w:hAnsi="Times New Roman"/>
          <w:color w:val="000000"/>
          <w:sz w:val="21"/>
          <w:szCs w:val="21"/>
        </w:rPr>
        <w:t>(</w:t>
      </w:r>
      <w:r>
        <w:rPr>
          <w:rFonts w:ascii="Times New Roman" w:hAnsi="Times New Roman"/>
          <w:color w:val="000000"/>
          <w:sz w:val="21"/>
          <w:szCs w:val="21"/>
        </w:rPr>
        <w:t>A</w:t>
      </w:r>
      <w:r>
        <w:rPr>
          <w:rFonts w:hint="eastAsia" w:ascii="Times New Roman" w:hAnsi="Times New Roman"/>
          <w:color w:val="000000"/>
          <w:sz w:val="21"/>
          <w:szCs w:val="21"/>
        </w:rPr>
        <w:t xml:space="preserve">) 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Growth curves of the </w:t>
      </w:r>
      <w:r>
        <w:rPr>
          <w:rFonts w:ascii="Times New Roman" w:hAnsi="Times New Roman"/>
          <w:i/>
          <w:iCs/>
          <w:color w:val="000000"/>
          <w:sz w:val="21"/>
          <w:szCs w:val="21"/>
        </w:rPr>
        <w:t>Corynebacterium glutamicum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 RES167 parental strain</w:t>
      </w:r>
      <w:r>
        <w:rPr>
          <w:rFonts w:hint="eastAsia" w:ascii="Times New Roman" w:hAnsi="Times New Roman" w:eastAsia="宋体"/>
          <w:color w:val="000000"/>
          <w:sz w:val="21"/>
          <w:szCs w:val="21"/>
          <w:lang w:val="en-US" w:eastAsia="zh-CN"/>
        </w:rPr>
        <w:t xml:space="preserve"> (WT)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 containing pXMJ19 [WT(pXMJ19)],</w:t>
      </w:r>
      <w:r>
        <w:rPr>
          <w:rFonts w:ascii="Times New Roman" w:hAnsi="Times New Roman"/>
          <w:sz w:val="21"/>
          <w:szCs w:val="21"/>
        </w:rPr>
        <w:t xml:space="preserve"> Δ</w:t>
      </w:r>
      <w:r>
        <w:rPr>
          <w:rFonts w:ascii="Times New Roman" w:hAnsi="Times New Roman"/>
          <w:i/>
          <w:sz w:val="21"/>
          <w:szCs w:val="21"/>
        </w:rPr>
        <w:t>cgahp</w:t>
      </w:r>
      <w:r>
        <w:rPr>
          <w:rFonts w:ascii="Times New Roman" w:hAnsi="Times New Roman"/>
          <w:iCs/>
          <w:sz w:val="21"/>
          <w:szCs w:val="21"/>
        </w:rPr>
        <w:t>(pXMJ19) mutant (</w:t>
      </w:r>
      <w:r>
        <w:rPr>
          <w:rFonts w:ascii="Times New Roman" w:hAnsi="Times New Roman"/>
          <w:sz w:val="21"/>
          <w:szCs w:val="21"/>
        </w:rPr>
        <w:t xml:space="preserve">the mutant lacking </w:t>
      </w:r>
      <w:r>
        <w:rPr>
          <w:rFonts w:ascii="Times New Roman" w:hAnsi="Times New Roman" w:eastAsia="宋体"/>
          <w:i/>
          <w:sz w:val="21"/>
          <w:szCs w:val="21"/>
        </w:rPr>
        <w:t>cgahp</w:t>
      </w:r>
      <w:r>
        <w:rPr>
          <w:rFonts w:ascii="Times New Roman" w:hAnsi="Times New Roman"/>
          <w:i/>
          <w:i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with the empty plasmid pXMJ19</w:t>
      </w:r>
      <w:r>
        <w:rPr>
          <w:rFonts w:ascii="Times New Roman" w:hAnsi="Times New Roman"/>
          <w:iCs/>
          <w:sz w:val="21"/>
          <w:szCs w:val="21"/>
        </w:rPr>
        <w:t xml:space="preserve">), </w:t>
      </w:r>
      <w:r>
        <w:rPr>
          <w:rFonts w:ascii="Times New Roman" w:hAnsi="Times New Roman"/>
          <w:sz w:val="21"/>
          <w:szCs w:val="21"/>
        </w:rPr>
        <w:t>Δ</w:t>
      </w:r>
      <w:r>
        <w:rPr>
          <w:rFonts w:ascii="Times New Roman" w:hAnsi="Times New Roman"/>
          <w:i/>
          <w:sz w:val="21"/>
          <w:szCs w:val="21"/>
        </w:rPr>
        <w:t>cgahp</w:t>
      </w:r>
      <w:r>
        <w:rPr>
          <w:rFonts w:ascii="Times New Roman" w:hAnsi="Times New Roman"/>
          <w:iCs/>
          <w:sz w:val="21"/>
          <w:szCs w:val="21"/>
        </w:rPr>
        <w:t>(pXMJ19-</w:t>
      </w:r>
      <w:r>
        <w:rPr>
          <w:rFonts w:ascii="Times New Roman" w:hAnsi="Times New Roman"/>
          <w:i/>
          <w:sz w:val="21"/>
          <w:szCs w:val="21"/>
        </w:rPr>
        <w:t>cgahp</w:t>
      </w:r>
      <w:r>
        <w:rPr>
          <w:rFonts w:ascii="Times New Roman" w:hAnsi="Times New Roman"/>
          <w:iCs/>
          <w:sz w:val="21"/>
          <w:szCs w:val="21"/>
        </w:rPr>
        <w:t>)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 strain (</w:t>
      </w:r>
      <w:r>
        <w:rPr>
          <w:rFonts w:ascii="Times New Roman" w:hAnsi="Times New Roman"/>
          <w:sz w:val="21"/>
          <w:szCs w:val="21"/>
        </w:rPr>
        <w:t xml:space="preserve">the mutant lacking </w:t>
      </w:r>
      <w:r>
        <w:rPr>
          <w:rFonts w:ascii="Times New Roman" w:hAnsi="Times New Roman" w:eastAsia="宋体"/>
          <w:i/>
          <w:sz w:val="21"/>
          <w:szCs w:val="21"/>
        </w:rPr>
        <w:t>cgahp</w:t>
      </w:r>
      <w:r>
        <w:rPr>
          <w:rFonts w:ascii="Times New Roman" w:hAnsi="Times New Roman"/>
          <w:i/>
          <w:i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with the plasmid pXMJ19 </w:t>
      </w:r>
      <w:r>
        <w:rPr>
          <w:rFonts w:ascii="Times New Roman" w:hAnsi="Times New Roman"/>
          <w:iCs/>
          <w:sz w:val="21"/>
          <w:szCs w:val="21"/>
        </w:rPr>
        <w:t>containing</w:t>
      </w:r>
      <w:r>
        <w:rPr>
          <w:rFonts w:ascii="Times New Roman" w:hAnsi="Times New Roman"/>
          <w:sz w:val="21"/>
          <w:szCs w:val="21"/>
        </w:rPr>
        <w:t xml:space="preserve"> the wild-type </w:t>
      </w:r>
      <w:r>
        <w:rPr>
          <w:rFonts w:ascii="Times New Roman" w:hAnsi="Times New Roman"/>
          <w:i/>
          <w:sz w:val="21"/>
          <w:szCs w:val="21"/>
        </w:rPr>
        <w:t>C. glutamicum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i/>
          <w:sz w:val="21"/>
          <w:szCs w:val="21"/>
        </w:rPr>
        <w:t xml:space="preserve">cgahp </w:t>
      </w:r>
      <w:r>
        <w:rPr>
          <w:rFonts w:ascii="Times New Roman" w:hAnsi="Times New Roman"/>
          <w:sz w:val="21"/>
          <w:szCs w:val="21"/>
        </w:rPr>
        <w:t>gene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) under normal condition. The growth of the indicated strains in LB was monitored by measuring </w:t>
      </w:r>
      <w:r>
        <w:rPr>
          <w:rFonts w:ascii="Times New Roman" w:hAnsi="Times New Roman" w:eastAsia="Times New Roman"/>
          <w:i/>
          <w:iCs/>
          <w:color w:val="000000"/>
          <w:sz w:val="21"/>
          <w:szCs w:val="21"/>
        </w:rPr>
        <w:t>A</w:t>
      </w:r>
      <w:r>
        <w:rPr>
          <w:rFonts w:ascii="Times New Roman" w:hAnsi="Times New Roman" w:eastAsia="Times New Roman"/>
          <w:color w:val="000000"/>
          <w:sz w:val="21"/>
          <w:szCs w:val="21"/>
          <w:vertAlign w:val="subscript"/>
        </w:rPr>
        <w:t>600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 at indicated time points.</w:t>
      </w:r>
      <w:r>
        <w:rPr>
          <w:rFonts w:hint="eastAsia" w:ascii="Times New Roman" w:hAnsi="Times New Roman" w:eastAsia="宋体"/>
          <w:b/>
          <w:bCs/>
          <w:color w:val="000000"/>
          <w:sz w:val="21"/>
          <w:szCs w:val="21"/>
        </w:rPr>
        <w:t xml:space="preserve"> </w:t>
      </w:r>
      <w:r>
        <w:rPr>
          <w:rFonts w:hint="eastAsia" w:ascii="Times New Roman" w:hAnsi="Times New Roman" w:eastAsia="宋体"/>
          <w:color w:val="000000"/>
          <w:sz w:val="21"/>
          <w:szCs w:val="21"/>
        </w:rPr>
        <w:t>(B)</w:t>
      </w:r>
      <w:r>
        <w:rPr>
          <w:rFonts w:ascii="Times New Roman" w:hAnsi="Times New Roman"/>
          <w:b/>
          <w:bCs/>
          <w:color w:val="000000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The inhibition zone diameter (cm) of </w:t>
      </w:r>
      <w:r>
        <w:rPr>
          <w:rFonts w:ascii="Times New Roman" w:hAnsi="Times New Roman"/>
          <w:bCs/>
          <w:color w:val="000000"/>
          <w:sz w:val="21"/>
          <w:szCs w:val="21"/>
        </w:rPr>
        <w:t>WT</w:t>
      </w:r>
      <w:r>
        <w:rPr>
          <w:rFonts w:hint="eastAsia" w:ascii="Times New Roman" w:hAnsi="Times New Roman"/>
          <w:bCs/>
          <w:color w:val="000000"/>
          <w:sz w:val="21"/>
          <w:szCs w:val="21"/>
          <w:lang w:val="en-US" w:eastAsia="zh-CN"/>
        </w:rPr>
        <w:t>(</w:t>
      </w:r>
      <w:r>
        <w:rPr>
          <w:rFonts w:ascii="Times New Roman" w:hAnsi="Times New Roman"/>
          <w:sz w:val="21"/>
          <w:szCs w:val="21"/>
        </w:rPr>
        <w:t>pXMJ19</w:t>
      </w:r>
      <w:r>
        <w:rPr>
          <w:rFonts w:hint="eastAsia" w:ascii="Times New Roman" w:hAnsi="Times New Roman"/>
          <w:bCs/>
          <w:color w:val="000000"/>
          <w:sz w:val="21"/>
          <w:szCs w:val="21"/>
          <w:lang w:val="en-US" w:eastAsia="zh-CN"/>
        </w:rPr>
        <w:t>)</w:t>
      </w:r>
      <w:r>
        <w:rPr>
          <w:rFonts w:ascii="Times New Roman" w:hAnsi="Times New Roman"/>
          <w:bCs/>
          <w:color w:val="000000"/>
          <w:sz w:val="21"/>
          <w:szCs w:val="21"/>
        </w:rPr>
        <w:t>,</w:t>
      </w:r>
      <w:r>
        <w:rPr>
          <w:rFonts w:ascii="Times New Roman" w:hAnsi="Times New Roman"/>
          <w:sz w:val="21"/>
          <w:szCs w:val="21"/>
        </w:rPr>
        <w:t xml:space="preserve"> Δ</w:t>
      </w:r>
      <w:r>
        <w:rPr>
          <w:rFonts w:ascii="Times New Roman" w:hAnsi="Times New Roman"/>
          <w:i/>
          <w:sz w:val="21"/>
          <w:szCs w:val="21"/>
        </w:rPr>
        <w:t>cgahp</w:t>
      </w:r>
      <w:r>
        <w:rPr>
          <w:rFonts w:ascii="Times New Roman" w:hAnsi="Times New Roman"/>
          <w:iCs/>
          <w:sz w:val="21"/>
          <w:szCs w:val="21"/>
        </w:rPr>
        <w:t>(</w:t>
      </w:r>
      <w:r>
        <w:rPr>
          <w:rFonts w:ascii="Times New Roman" w:hAnsi="Times New Roman"/>
          <w:sz w:val="21"/>
          <w:szCs w:val="21"/>
        </w:rPr>
        <w:t>pXMJ19</w:t>
      </w:r>
      <w:r>
        <w:rPr>
          <w:rFonts w:ascii="Times New Roman" w:hAnsi="Times New Roman"/>
          <w:iCs/>
          <w:sz w:val="21"/>
          <w:szCs w:val="21"/>
        </w:rPr>
        <w:t>)</w:t>
      </w:r>
      <w:r>
        <w:rPr>
          <w:rFonts w:ascii="Times New Roman" w:hAnsi="Times New Roman"/>
          <w:sz w:val="21"/>
          <w:szCs w:val="21"/>
        </w:rPr>
        <w:t xml:space="preserve"> mutant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bCs/>
          <w:color w:val="000000"/>
          <w:sz w:val="21"/>
          <w:szCs w:val="21"/>
        </w:rPr>
        <w:t xml:space="preserve">and </w:t>
      </w:r>
      <w:r>
        <w:rPr>
          <w:rFonts w:ascii="Times New Roman" w:hAnsi="Times New Roman"/>
          <w:sz w:val="21"/>
          <w:szCs w:val="21"/>
        </w:rPr>
        <w:t>Δ</w:t>
      </w:r>
      <w:bookmarkStart w:id="4" w:name="OLE_LINK11"/>
      <w:r>
        <w:rPr>
          <w:rFonts w:ascii="Times New Roman" w:hAnsi="Times New Roman"/>
          <w:i/>
          <w:sz w:val="21"/>
          <w:szCs w:val="21"/>
        </w:rPr>
        <w:t>cgahp</w:t>
      </w:r>
      <w:bookmarkEnd w:id="4"/>
      <w:r>
        <w:rPr>
          <w:rFonts w:ascii="Times New Roman" w:hAnsi="Times New Roman"/>
          <w:iCs/>
          <w:sz w:val="21"/>
          <w:szCs w:val="21"/>
        </w:rPr>
        <w:t>(</w:t>
      </w:r>
      <w:r>
        <w:rPr>
          <w:rFonts w:ascii="Times New Roman" w:hAnsi="Times New Roman"/>
          <w:sz w:val="21"/>
          <w:szCs w:val="21"/>
        </w:rPr>
        <w:t>pXMJ19-</w:t>
      </w:r>
      <w:r>
        <w:rPr>
          <w:rFonts w:ascii="Times New Roman" w:hAnsi="Times New Roman"/>
          <w:i/>
          <w:sz w:val="21"/>
          <w:szCs w:val="21"/>
        </w:rPr>
        <w:t>c</w:t>
      </w:r>
      <w:bookmarkStart w:id="8" w:name="_GoBack"/>
      <w:bookmarkEnd w:id="8"/>
      <w:r>
        <w:rPr>
          <w:rFonts w:ascii="Times New Roman" w:hAnsi="Times New Roman"/>
          <w:i/>
          <w:sz w:val="21"/>
          <w:szCs w:val="21"/>
        </w:rPr>
        <w:t>gahp</w:t>
      </w:r>
      <w:r>
        <w:rPr>
          <w:rFonts w:ascii="Times New Roman" w:hAnsi="Times New Roman"/>
          <w:iCs/>
          <w:sz w:val="21"/>
          <w:szCs w:val="21"/>
        </w:rPr>
        <w:t>)</w:t>
      </w:r>
      <w:r>
        <w:rPr>
          <w:rFonts w:hint="eastAsia" w:ascii="Times New Roman" w:hAnsi="Times New Roman"/>
          <w:i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sz w:val="21"/>
          <w:szCs w:val="21"/>
        </w:rPr>
        <w:t>caused by the paper disks (Ø = 5 mm) with oxidative stress-inducing reagents. Da</w:t>
      </w:r>
      <w:r>
        <w:rPr>
          <w:rFonts w:hint="eastAsia" w:ascii="Times New Roman" w:hAnsi="Times New Roman"/>
          <w:sz w:val="21"/>
          <w:szCs w:val="21"/>
        </w:rPr>
        <w:t>ta</w:t>
      </w:r>
      <w:r>
        <w:rPr>
          <w:rFonts w:ascii="Times New Roman" w:hAnsi="Times New Roman"/>
          <w:sz w:val="21"/>
          <w:szCs w:val="21"/>
        </w:rPr>
        <w:t xml:space="preserve"> showed the mean and standard error of the 3 samples sets for each reagent. </w:t>
      </w:r>
      <w:r>
        <w:rPr>
          <w:rFonts w:ascii="Times New Roman" w:hAnsi="Times New Roman"/>
          <w:sz w:val="21"/>
          <w:szCs w:val="21"/>
          <w:lang w:val="en-US" w:eastAsia="zh-CN"/>
        </w:rPr>
        <w:t>The asterisk indicate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d </w:t>
      </w:r>
      <w:r>
        <w:rPr>
          <w:rFonts w:hint="default" w:ascii="Times New Roman" w:hAnsi="Times New Roman"/>
          <w:sz w:val="21"/>
          <w:szCs w:val="21"/>
          <w:lang w:val="en-US" w:eastAsia="zh-CN"/>
        </w:rPr>
        <w:t xml:space="preserve">a significant correlation between the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WT(pXMJ19)</w:t>
      </w:r>
      <w:r>
        <w:rPr>
          <w:rFonts w:hint="default" w:ascii="Times New Roman" w:hAnsi="Times New Roman"/>
          <w:sz w:val="21"/>
          <w:szCs w:val="21"/>
          <w:lang w:val="en-US" w:eastAsia="zh-CN"/>
        </w:rPr>
        <w:t xml:space="preserve"> and </w:t>
      </w:r>
      <w:r>
        <w:rPr>
          <w:rFonts w:ascii="Times New Roman" w:hAnsi="Times New Roman"/>
          <w:sz w:val="21"/>
          <w:szCs w:val="21"/>
        </w:rPr>
        <w:t>Δ</w:t>
      </w:r>
      <w:r>
        <w:rPr>
          <w:rFonts w:ascii="Times New Roman" w:hAnsi="Times New Roman"/>
          <w:i/>
          <w:sz w:val="21"/>
          <w:szCs w:val="21"/>
        </w:rPr>
        <w:t>cgahp</w:t>
      </w:r>
      <w:r>
        <w:rPr>
          <w:rFonts w:ascii="Times New Roman" w:hAnsi="Times New Roman"/>
          <w:iCs/>
          <w:sz w:val="21"/>
          <w:szCs w:val="21"/>
        </w:rPr>
        <w:t>(</w:t>
      </w:r>
      <w:r>
        <w:rPr>
          <w:rFonts w:ascii="Times New Roman" w:hAnsi="Times New Roman"/>
          <w:sz w:val="21"/>
          <w:szCs w:val="21"/>
        </w:rPr>
        <w:t>pXMJ19</w:t>
      </w:r>
      <w:r>
        <w:rPr>
          <w:rFonts w:ascii="Times New Roman" w:hAnsi="Times New Roman"/>
          <w:iCs/>
          <w:sz w:val="21"/>
          <w:szCs w:val="21"/>
        </w:rPr>
        <w:t>)</w:t>
      </w:r>
      <w:r>
        <w:rPr>
          <w:rFonts w:ascii="Times New Roman" w:hAnsi="Times New Roman"/>
          <w:sz w:val="21"/>
          <w:szCs w:val="21"/>
        </w:rPr>
        <w:t xml:space="preserve"> mutant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/>
          <w:sz w:val="21"/>
          <w:szCs w:val="21"/>
          <w:lang w:val="en-US" w:eastAsia="zh-CN"/>
        </w:rPr>
        <w:t xml:space="preserve"> at *</w:t>
      </w:r>
      <w:r>
        <w:rPr>
          <w:rFonts w:ascii="Times New Roman" w:hAnsi="Times New Roman"/>
          <w:sz w:val="21"/>
          <w:szCs w:val="21"/>
          <w:lang w:val="en-US" w:eastAsia="zh-CN"/>
        </w:rPr>
        <w:t xml:space="preserve">P ≤ </w:t>
      </w:r>
      <w:r>
        <w:rPr>
          <w:rFonts w:hint="default" w:ascii="Times New Roman" w:hAnsi="Times New Roman"/>
          <w:sz w:val="21"/>
          <w:szCs w:val="21"/>
          <w:lang w:val="en-US" w:eastAsia="zh-CN"/>
        </w:rPr>
        <w:t>0.05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.</w:t>
      </w:r>
    </w:p>
    <w:p>
      <w:pPr>
        <w:spacing w:line="360" w:lineRule="auto"/>
        <w:jc w:val="both"/>
        <w:rPr>
          <w:rFonts w:ascii="Times New Roman" w:hAnsi="Times New Roman"/>
          <w:sz w:val="21"/>
          <w:szCs w:val="21"/>
        </w:rPr>
      </w:pPr>
    </w:p>
    <w:p>
      <w:pPr>
        <w:spacing w:after="0" w:line="360" w:lineRule="auto"/>
        <w:rPr>
          <w:rFonts w:ascii="Times New Roman" w:hAnsi="Times New Roman"/>
          <w:szCs w:val="21"/>
        </w:rPr>
      </w:pPr>
    </w:p>
    <w:p>
      <w:pPr>
        <w:spacing w:after="0" w:line="360" w:lineRule="auto"/>
        <w:jc w:val="center"/>
        <w:rPr>
          <w:rFonts w:ascii="Times New Roman" w:hAnsi="Times New Roman"/>
          <w:szCs w:val="21"/>
        </w:rPr>
      </w:pPr>
      <w:r>
        <w:pict>
          <v:shape id="_x0000_i1027" o:spt="75" type="#_x0000_t75" style="height:119.65pt;width:137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widowControl w:val="0"/>
        <w:autoSpaceDE w:val="0"/>
        <w:autoSpaceDN w:val="0"/>
        <w:adjustRightInd/>
        <w:snapToGrid/>
        <w:spacing w:after="0" w:line="360" w:lineRule="auto"/>
        <w:jc w:val="both"/>
        <w:rPr>
          <w:rFonts w:ascii="Times New Roman" w:hAnsi="Times New Roman" w:eastAsia="宋体"/>
          <w:color w:val="000000"/>
          <w:kern w:val="2"/>
          <w:sz w:val="21"/>
          <w:szCs w:val="21"/>
        </w:rPr>
      </w:pPr>
      <w:r>
        <w:rPr>
          <w:rFonts w:ascii="Times New Roman" w:hAnsi="Times New Roman" w:eastAsia="等线"/>
          <w:b/>
          <w:bCs/>
          <w:color w:val="000000"/>
          <w:kern w:val="2"/>
          <w:sz w:val="21"/>
          <w:szCs w:val="21"/>
        </w:rPr>
        <w:t>Fig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ascii="Times New Roman" w:hAnsi="Times New Roman" w:eastAsia="等线"/>
          <w:b/>
          <w:bCs/>
          <w:color w:val="000000"/>
          <w:kern w:val="2"/>
          <w:sz w:val="21"/>
          <w:szCs w:val="21"/>
        </w:rPr>
        <w:t xml:space="preserve"> S</w:t>
      </w:r>
      <w:r>
        <w:rPr>
          <w:rFonts w:hint="eastAsia" w:ascii="Times New Roman" w:hAnsi="Times New Roman" w:eastAsia="等线"/>
          <w:b/>
          <w:bCs/>
          <w:color w:val="000000"/>
          <w:kern w:val="2"/>
          <w:sz w:val="21"/>
          <w:szCs w:val="21"/>
        </w:rPr>
        <w:t>3</w:t>
      </w:r>
      <w:r>
        <w:rPr>
          <w:rFonts w:ascii="Times New Roman" w:hAnsi="Times New Roman" w:eastAsia="等线"/>
          <w:b/>
          <w:bCs/>
          <w:color w:val="000000"/>
          <w:kern w:val="2"/>
          <w:sz w:val="21"/>
          <w:szCs w:val="21"/>
        </w:rPr>
        <w:t xml:space="preserve"> </w:t>
      </w:r>
      <w:bookmarkStart w:id="5" w:name="_Hlk50733220"/>
      <w:r>
        <w:rPr>
          <w:rFonts w:ascii="Times New Roman" w:hAnsi="Times New Roman" w:eastAsia="等线"/>
          <w:b/>
          <w:bCs/>
          <w:color w:val="000000"/>
          <w:kern w:val="2"/>
          <w:sz w:val="21"/>
          <w:szCs w:val="21"/>
        </w:rPr>
        <w:t>Cys4</w:t>
      </w:r>
      <w:r>
        <w:rPr>
          <w:rFonts w:hint="eastAsia" w:ascii="Times New Roman" w:hAnsi="Times New Roman" w:eastAsia="等线"/>
          <w:b/>
          <w:bCs/>
          <w:color w:val="000000"/>
          <w:kern w:val="2"/>
          <w:sz w:val="21"/>
          <w:szCs w:val="21"/>
        </w:rPr>
        <w:t>2</w:t>
      </w:r>
      <w:r>
        <w:rPr>
          <w:rFonts w:ascii="Times New Roman" w:hAnsi="Times New Roman" w:eastAsia="等线"/>
          <w:b/>
          <w:bCs/>
          <w:color w:val="000000"/>
          <w:kern w:val="2"/>
          <w:sz w:val="21"/>
          <w:szCs w:val="21"/>
        </w:rPr>
        <w:t xml:space="preserve"> was the nucleophilic cysteine of CgA</w:t>
      </w:r>
      <w:r>
        <w:rPr>
          <w:rFonts w:hint="eastAsia" w:ascii="Times New Roman" w:hAnsi="Times New Roman" w:eastAsia="等线"/>
          <w:b/>
          <w:bCs/>
          <w:color w:val="000000"/>
          <w:kern w:val="2"/>
          <w:sz w:val="21"/>
          <w:szCs w:val="21"/>
        </w:rPr>
        <w:t>hp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 xml:space="preserve">. </w:t>
      </w:r>
      <w:bookmarkEnd w:id="5"/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The p</w:t>
      </w:r>
      <w:r>
        <w:rPr>
          <w:rFonts w:ascii="Times New Roman" w:hAnsi="Times New Roman" w:eastAsia="等线"/>
          <w:i/>
          <w:iCs/>
          <w:color w:val="000000"/>
          <w:kern w:val="2"/>
          <w:sz w:val="21"/>
          <w:szCs w:val="21"/>
        </w:rPr>
        <w:t>K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a measurement of the active site cysteines indicates that Cys4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2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 xml:space="preserve"> has an unusual p</w:t>
      </w:r>
      <w:r>
        <w:rPr>
          <w:rFonts w:ascii="Times New Roman" w:hAnsi="Times New Roman" w:eastAsia="等线"/>
          <w:i/>
          <w:iCs/>
          <w:color w:val="000000"/>
          <w:kern w:val="2"/>
          <w:sz w:val="21"/>
          <w:szCs w:val="21"/>
        </w:rPr>
        <w:t>K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a value lower than 6 and that Cys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45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 xml:space="preserve"> was the resolving cysteine with a p</w:t>
      </w:r>
      <w:r>
        <w:rPr>
          <w:rFonts w:ascii="Times New Roman" w:hAnsi="Times New Roman" w:eastAsia="等线"/>
          <w:i/>
          <w:iCs/>
          <w:color w:val="000000"/>
          <w:kern w:val="2"/>
          <w:sz w:val="21"/>
          <w:szCs w:val="21"/>
        </w:rPr>
        <w:t>K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a of 8.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39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. Ionized thiol groups (R-SH) extinction coefficient at 240 nm was utilized to measure p</w:t>
      </w:r>
      <w:r>
        <w:rPr>
          <w:rFonts w:ascii="Times New Roman" w:hAnsi="Times New Roman" w:eastAsia="等线"/>
          <w:i/>
          <w:iCs/>
          <w:color w:val="000000"/>
          <w:kern w:val="2"/>
          <w:sz w:val="21"/>
          <w:szCs w:val="21"/>
        </w:rPr>
        <w:t>K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a values of cysteines of CgA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hp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 xml:space="preserve"> WT (</w:t>
      </w:r>
      <w:r>
        <w:rPr>
          <w:rFonts w:ascii="Times New Roman" w:hAnsi="Times New Roman" w:eastAsia="等线"/>
          <w:color w:val="000000"/>
          <w:kern w:val="2"/>
          <w:sz w:val="21"/>
          <w:szCs w:val="21"/>
        </w:rPr>
        <w:t>○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) and the CgA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hp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:C4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2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S (</w:t>
      </w:r>
      <w:r>
        <w:rPr>
          <w:rFonts w:ascii="Times New Roman" w:hAnsi="Times New Roman" w:eastAsia="等线"/>
          <w:color w:val="000000"/>
          <w:kern w:val="2"/>
          <w:sz w:val="21"/>
          <w:szCs w:val="21"/>
        </w:rPr>
        <w:t>□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) and CgA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hp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:C</w:t>
      </w:r>
      <w:r>
        <w:rPr>
          <w:rFonts w:hint="eastAsia" w:ascii="Times New Roman" w:hAnsi="Times New Roman" w:eastAsia="宋体"/>
          <w:color w:val="000000"/>
          <w:kern w:val="2"/>
          <w:sz w:val="21"/>
          <w:szCs w:val="21"/>
        </w:rPr>
        <w:t>45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S (</w:t>
      </w:r>
      <w:r>
        <w:rPr>
          <w:rFonts w:ascii="Times New Roman" w:hAnsi="Times New Roman" w:eastAsia="等线"/>
          <w:color w:val="000000"/>
          <w:kern w:val="2"/>
          <w:sz w:val="21"/>
          <w:szCs w:val="21"/>
        </w:rPr>
        <w:t>◊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). The ratio composed by 240/280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  <w:vertAlign w:val="subscript"/>
        </w:rPr>
        <w:t xml:space="preserve">red 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>and 240/280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  <w:vertAlign w:val="subscript"/>
        </w:rPr>
        <w:t>ox</w:t>
      </w:r>
      <w:r>
        <w:rPr>
          <w:rFonts w:ascii="Times New Roman" w:hAnsi="Times New Roman" w:eastAsia="Times New Roman"/>
          <w:color w:val="000000"/>
          <w:kern w:val="2"/>
          <w:sz w:val="21"/>
          <w:szCs w:val="21"/>
        </w:rPr>
        <w:t xml:space="preserve"> in a pH range of 5.0 to 12 as fitted with the Henderson-Hasselbalch equation. </w:t>
      </w:r>
    </w:p>
    <w:bookmarkEnd w:id="2"/>
    <w:p>
      <w:pPr>
        <w:autoSpaceDE w:val="0"/>
        <w:autoSpaceDN w:val="0"/>
        <w:spacing w:after="0" w:line="360" w:lineRule="auto"/>
        <w:ind w:left="720" w:hanging="720"/>
        <w:jc w:val="both"/>
        <w:rPr>
          <w:rFonts w:ascii="Times New Roman" w:hAnsi="Times New Roman"/>
          <w:b/>
          <w:sz w:val="24"/>
          <w:szCs w:val="24"/>
        </w:rPr>
      </w:pPr>
    </w:p>
    <w:p>
      <w:pPr>
        <w:autoSpaceDE w:val="0"/>
        <w:autoSpaceDN w:val="0"/>
        <w:spacing w:after="0" w:line="360" w:lineRule="auto"/>
        <w:ind w:left="720" w:hanging="720"/>
        <w:jc w:val="center"/>
      </w:pPr>
      <w:r>
        <w:pict>
          <v:shape id="_x0000_i1028" o:spt="75" alt="图片2" type="#_x0000_t75" style="height:197.65pt;width:386.65pt;" filled="f" o:preferrelative="t" stroked="f" coordsize="21600,21600">
            <v:path/>
            <v:fill on="f" focussize="0,0"/>
            <v:stroke on="f" joinstyle="miter"/>
            <v:imagedata r:id="rId9" o:title="图片2"/>
            <o:lock v:ext="edit" aspectratio="t"/>
            <w10:wrap type="none"/>
            <w10:anchorlock/>
          </v:shape>
        </w:pict>
      </w:r>
    </w:p>
    <w:p>
      <w:pPr>
        <w:autoSpaceDE w:val="0"/>
        <w:autoSpaceDN w:val="0"/>
        <w:spacing w:line="360" w:lineRule="auto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/>
          <w:b/>
          <w:sz w:val="21"/>
          <w:szCs w:val="21"/>
        </w:rPr>
        <w:t>S</w:t>
      </w:r>
      <w:r>
        <w:rPr>
          <w:rFonts w:ascii="Times New Roman" w:hAnsi="Times New Roman"/>
          <w:b/>
          <w:sz w:val="21"/>
          <w:szCs w:val="21"/>
        </w:rPr>
        <w:t xml:space="preserve">4 </w:t>
      </w:r>
      <w:bookmarkStart w:id="6" w:name="_Hlk101442708"/>
      <w:r>
        <w:rPr>
          <w:rFonts w:ascii="Times New Roman" w:hAnsi="Times New Roman"/>
          <w:b/>
          <w:bCs/>
          <w:sz w:val="21"/>
          <w:szCs w:val="21"/>
        </w:rPr>
        <w:t>Oxidized CgA</w:t>
      </w:r>
      <w:r>
        <w:rPr>
          <w:rFonts w:hint="eastAsia" w:ascii="Times New Roman" w:hAnsi="Times New Roman"/>
          <w:b/>
          <w:bCs/>
          <w:sz w:val="21"/>
          <w:szCs w:val="21"/>
        </w:rPr>
        <w:t>hp (</w:t>
      </w:r>
      <w:r>
        <w:rPr>
          <w:rFonts w:ascii="Times New Roman" w:hAnsi="Times New Roman"/>
          <w:b/>
          <w:bCs/>
          <w:sz w:val="21"/>
          <w:szCs w:val="21"/>
        </w:rPr>
        <w:t>CgA</w:t>
      </w:r>
      <w:r>
        <w:rPr>
          <w:rFonts w:hint="eastAsia" w:ascii="Times New Roman" w:hAnsi="Times New Roman"/>
          <w:b/>
          <w:bCs/>
          <w:sz w:val="21"/>
          <w:szCs w:val="21"/>
        </w:rPr>
        <w:t>hp</w:t>
      </w:r>
      <w:r>
        <w:rPr>
          <w:rFonts w:ascii="Times New Roman" w:hAnsi="Times New Roman"/>
          <w:b/>
          <w:bCs/>
          <w:sz w:val="21"/>
          <w:szCs w:val="21"/>
        </w:rPr>
        <w:t>-S</w:t>
      </w:r>
      <w:r>
        <w:rPr>
          <w:rFonts w:ascii="Times New Roman" w:hAnsi="Times New Roman"/>
          <w:b/>
          <w:bCs/>
          <w:sz w:val="21"/>
          <w:szCs w:val="21"/>
          <w:vertAlign w:val="subscript"/>
        </w:rPr>
        <w:t>2</w:t>
      </w:r>
      <w:r>
        <w:rPr>
          <w:rFonts w:hint="eastAsia" w:ascii="Times New Roman" w:hAnsi="Times New Roman"/>
          <w:b/>
          <w:bCs/>
          <w:sz w:val="21"/>
          <w:szCs w:val="21"/>
        </w:rPr>
        <w:t>)</w:t>
      </w:r>
      <w:r>
        <w:rPr>
          <w:rFonts w:ascii="Times New Roman" w:hAnsi="Times New Roman"/>
          <w:b/>
          <w:bCs/>
          <w:sz w:val="21"/>
          <w:szCs w:val="21"/>
        </w:rPr>
        <w:t xml:space="preserve"> was preferably reduced by the Lpd/SucB/NADH pathway. </w:t>
      </w:r>
      <w:bookmarkEnd w:id="6"/>
      <w:r>
        <w:rPr>
          <w:rFonts w:hint="eastAsia" w:ascii="Times New Roman" w:hAnsi="Times New Roman"/>
          <w:sz w:val="21"/>
          <w:szCs w:val="21"/>
        </w:rPr>
        <w:t xml:space="preserve">(A-C) </w:t>
      </w:r>
      <w:r>
        <w:rPr>
          <w:rFonts w:ascii="Times New Roman" w:hAnsi="Times New Roman"/>
          <w:bCs/>
          <w:sz w:val="21"/>
          <w:szCs w:val="21"/>
        </w:rPr>
        <w:t>CgAhp-S</w:t>
      </w:r>
      <w:r>
        <w:rPr>
          <w:rFonts w:ascii="Times New Roman" w:hAnsi="Times New Roman"/>
          <w:bCs/>
          <w:sz w:val="21"/>
          <w:szCs w:val="21"/>
          <w:vertAlign w:val="subscript"/>
        </w:rPr>
        <w:t>2</w:t>
      </w:r>
      <w:r>
        <w:rPr>
          <w:rFonts w:hint="eastAsia" w:ascii="Times New Roman" w:hAnsi="Times New Roman"/>
          <w:bCs/>
          <w:sz w:val="21"/>
          <w:szCs w:val="21"/>
          <w:vertAlign w:val="subscript"/>
        </w:rPr>
        <w:t xml:space="preserve"> </w:t>
      </w:r>
      <w:r>
        <w:rPr>
          <w:rFonts w:ascii="Times New Roman" w:hAnsi="Times New Roman"/>
          <w:sz w:val="21"/>
          <w:szCs w:val="21"/>
        </w:rPr>
        <w:t>was</w:t>
      </w:r>
      <w:r>
        <w:rPr>
          <w:rFonts w:hint="eastAsia"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added as substrate to the </w:t>
      </w:r>
      <w:r>
        <w:rPr>
          <w:rFonts w:ascii="Times New Roman" w:hAnsi="Times New Roman"/>
          <w:bCs/>
          <w:sz w:val="21"/>
          <w:szCs w:val="21"/>
        </w:rPr>
        <w:t>MSH/Mtr/NADPH</w:t>
      </w:r>
      <w:r>
        <w:rPr>
          <w:rFonts w:hint="eastAsia" w:ascii="Times New Roman" w:hAnsi="Times New Roman"/>
          <w:bCs/>
          <w:sz w:val="21"/>
          <w:szCs w:val="21"/>
        </w:rPr>
        <w:t>(A)</w:t>
      </w:r>
      <w:r>
        <w:rPr>
          <w:rFonts w:ascii="Times New Roman" w:hAnsi="Times New Roman"/>
          <w:sz w:val="21"/>
          <w:szCs w:val="21"/>
        </w:rPr>
        <w:t>, the</w:t>
      </w:r>
      <w:r>
        <w:rPr>
          <w:rFonts w:ascii="Times New Roman" w:hAnsi="Times New Roman"/>
          <w:bCs/>
          <w:sz w:val="21"/>
          <w:szCs w:val="21"/>
        </w:rPr>
        <w:t>TrxR/NADPH</w:t>
      </w:r>
      <w:r>
        <w:rPr>
          <w:rFonts w:hint="eastAsia" w:ascii="Times New Roman" w:hAnsi="Times New Roman"/>
          <w:bCs/>
          <w:sz w:val="21"/>
          <w:szCs w:val="21"/>
        </w:rPr>
        <w:t xml:space="preserve"> (B)</w:t>
      </w:r>
      <w:r>
        <w:rPr>
          <w:rFonts w:ascii="Times New Roman" w:hAnsi="Times New Roman"/>
          <w:sz w:val="21"/>
          <w:szCs w:val="21"/>
        </w:rPr>
        <w:t xml:space="preserve"> and the </w:t>
      </w:r>
      <w:r>
        <w:rPr>
          <w:rFonts w:ascii="Times New Roman" w:hAnsi="Times New Roman"/>
          <w:bCs/>
          <w:sz w:val="21"/>
          <w:szCs w:val="21"/>
        </w:rPr>
        <w:t>Lpd/SucB/NADH</w:t>
      </w:r>
      <w:r>
        <w:rPr>
          <w:rFonts w:hint="eastAsia" w:ascii="Times New Roman" w:hAnsi="Times New Roman"/>
          <w:bCs/>
          <w:sz w:val="21"/>
          <w:szCs w:val="21"/>
        </w:rPr>
        <w:t xml:space="preserve"> (C)</w:t>
      </w:r>
      <w:r>
        <w:rPr>
          <w:rFonts w:ascii="Times New Roman" w:hAnsi="Times New Roman"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pathway. A control reaction in the absence of </w:t>
      </w:r>
      <w:r>
        <w:rPr>
          <w:rFonts w:ascii="Times New Roman" w:hAnsi="Times New Roman"/>
          <w:bCs/>
          <w:sz w:val="21"/>
          <w:szCs w:val="21"/>
        </w:rPr>
        <w:t>CgAhp-S</w:t>
      </w:r>
      <w:r>
        <w:rPr>
          <w:rFonts w:ascii="Times New Roman" w:hAnsi="Times New Roman"/>
          <w:bCs/>
          <w:sz w:val="21"/>
          <w:szCs w:val="21"/>
          <w:vertAlign w:val="subscript"/>
        </w:rPr>
        <w:t xml:space="preserve">2 </w:t>
      </w:r>
      <w:r>
        <w:rPr>
          <w:rFonts w:hint="eastAsia" w:ascii="Times New Roman" w:hAnsi="Times New Roman"/>
          <w:sz w:val="21"/>
          <w:szCs w:val="21"/>
        </w:rPr>
        <w:t>wa</w:t>
      </w:r>
      <w:r>
        <w:rPr>
          <w:rFonts w:ascii="Times New Roman" w:hAnsi="Times New Roman"/>
          <w:sz w:val="21"/>
          <w:szCs w:val="21"/>
        </w:rPr>
        <w:t>s included. The consumption of NADPH</w:t>
      </w:r>
      <w:r>
        <w:rPr>
          <w:rFonts w:hint="eastAsia" w:ascii="Times New Roman" w:hAnsi="Times New Roman"/>
          <w:sz w:val="21"/>
          <w:szCs w:val="21"/>
        </w:rPr>
        <w:t xml:space="preserve"> or NADH</w:t>
      </w:r>
      <w:r>
        <w:rPr>
          <w:rFonts w:ascii="Times New Roman" w:hAnsi="Times New Roman"/>
          <w:sz w:val="21"/>
          <w:szCs w:val="21"/>
        </w:rPr>
        <w:t xml:space="preserve"> at 340 nm </w:t>
      </w:r>
      <w:r>
        <w:rPr>
          <w:rFonts w:hint="eastAsia" w:ascii="Times New Roman" w:hAnsi="Times New Roman"/>
          <w:sz w:val="21"/>
          <w:szCs w:val="21"/>
        </w:rPr>
        <w:t>wa</w:t>
      </w:r>
      <w:r>
        <w:rPr>
          <w:rFonts w:ascii="Times New Roman" w:hAnsi="Times New Roman"/>
          <w:sz w:val="21"/>
          <w:szCs w:val="21"/>
        </w:rPr>
        <w:t>s shown.</w:t>
      </w:r>
      <w:r>
        <w:rPr>
          <w:rFonts w:hint="eastAsia"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>(D-F)</w:t>
      </w:r>
      <w:r>
        <w:rPr>
          <w:rFonts w:hint="eastAsia" w:ascii="Times New Roman" w:hAnsi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The reduction of </w:t>
      </w:r>
      <w:bookmarkStart w:id="7" w:name="OLE_LINK23"/>
      <w:r>
        <w:rPr>
          <w:rFonts w:ascii="Times New Roman" w:hAnsi="Times New Roman"/>
          <w:bCs/>
          <w:sz w:val="21"/>
          <w:szCs w:val="21"/>
        </w:rPr>
        <w:t>CgAhp-S</w:t>
      </w:r>
      <w:r>
        <w:rPr>
          <w:rFonts w:ascii="Times New Roman" w:hAnsi="Times New Roman"/>
          <w:bCs/>
          <w:sz w:val="21"/>
          <w:szCs w:val="21"/>
          <w:vertAlign w:val="subscript"/>
        </w:rPr>
        <w:t>2</w:t>
      </w:r>
      <w:bookmarkEnd w:id="7"/>
      <w:r>
        <w:rPr>
          <w:rFonts w:ascii="Times New Roman" w:hAnsi="Times New Roman"/>
          <w:bCs/>
          <w:sz w:val="21"/>
          <w:szCs w:val="21"/>
          <w:vertAlign w:val="subscript"/>
        </w:rPr>
        <w:t xml:space="preserve"> </w:t>
      </w:r>
      <w:r>
        <w:rPr>
          <w:rFonts w:ascii="Times New Roman" w:hAnsi="Times New Roman"/>
          <w:sz w:val="21"/>
          <w:szCs w:val="21"/>
        </w:rPr>
        <w:t>by</w:t>
      </w:r>
      <w:r>
        <w:rPr>
          <w:rFonts w:ascii="Times New Roman" w:hAnsi="Times New Roman"/>
          <w:bCs/>
          <w:sz w:val="21"/>
          <w:szCs w:val="21"/>
        </w:rPr>
        <w:t xml:space="preserve"> the MSH/Mtr/NADPH, the TrxR/NADPH, or Lpd/SucB/NADH pathway</w:t>
      </w:r>
      <w:r>
        <w:rPr>
          <w:rFonts w:ascii="Times New Roman" w:hAnsi="Times New Roman"/>
          <w:sz w:val="21"/>
          <w:szCs w:val="21"/>
        </w:rPr>
        <w:t xml:space="preserve"> was evaluated via Michaelis-Menten steady-state kinetics using the program GraphPad Prism 5. The data were represented as mean ± SD of three independent experiments. Different concentrations of</w:t>
      </w:r>
      <w:r>
        <w:rPr>
          <w:rFonts w:hint="eastAsia"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bCs/>
          <w:sz w:val="21"/>
          <w:szCs w:val="21"/>
        </w:rPr>
        <w:t>CgDsbA-S</w:t>
      </w:r>
      <w:r>
        <w:rPr>
          <w:rFonts w:ascii="Times New Roman" w:hAnsi="Times New Roman"/>
          <w:bCs/>
          <w:sz w:val="21"/>
          <w:szCs w:val="21"/>
          <w:vertAlign w:val="subscript"/>
        </w:rPr>
        <w:t>2</w:t>
      </w:r>
      <w:r>
        <w:rPr>
          <w:rFonts w:ascii="Times New Roman" w:hAnsi="Times New Roman"/>
          <w:sz w:val="21"/>
          <w:szCs w:val="21"/>
        </w:rPr>
        <w:t xml:space="preserve"> were mixed with a pre-incubated reaction mixture. </w:t>
      </w:r>
    </w:p>
    <w:p>
      <w:pPr>
        <w:autoSpaceDE w:val="0"/>
        <w:autoSpaceDN w:val="0"/>
        <w:spacing w:after="0" w:line="360" w:lineRule="auto"/>
        <w:ind w:left="720" w:hanging="720"/>
        <w:rPr>
          <w:rFonts w:ascii="Times New Roman" w:hAnsi="Times New Roman"/>
          <w:b/>
          <w:sz w:val="24"/>
          <w:szCs w:val="24"/>
        </w:rPr>
      </w:pPr>
    </w:p>
    <w:sectPr>
      <w:footerReference r:id="rId4" w:type="default"/>
      <w:pgSz w:w="11906" w:h="16838"/>
      <w:pgMar w:top="1440" w:right="1701" w:bottom="1440" w:left="1701" w:header="709" w:footer="709" w:gutter="0"/>
      <w:lnNumType w:countBy="1" w:restart="continuous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utch801BT-Roman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liss-Medium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dwpvfAdvTT3713a23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wrmvtAdvTT50a2f13e . 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jpgsfAdvTT3713a231 + 2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NotTrackMoves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hjYWZmM2FlZWI1ZGE3MTVlNTBjODQ2NmI4NzVjM2MifQ=="/>
  </w:docVars>
  <w:rsids>
    <w:rsidRoot w:val="00D31D50"/>
    <w:rsid w:val="0000031D"/>
    <w:rsid w:val="00002AF5"/>
    <w:rsid w:val="000038BD"/>
    <w:rsid w:val="00004A66"/>
    <w:rsid w:val="000112E0"/>
    <w:rsid w:val="000139B2"/>
    <w:rsid w:val="00021692"/>
    <w:rsid w:val="0003210E"/>
    <w:rsid w:val="00032543"/>
    <w:rsid w:val="00052AED"/>
    <w:rsid w:val="00056125"/>
    <w:rsid w:val="00060905"/>
    <w:rsid w:val="000673FA"/>
    <w:rsid w:val="00076C50"/>
    <w:rsid w:val="000775A5"/>
    <w:rsid w:val="00083615"/>
    <w:rsid w:val="00097688"/>
    <w:rsid w:val="000A0AD8"/>
    <w:rsid w:val="000D1BC8"/>
    <w:rsid w:val="000D4B92"/>
    <w:rsid w:val="000D6554"/>
    <w:rsid w:val="000E2F56"/>
    <w:rsid w:val="000F72F7"/>
    <w:rsid w:val="00102A54"/>
    <w:rsid w:val="00112585"/>
    <w:rsid w:val="00114EDA"/>
    <w:rsid w:val="00120405"/>
    <w:rsid w:val="00130666"/>
    <w:rsid w:val="001341FD"/>
    <w:rsid w:val="0014513B"/>
    <w:rsid w:val="0014789D"/>
    <w:rsid w:val="00147C65"/>
    <w:rsid w:val="00161544"/>
    <w:rsid w:val="0017068B"/>
    <w:rsid w:val="00175BF6"/>
    <w:rsid w:val="00176381"/>
    <w:rsid w:val="00176B61"/>
    <w:rsid w:val="0018386D"/>
    <w:rsid w:val="00187A71"/>
    <w:rsid w:val="001927AE"/>
    <w:rsid w:val="001A0CCA"/>
    <w:rsid w:val="001A1521"/>
    <w:rsid w:val="001A27D0"/>
    <w:rsid w:val="001A3E62"/>
    <w:rsid w:val="001A5054"/>
    <w:rsid w:val="001C2445"/>
    <w:rsid w:val="001C417D"/>
    <w:rsid w:val="001D1DBA"/>
    <w:rsid w:val="001D607D"/>
    <w:rsid w:val="001E7888"/>
    <w:rsid w:val="001F119E"/>
    <w:rsid w:val="001F1A9D"/>
    <w:rsid w:val="001F34BA"/>
    <w:rsid w:val="001F34F6"/>
    <w:rsid w:val="001F5139"/>
    <w:rsid w:val="001F6F6C"/>
    <w:rsid w:val="002041D0"/>
    <w:rsid w:val="00206E2E"/>
    <w:rsid w:val="002076EE"/>
    <w:rsid w:val="002143F3"/>
    <w:rsid w:val="0021611A"/>
    <w:rsid w:val="00216B15"/>
    <w:rsid w:val="00226856"/>
    <w:rsid w:val="002310B0"/>
    <w:rsid w:val="00232CFB"/>
    <w:rsid w:val="00234D20"/>
    <w:rsid w:val="0023603C"/>
    <w:rsid w:val="002452AB"/>
    <w:rsid w:val="002511E6"/>
    <w:rsid w:val="00252009"/>
    <w:rsid w:val="002530BA"/>
    <w:rsid w:val="002538D0"/>
    <w:rsid w:val="00257F5F"/>
    <w:rsid w:val="00260357"/>
    <w:rsid w:val="00262240"/>
    <w:rsid w:val="00262A37"/>
    <w:rsid w:val="002639B8"/>
    <w:rsid w:val="00267723"/>
    <w:rsid w:val="00271AAA"/>
    <w:rsid w:val="00276FB2"/>
    <w:rsid w:val="002836FD"/>
    <w:rsid w:val="002863AC"/>
    <w:rsid w:val="00293866"/>
    <w:rsid w:val="0029445C"/>
    <w:rsid w:val="002963C1"/>
    <w:rsid w:val="0029695E"/>
    <w:rsid w:val="002A1015"/>
    <w:rsid w:val="002A6B34"/>
    <w:rsid w:val="002A77DD"/>
    <w:rsid w:val="002B20FA"/>
    <w:rsid w:val="002B64C0"/>
    <w:rsid w:val="002C3926"/>
    <w:rsid w:val="002C5D64"/>
    <w:rsid w:val="002E3347"/>
    <w:rsid w:val="002E72F4"/>
    <w:rsid w:val="002F32E7"/>
    <w:rsid w:val="002F7585"/>
    <w:rsid w:val="002F75C7"/>
    <w:rsid w:val="00300779"/>
    <w:rsid w:val="003038D0"/>
    <w:rsid w:val="00315BDC"/>
    <w:rsid w:val="00323B43"/>
    <w:rsid w:val="00334245"/>
    <w:rsid w:val="003448DB"/>
    <w:rsid w:val="0035271A"/>
    <w:rsid w:val="003624E0"/>
    <w:rsid w:val="00363DB3"/>
    <w:rsid w:val="003734C6"/>
    <w:rsid w:val="0037405D"/>
    <w:rsid w:val="003779A4"/>
    <w:rsid w:val="003802CD"/>
    <w:rsid w:val="0038092B"/>
    <w:rsid w:val="00380C90"/>
    <w:rsid w:val="003810A5"/>
    <w:rsid w:val="003856AF"/>
    <w:rsid w:val="00387054"/>
    <w:rsid w:val="003873F9"/>
    <w:rsid w:val="003A1C35"/>
    <w:rsid w:val="003A7358"/>
    <w:rsid w:val="003B07BD"/>
    <w:rsid w:val="003B133A"/>
    <w:rsid w:val="003B49A9"/>
    <w:rsid w:val="003C6489"/>
    <w:rsid w:val="003D37D8"/>
    <w:rsid w:val="003D618D"/>
    <w:rsid w:val="003E029C"/>
    <w:rsid w:val="003E276C"/>
    <w:rsid w:val="003E5E51"/>
    <w:rsid w:val="003E6B0A"/>
    <w:rsid w:val="003F3473"/>
    <w:rsid w:val="0040591E"/>
    <w:rsid w:val="00411FAB"/>
    <w:rsid w:val="00414F9A"/>
    <w:rsid w:val="00417A69"/>
    <w:rsid w:val="004221AD"/>
    <w:rsid w:val="00422A80"/>
    <w:rsid w:val="00426133"/>
    <w:rsid w:val="00432E26"/>
    <w:rsid w:val="004358AB"/>
    <w:rsid w:val="00436254"/>
    <w:rsid w:val="00440A45"/>
    <w:rsid w:val="004417A3"/>
    <w:rsid w:val="004442A4"/>
    <w:rsid w:val="004502B8"/>
    <w:rsid w:val="00450882"/>
    <w:rsid w:val="004532E8"/>
    <w:rsid w:val="0046266E"/>
    <w:rsid w:val="004647CD"/>
    <w:rsid w:val="0046741D"/>
    <w:rsid w:val="00473866"/>
    <w:rsid w:val="00477456"/>
    <w:rsid w:val="004801F2"/>
    <w:rsid w:val="00487182"/>
    <w:rsid w:val="00490694"/>
    <w:rsid w:val="00495E9B"/>
    <w:rsid w:val="004A2718"/>
    <w:rsid w:val="004A61E8"/>
    <w:rsid w:val="004B122B"/>
    <w:rsid w:val="004B2725"/>
    <w:rsid w:val="004B68B2"/>
    <w:rsid w:val="004C301D"/>
    <w:rsid w:val="004D4871"/>
    <w:rsid w:val="004E641E"/>
    <w:rsid w:val="004F0E18"/>
    <w:rsid w:val="004F79DA"/>
    <w:rsid w:val="004F7BC5"/>
    <w:rsid w:val="004F7D84"/>
    <w:rsid w:val="00503572"/>
    <w:rsid w:val="00506892"/>
    <w:rsid w:val="005123AA"/>
    <w:rsid w:val="00527239"/>
    <w:rsid w:val="00534B0F"/>
    <w:rsid w:val="00535E20"/>
    <w:rsid w:val="00544331"/>
    <w:rsid w:val="00553706"/>
    <w:rsid w:val="00561694"/>
    <w:rsid w:val="00563225"/>
    <w:rsid w:val="00566AA6"/>
    <w:rsid w:val="00572E09"/>
    <w:rsid w:val="0058207E"/>
    <w:rsid w:val="00592BCE"/>
    <w:rsid w:val="00594974"/>
    <w:rsid w:val="005A01FC"/>
    <w:rsid w:val="005A4E85"/>
    <w:rsid w:val="005B1D9C"/>
    <w:rsid w:val="005B337D"/>
    <w:rsid w:val="005B4427"/>
    <w:rsid w:val="005C1D8B"/>
    <w:rsid w:val="005C65C6"/>
    <w:rsid w:val="005D2D77"/>
    <w:rsid w:val="005D5C20"/>
    <w:rsid w:val="005E481B"/>
    <w:rsid w:val="005E53C6"/>
    <w:rsid w:val="005F1B9E"/>
    <w:rsid w:val="005F236D"/>
    <w:rsid w:val="005F256B"/>
    <w:rsid w:val="00611CFA"/>
    <w:rsid w:val="006155AC"/>
    <w:rsid w:val="006157EC"/>
    <w:rsid w:val="006227ED"/>
    <w:rsid w:val="00622921"/>
    <w:rsid w:val="00634F27"/>
    <w:rsid w:val="006367FA"/>
    <w:rsid w:val="0064634B"/>
    <w:rsid w:val="006512B8"/>
    <w:rsid w:val="00653F58"/>
    <w:rsid w:val="006556EA"/>
    <w:rsid w:val="0065610F"/>
    <w:rsid w:val="0065664E"/>
    <w:rsid w:val="00665020"/>
    <w:rsid w:val="00667463"/>
    <w:rsid w:val="00667F85"/>
    <w:rsid w:val="00670DF3"/>
    <w:rsid w:val="00672047"/>
    <w:rsid w:val="00673053"/>
    <w:rsid w:val="00674EAA"/>
    <w:rsid w:val="0068737D"/>
    <w:rsid w:val="006905BF"/>
    <w:rsid w:val="006A08C1"/>
    <w:rsid w:val="006A2969"/>
    <w:rsid w:val="006A4B77"/>
    <w:rsid w:val="006A53B5"/>
    <w:rsid w:val="006D0F7F"/>
    <w:rsid w:val="006D6E64"/>
    <w:rsid w:val="006D7027"/>
    <w:rsid w:val="006E3A1E"/>
    <w:rsid w:val="006E6E20"/>
    <w:rsid w:val="006E7B3A"/>
    <w:rsid w:val="006F4920"/>
    <w:rsid w:val="00701CAF"/>
    <w:rsid w:val="00707C74"/>
    <w:rsid w:val="00715748"/>
    <w:rsid w:val="0073336D"/>
    <w:rsid w:val="0073758D"/>
    <w:rsid w:val="0074168E"/>
    <w:rsid w:val="00781204"/>
    <w:rsid w:val="00782335"/>
    <w:rsid w:val="007A1F16"/>
    <w:rsid w:val="007A35BA"/>
    <w:rsid w:val="007A5791"/>
    <w:rsid w:val="007B0C36"/>
    <w:rsid w:val="007B3FC6"/>
    <w:rsid w:val="007C0A8E"/>
    <w:rsid w:val="007C6AB8"/>
    <w:rsid w:val="007D18AB"/>
    <w:rsid w:val="007D3BE4"/>
    <w:rsid w:val="007D6E40"/>
    <w:rsid w:val="007E1633"/>
    <w:rsid w:val="007E54F4"/>
    <w:rsid w:val="007E7530"/>
    <w:rsid w:val="007E7BC3"/>
    <w:rsid w:val="00812656"/>
    <w:rsid w:val="00815A57"/>
    <w:rsid w:val="0081728D"/>
    <w:rsid w:val="00817E8C"/>
    <w:rsid w:val="00825654"/>
    <w:rsid w:val="00830696"/>
    <w:rsid w:val="0083079D"/>
    <w:rsid w:val="008318ED"/>
    <w:rsid w:val="00843041"/>
    <w:rsid w:val="00856D95"/>
    <w:rsid w:val="0085780C"/>
    <w:rsid w:val="008609AA"/>
    <w:rsid w:val="00860AEA"/>
    <w:rsid w:val="00863F6B"/>
    <w:rsid w:val="00864F65"/>
    <w:rsid w:val="0086569A"/>
    <w:rsid w:val="008668C3"/>
    <w:rsid w:val="008679B6"/>
    <w:rsid w:val="00873E10"/>
    <w:rsid w:val="00876F9D"/>
    <w:rsid w:val="00880FDF"/>
    <w:rsid w:val="0088509E"/>
    <w:rsid w:val="00887ED1"/>
    <w:rsid w:val="00892CB2"/>
    <w:rsid w:val="008936BD"/>
    <w:rsid w:val="00894EFA"/>
    <w:rsid w:val="008A0537"/>
    <w:rsid w:val="008A3717"/>
    <w:rsid w:val="008B5209"/>
    <w:rsid w:val="008B7726"/>
    <w:rsid w:val="008C021D"/>
    <w:rsid w:val="008C1F7D"/>
    <w:rsid w:val="008C31F1"/>
    <w:rsid w:val="008C59F1"/>
    <w:rsid w:val="008E12B9"/>
    <w:rsid w:val="008E4752"/>
    <w:rsid w:val="008E6A1E"/>
    <w:rsid w:val="008F23D5"/>
    <w:rsid w:val="008F7CF2"/>
    <w:rsid w:val="00905FDF"/>
    <w:rsid w:val="00907974"/>
    <w:rsid w:val="00913A4C"/>
    <w:rsid w:val="009334F8"/>
    <w:rsid w:val="00933FC8"/>
    <w:rsid w:val="00941003"/>
    <w:rsid w:val="009417D9"/>
    <w:rsid w:val="00941EFC"/>
    <w:rsid w:val="00957DC8"/>
    <w:rsid w:val="00960BE5"/>
    <w:rsid w:val="00963E9E"/>
    <w:rsid w:val="0096588D"/>
    <w:rsid w:val="00970448"/>
    <w:rsid w:val="00970A8B"/>
    <w:rsid w:val="009750F4"/>
    <w:rsid w:val="009767C9"/>
    <w:rsid w:val="0098094D"/>
    <w:rsid w:val="009849C8"/>
    <w:rsid w:val="009A56F0"/>
    <w:rsid w:val="009B68E4"/>
    <w:rsid w:val="009B7AD1"/>
    <w:rsid w:val="009C218A"/>
    <w:rsid w:val="009C3AA1"/>
    <w:rsid w:val="009C69CA"/>
    <w:rsid w:val="009E05BD"/>
    <w:rsid w:val="009E4302"/>
    <w:rsid w:val="00A131F4"/>
    <w:rsid w:val="00A2322A"/>
    <w:rsid w:val="00A267BD"/>
    <w:rsid w:val="00A319F3"/>
    <w:rsid w:val="00A32EFA"/>
    <w:rsid w:val="00A35CFE"/>
    <w:rsid w:val="00A3680A"/>
    <w:rsid w:val="00A4467C"/>
    <w:rsid w:val="00A47021"/>
    <w:rsid w:val="00A509A3"/>
    <w:rsid w:val="00A550EA"/>
    <w:rsid w:val="00A56399"/>
    <w:rsid w:val="00A648CE"/>
    <w:rsid w:val="00A657F9"/>
    <w:rsid w:val="00A673CF"/>
    <w:rsid w:val="00A726A7"/>
    <w:rsid w:val="00A75CE6"/>
    <w:rsid w:val="00A777B1"/>
    <w:rsid w:val="00A8017C"/>
    <w:rsid w:val="00A85178"/>
    <w:rsid w:val="00A87903"/>
    <w:rsid w:val="00A93DC7"/>
    <w:rsid w:val="00A94B5F"/>
    <w:rsid w:val="00A97C70"/>
    <w:rsid w:val="00A97CA2"/>
    <w:rsid w:val="00AB02C6"/>
    <w:rsid w:val="00AB3084"/>
    <w:rsid w:val="00AC547A"/>
    <w:rsid w:val="00AD40EF"/>
    <w:rsid w:val="00AF2BF0"/>
    <w:rsid w:val="00AF50AD"/>
    <w:rsid w:val="00AF7463"/>
    <w:rsid w:val="00B074AB"/>
    <w:rsid w:val="00B12D26"/>
    <w:rsid w:val="00B1321B"/>
    <w:rsid w:val="00B249E7"/>
    <w:rsid w:val="00B2526C"/>
    <w:rsid w:val="00B25C80"/>
    <w:rsid w:val="00B2719B"/>
    <w:rsid w:val="00B32E4E"/>
    <w:rsid w:val="00B3365E"/>
    <w:rsid w:val="00B33667"/>
    <w:rsid w:val="00B36111"/>
    <w:rsid w:val="00B379D4"/>
    <w:rsid w:val="00B52870"/>
    <w:rsid w:val="00B70391"/>
    <w:rsid w:val="00B70D8A"/>
    <w:rsid w:val="00B7219C"/>
    <w:rsid w:val="00B74DB6"/>
    <w:rsid w:val="00B7519B"/>
    <w:rsid w:val="00B85F4D"/>
    <w:rsid w:val="00B91164"/>
    <w:rsid w:val="00B974C0"/>
    <w:rsid w:val="00BA1AA4"/>
    <w:rsid w:val="00BA3763"/>
    <w:rsid w:val="00BA44B7"/>
    <w:rsid w:val="00BA4772"/>
    <w:rsid w:val="00BB45FD"/>
    <w:rsid w:val="00BC06DE"/>
    <w:rsid w:val="00BC1D00"/>
    <w:rsid w:val="00BC3911"/>
    <w:rsid w:val="00BD69B5"/>
    <w:rsid w:val="00BD6E11"/>
    <w:rsid w:val="00C203A9"/>
    <w:rsid w:val="00C20F06"/>
    <w:rsid w:val="00C235FE"/>
    <w:rsid w:val="00C26B51"/>
    <w:rsid w:val="00C33EC4"/>
    <w:rsid w:val="00C458CC"/>
    <w:rsid w:val="00C474C7"/>
    <w:rsid w:val="00C52A1D"/>
    <w:rsid w:val="00C53353"/>
    <w:rsid w:val="00C56F70"/>
    <w:rsid w:val="00C571B1"/>
    <w:rsid w:val="00C57C33"/>
    <w:rsid w:val="00C64F3D"/>
    <w:rsid w:val="00C671F9"/>
    <w:rsid w:val="00C67964"/>
    <w:rsid w:val="00C70BD7"/>
    <w:rsid w:val="00C73E9A"/>
    <w:rsid w:val="00C77DB0"/>
    <w:rsid w:val="00C82ADC"/>
    <w:rsid w:val="00C95A15"/>
    <w:rsid w:val="00C97DC8"/>
    <w:rsid w:val="00CA4750"/>
    <w:rsid w:val="00CA48B7"/>
    <w:rsid w:val="00CB335B"/>
    <w:rsid w:val="00CB561D"/>
    <w:rsid w:val="00CB6640"/>
    <w:rsid w:val="00CD08A5"/>
    <w:rsid w:val="00CE02A2"/>
    <w:rsid w:val="00CE59A2"/>
    <w:rsid w:val="00CE743E"/>
    <w:rsid w:val="00CF62A2"/>
    <w:rsid w:val="00D03C71"/>
    <w:rsid w:val="00D03F5C"/>
    <w:rsid w:val="00D049C1"/>
    <w:rsid w:val="00D05AE0"/>
    <w:rsid w:val="00D05D54"/>
    <w:rsid w:val="00D12E6B"/>
    <w:rsid w:val="00D2313E"/>
    <w:rsid w:val="00D24169"/>
    <w:rsid w:val="00D31D50"/>
    <w:rsid w:val="00D41C0F"/>
    <w:rsid w:val="00D451A5"/>
    <w:rsid w:val="00D45A80"/>
    <w:rsid w:val="00D45E67"/>
    <w:rsid w:val="00D51E25"/>
    <w:rsid w:val="00D6064A"/>
    <w:rsid w:val="00D73CB8"/>
    <w:rsid w:val="00D76DFC"/>
    <w:rsid w:val="00D77A7B"/>
    <w:rsid w:val="00D77B14"/>
    <w:rsid w:val="00D77DF1"/>
    <w:rsid w:val="00D82ECA"/>
    <w:rsid w:val="00D9138E"/>
    <w:rsid w:val="00DB1E5E"/>
    <w:rsid w:val="00DD7761"/>
    <w:rsid w:val="00DD7F7D"/>
    <w:rsid w:val="00DF3DFB"/>
    <w:rsid w:val="00DF4E4A"/>
    <w:rsid w:val="00E00523"/>
    <w:rsid w:val="00E00DAB"/>
    <w:rsid w:val="00E07D1C"/>
    <w:rsid w:val="00E123F9"/>
    <w:rsid w:val="00E125F0"/>
    <w:rsid w:val="00E23EC2"/>
    <w:rsid w:val="00E406B4"/>
    <w:rsid w:val="00E509DF"/>
    <w:rsid w:val="00E5112F"/>
    <w:rsid w:val="00E537EE"/>
    <w:rsid w:val="00E56D8D"/>
    <w:rsid w:val="00E63459"/>
    <w:rsid w:val="00E66609"/>
    <w:rsid w:val="00E6785A"/>
    <w:rsid w:val="00E73694"/>
    <w:rsid w:val="00E822D9"/>
    <w:rsid w:val="00EA2531"/>
    <w:rsid w:val="00EA4B5E"/>
    <w:rsid w:val="00EB2863"/>
    <w:rsid w:val="00EB683A"/>
    <w:rsid w:val="00ED093A"/>
    <w:rsid w:val="00ED2B27"/>
    <w:rsid w:val="00EE14A8"/>
    <w:rsid w:val="00EE6A20"/>
    <w:rsid w:val="00EE7E93"/>
    <w:rsid w:val="00EF44A1"/>
    <w:rsid w:val="00EF5F4D"/>
    <w:rsid w:val="00F044AF"/>
    <w:rsid w:val="00F06A56"/>
    <w:rsid w:val="00F0724D"/>
    <w:rsid w:val="00F1267F"/>
    <w:rsid w:val="00F1409C"/>
    <w:rsid w:val="00F14FCD"/>
    <w:rsid w:val="00F1785F"/>
    <w:rsid w:val="00F20F1B"/>
    <w:rsid w:val="00F26A12"/>
    <w:rsid w:val="00F344CE"/>
    <w:rsid w:val="00F368D3"/>
    <w:rsid w:val="00F622F7"/>
    <w:rsid w:val="00F65980"/>
    <w:rsid w:val="00F71947"/>
    <w:rsid w:val="00F80D71"/>
    <w:rsid w:val="00F8187D"/>
    <w:rsid w:val="00F84FCE"/>
    <w:rsid w:val="00F90244"/>
    <w:rsid w:val="00FA5E74"/>
    <w:rsid w:val="00FB16F2"/>
    <w:rsid w:val="00FB36CD"/>
    <w:rsid w:val="00FB7B0B"/>
    <w:rsid w:val="00FD00B3"/>
    <w:rsid w:val="00FD7C27"/>
    <w:rsid w:val="00FE21BD"/>
    <w:rsid w:val="00FE22A1"/>
    <w:rsid w:val="00FE31AA"/>
    <w:rsid w:val="00FF3184"/>
    <w:rsid w:val="020B4188"/>
    <w:rsid w:val="02DB3449"/>
    <w:rsid w:val="033B668D"/>
    <w:rsid w:val="087D3A94"/>
    <w:rsid w:val="09552132"/>
    <w:rsid w:val="0A7544EA"/>
    <w:rsid w:val="0AF54144"/>
    <w:rsid w:val="0E906D5F"/>
    <w:rsid w:val="0EE81000"/>
    <w:rsid w:val="100449FE"/>
    <w:rsid w:val="11B63FC3"/>
    <w:rsid w:val="14B545B5"/>
    <w:rsid w:val="15155054"/>
    <w:rsid w:val="15300CC6"/>
    <w:rsid w:val="153D502F"/>
    <w:rsid w:val="16BC24F7"/>
    <w:rsid w:val="1A4F5F21"/>
    <w:rsid w:val="1ACF6935"/>
    <w:rsid w:val="1C431C91"/>
    <w:rsid w:val="1CAC1410"/>
    <w:rsid w:val="1CC8473D"/>
    <w:rsid w:val="1DF8056C"/>
    <w:rsid w:val="206D35E3"/>
    <w:rsid w:val="23035684"/>
    <w:rsid w:val="2378465A"/>
    <w:rsid w:val="25284930"/>
    <w:rsid w:val="28812CD5"/>
    <w:rsid w:val="295A7198"/>
    <w:rsid w:val="295B3526"/>
    <w:rsid w:val="295E31AE"/>
    <w:rsid w:val="2A273408"/>
    <w:rsid w:val="31436D79"/>
    <w:rsid w:val="31F14A27"/>
    <w:rsid w:val="32601BAD"/>
    <w:rsid w:val="330B6F95"/>
    <w:rsid w:val="38B90AC3"/>
    <w:rsid w:val="3A033549"/>
    <w:rsid w:val="3BEB0739"/>
    <w:rsid w:val="3C9C5ED7"/>
    <w:rsid w:val="3CF655E7"/>
    <w:rsid w:val="421C20B7"/>
    <w:rsid w:val="44EC107E"/>
    <w:rsid w:val="471C755C"/>
    <w:rsid w:val="49333BC9"/>
    <w:rsid w:val="4B610A73"/>
    <w:rsid w:val="4DBF1A26"/>
    <w:rsid w:val="4DE1329D"/>
    <w:rsid w:val="4F217CC8"/>
    <w:rsid w:val="545C1D7C"/>
    <w:rsid w:val="56D95906"/>
    <w:rsid w:val="56FE711B"/>
    <w:rsid w:val="575C02E5"/>
    <w:rsid w:val="58457054"/>
    <w:rsid w:val="59133EDE"/>
    <w:rsid w:val="5D741676"/>
    <w:rsid w:val="61DE2022"/>
    <w:rsid w:val="624C538F"/>
    <w:rsid w:val="62BB2364"/>
    <w:rsid w:val="62D173A3"/>
    <w:rsid w:val="63F46911"/>
    <w:rsid w:val="64C33752"/>
    <w:rsid w:val="6A674B7F"/>
    <w:rsid w:val="6B5B2331"/>
    <w:rsid w:val="6EEE3AC1"/>
    <w:rsid w:val="6FF45107"/>
    <w:rsid w:val="708741CD"/>
    <w:rsid w:val="71D1550A"/>
    <w:rsid w:val="761E748A"/>
    <w:rsid w:val="76805637"/>
    <w:rsid w:val="77336515"/>
    <w:rsid w:val="7836276E"/>
    <w:rsid w:val="7927654D"/>
    <w:rsid w:val="7BD30CB9"/>
    <w:rsid w:val="7BE866FA"/>
    <w:rsid w:val="7D2F3C22"/>
    <w:rsid w:val="7E257F49"/>
    <w:rsid w:val="7F27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Hyperlink"/>
    <w:semiHidden/>
    <w:qFormat/>
    <w:uiPriority w:val="99"/>
    <w:rPr>
      <w:rFonts w:cs="Times New Roman"/>
      <w:color w:val="0000FF"/>
      <w:u w:val="single"/>
    </w:rPr>
  </w:style>
  <w:style w:type="paragraph" w:customStyle="1" w:styleId="1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1">
    <w:name w:val="z-窗体顶端1"/>
    <w:basedOn w:val="1"/>
    <w:next w:val="1"/>
    <w:link w:val="12"/>
    <w:qFormat/>
    <w:uiPriority w:val="99"/>
    <w:pPr>
      <w:pBdr>
        <w:bottom w:val="single" w:color="auto" w:sz="6" w:space="1"/>
      </w:pBdr>
      <w:adjustRightInd/>
      <w:snapToGrid/>
      <w:spacing w:after="0"/>
      <w:jc w:val="center"/>
    </w:pPr>
    <w:rPr>
      <w:rFonts w:ascii="Arial" w:hAnsi="Arial"/>
      <w:vanish/>
      <w:sz w:val="16"/>
      <w:szCs w:val="16"/>
    </w:rPr>
  </w:style>
  <w:style w:type="character" w:customStyle="1" w:styleId="12">
    <w:name w:val="z-窗体顶端 Char"/>
    <w:link w:val="11"/>
    <w:semiHidden/>
    <w:qFormat/>
    <w:locked/>
    <w:uiPriority w:val="99"/>
    <w:rPr>
      <w:rFonts w:ascii="Arial" w:hAnsi="Arial" w:eastAsia="微软雅黑" w:cs="Times New Roman"/>
      <w:vanish/>
      <w:sz w:val="16"/>
      <w:lang w:val="en-US" w:eastAsia="zh-CN"/>
    </w:rPr>
  </w:style>
  <w:style w:type="character" w:customStyle="1" w:styleId="13">
    <w:name w:val="页眉 字符"/>
    <w:link w:val="4"/>
    <w:qFormat/>
    <w:uiPriority w:val="99"/>
    <w:rPr>
      <w:rFonts w:ascii="Tahoma" w:hAnsi="Tahoma"/>
      <w:kern w:val="0"/>
      <w:sz w:val="18"/>
      <w:szCs w:val="18"/>
    </w:rPr>
  </w:style>
  <w:style w:type="character" w:customStyle="1" w:styleId="14">
    <w:name w:val="页脚 字符"/>
    <w:link w:val="3"/>
    <w:qFormat/>
    <w:uiPriority w:val="99"/>
    <w:rPr>
      <w:rFonts w:ascii="Tahoma" w:hAnsi="Tahoma"/>
      <w:kern w:val="0"/>
      <w:sz w:val="18"/>
      <w:szCs w:val="18"/>
    </w:rPr>
  </w:style>
  <w:style w:type="character" w:customStyle="1" w:styleId="15">
    <w:name w:val="fontstyle01"/>
    <w:qFormat/>
    <w:uiPriority w:val="0"/>
    <w:rPr>
      <w:rFonts w:ascii="Dutch801BT-Roman" w:hAnsi="Dutch801BT-Roman"/>
      <w:color w:val="231F20"/>
      <w:sz w:val="18"/>
    </w:rPr>
  </w:style>
  <w:style w:type="character" w:customStyle="1" w:styleId="16">
    <w:name w:val="批注框文本 字符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7">
    <w:name w:val="p15"/>
    <w:qFormat/>
    <w:uiPriority w:val="0"/>
    <w:rPr>
      <w:rFonts w:ascii="Times New Roman" w:hAnsi="Times New Roman" w:eastAsia="宋体" w:cs="Times New Roman"/>
      <w:szCs w:val="21"/>
      <w:lang w:val="en-US" w:eastAsia="zh-CN" w:bidi="ar-SA"/>
    </w:rPr>
  </w:style>
  <w:style w:type="character" w:customStyle="1" w:styleId="18">
    <w:name w:val="fontstyle21"/>
    <w:qFormat/>
    <w:uiPriority w:val="0"/>
    <w:rPr>
      <w:rFonts w:hint="default" w:ascii="Bliss-Medium" w:hAnsi="Bliss-Medium"/>
      <w:color w:val="231F2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00F59-0A9A-40B0-ADB1-6338B38063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1009</Words>
  <Characters>6712</Characters>
  <Lines>57</Lines>
  <Paragraphs>16</Paragraphs>
  <TotalTime>0</TotalTime>
  <ScaleCrop>false</ScaleCrop>
  <LinksUpToDate>false</LinksUpToDate>
  <CharactersWithSpaces>7591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smr</cp:lastModifiedBy>
  <dcterms:modified xsi:type="dcterms:W3CDTF">2023-04-14T07:22:33Z</dcterms:modified>
  <cp:revision>312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3F485E27EC2C463CACB90167DD72B62F</vt:lpwstr>
  </property>
</Properties>
</file>