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sz w:val="28"/>
          <w:szCs w:val="28"/>
        </w:rPr>
        <w:drawing>
          <wp:inline distB="457200" distT="457200" distL="457200" distR="457200">
            <wp:extent cx="4757738" cy="223837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15420" l="216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57738" cy="2238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8"/>
          <w:szCs w:val="28"/>
          <w:rtl w:val="0"/>
        </w:rPr>
        <w:t xml:space="preserve">                                     </w:t>
      </w:r>
    </w:p>
    <w:p w:rsidR="00000000" w:rsidDel="00000000" w:rsidP="00000000" w:rsidRDefault="00000000" w:rsidRPr="00000000" w14:paraId="00000002">
      <w:pPr>
        <w:rPr>
          <w:sz w:val="28"/>
          <w:szCs w:val="28"/>
        </w:rPr>
      </w:pPr>
      <w:bookmarkStart w:colFirst="0" w:colLast="0" w:name="_5dsmoy7yzpm" w:id="1"/>
      <w:bookmarkEnd w:id="1"/>
      <w:r w:rsidDel="00000000" w:rsidR="00000000" w:rsidRPr="00000000">
        <w:rPr>
          <w:sz w:val="28"/>
          <w:szCs w:val="28"/>
        </w:rPr>
        <w:drawing>
          <wp:inline distB="0" distT="0" distL="0" distR="0">
            <wp:extent cx="3290888" cy="2298852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90888" cy="229885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sz w:val="28"/>
          <w:szCs w:val="28"/>
          <w:rtl w:val="0"/>
        </w:rPr>
        <w:t xml:space="preserve">Graph 1 and 2 show within group comparison for ‘Mental practice’ and ‘Control’ group respectively.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0" distT="0" distL="0" distR="0">
            <wp:extent cx="2595563" cy="2167723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95563" cy="21677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bookmarkStart w:colFirst="0" w:colLast="0" w:name="_84hwbza0fv8c" w:id="2"/>
      <w:bookmarkEnd w:id="2"/>
      <w:r w:rsidDel="00000000" w:rsidR="00000000" w:rsidRPr="00000000">
        <w:rPr>
          <w:sz w:val="28"/>
          <w:szCs w:val="28"/>
          <w:rtl w:val="0"/>
        </w:rPr>
        <w:t xml:space="preserve">Graph 3 shows between group comparison pre- and post-test.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