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E0EEE" w14:textId="6B79ED40" w:rsidR="00954B8F" w:rsidRDefault="00954B8F" w:rsidP="00954B8F">
      <w:pPr>
        <w:spacing w:line="440" w:lineRule="exact"/>
        <w:rPr>
          <w:rFonts w:ascii="Times New Roman" w:eastAsia="Microsoft YaHei" w:hAnsi="Times New Roman"/>
          <w:color w:val="000000" w:themeColor="text1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6"/>
        <w:tblW w:w="8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"/>
        <w:gridCol w:w="400"/>
        <w:gridCol w:w="600"/>
        <w:gridCol w:w="867"/>
        <w:gridCol w:w="2550"/>
        <w:gridCol w:w="1683"/>
        <w:gridCol w:w="1300"/>
        <w:gridCol w:w="594"/>
      </w:tblGrid>
      <w:tr w:rsidR="00954B8F" w14:paraId="24E62EB1" w14:textId="77777777" w:rsidTr="00085924">
        <w:trPr>
          <w:trHeight w:val="1027"/>
        </w:trPr>
        <w:tc>
          <w:tcPr>
            <w:tcW w:w="367" w:type="dxa"/>
            <w:vMerge w:val="restart"/>
            <w:tcBorders>
              <w:right w:val="single" w:sz="18" w:space="0" w:color="000000"/>
              <w:tl2br w:val="nil"/>
              <w:tr2bl w:val="nil"/>
            </w:tcBorders>
            <w:textDirection w:val="btLr"/>
          </w:tcPr>
          <w:p w14:paraId="532F9069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b/>
                <w:bCs/>
                <w:color w:val="000000" w:themeColor="text1"/>
                <w:spacing w:val="15"/>
              </w:rPr>
              <w:t>Table 1</w:t>
            </w:r>
            <w:r>
              <w:rPr>
                <w:rFonts w:eastAsia="Microsoft YaHei"/>
                <w:color w:val="000000" w:themeColor="text1"/>
                <w:spacing w:val="15"/>
              </w:rPr>
              <w:t xml:space="preserve"> </w:t>
            </w:r>
            <w:r>
              <w:rPr>
                <w:rFonts w:eastAsia="Microsoft YaHei"/>
                <w:color w:val="000000" w:themeColor="text1"/>
                <w:spacing w:val="15"/>
                <w:sz w:val="18"/>
                <w:szCs w:val="18"/>
              </w:rPr>
              <w:t>Study characteristics</w:t>
            </w:r>
            <w:r>
              <w:rPr>
                <w:rFonts w:eastAsia="Microsoft YaHei" w:hint="eastAsia"/>
                <w:color w:val="000000" w:themeColor="text1"/>
                <w:spacing w:val="15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000" w:type="dxa"/>
            <w:gridSpan w:val="2"/>
            <w:tcBorders>
              <w:left w:val="single" w:sz="18" w:space="0" w:color="000000"/>
              <w:right w:val="single" w:sz="18" w:space="0" w:color="000000"/>
            </w:tcBorders>
            <w:textDirection w:val="btLr"/>
          </w:tcPr>
          <w:p w14:paraId="62C3DEB7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Study outcomes</w:t>
            </w:r>
          </w:p>
        </w:tc>
        <w:tc>
          <w:tcPr>
            <w:tcW w:w="867" w:type="dxa"/>
            <w:tcBorders>
              <w:left w:val="single" w:sz="18" w:space="0" w:color="000000"/>
            </w:tcBorders>
            <w:textDirection w:val="btLr"/>
          </w:tcPr>
          <w:p w14:paraId="0F43F2C4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①②④⑤</w:t>
            </w:r>
          </w:p>
        </w:tc>
        <w:tc>
          <w:tcPr>
            <w:tcW w:w="2550" w:type="dxa"/>
            <w:textDirection w:val="btLr"/>
          </w:tcPr>
          <w:p w14:paraId="3CC50C57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①②③④</w:t>
            </w:r>
          </w:p>
        </w:tc>
        <w:tc>
          <w:tcPr>
            <w:tcW w:w="1683" w:type="dxa"/>
            <w:textDirection w:val="btLr"/>
          </w:tcPr>
          <w:p w14:paraId="6E7735DA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①②③④</w:t>
            </w:r>
          </w:p>
        </w:tc>
        <w:tc>
          <w:tcPr>
            <w:tcW w:w="1300" w:type="dxa"/>
            <w:tcBorders>
              <w:right w:val="single" w:sz="18" w:space="0" w:color="000000"/>
            </w:tcBorders>
            <w:textDirection w:val="btLr"/>
          </w:tcPr>
          <w:p w14:paraId="6E59DAA3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①②③④</w:t>
            </w:r>
          </w:p>
        </w:tc>
        <w:tc>
          <w:tcPr>
            <w:tcW w:w="594" w:type="dxa"/>
            <w:vMerge w:val="restart"/>
            <w:tcBorders>
              <w:left w:val="single" w:sz="18" w:space="0" w:color="000000"/>
              <w:tl2br w:val="nil"/>
              <w:tr2bl w:val="nil"/>
            </w:tcBorders>
            <w:textDirection w:val="btLr"/>
          </w:tcPr>
          <w:p w14:paraId="08259588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①Reduction of hyperkalemia;②Optimization of RAASi therapy;③Mean change in serum potassium;④Safety outcomes;⑤LS mean (SE) AOBP reductions</w:t>
            </w:r>
          </w:p>
        </w:tc>
      </w:tr>
      <w:tr w:rsidR="00954B8F" w14:paraId="57080AD6" w14:textId="77777777" w:rsidTr="00085924">
        <w:trPr>
          <w:trHeight w:val="841"/>
        </w:trPr>
        <w:tc>
          <w:tcPr>
            <w:tcW w:w="367" w:type="dxa"/>
            <w:vMerge/>
            <w:tcBorders>
              <w:right w:val="single" w:sz="18" w:space="0" w:color="000000"/>
              <w:tl2br w:val="nil"/>
              <w:tr2bl w:val="nil"/>
            </w:tcBorders>
            <w:textDirection w:val="btLr"/>
          </w:tcPr>
          <w:p w14:paraId="2D99FD31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  <w:tc>
          <w:tcPr>
            <w:tcW w:w="1000" w:type="dxa"/>
            <w:gridSpan w:val="2"/>
            <w:tcBorders>
              <w:left w:val="single" w:sz="18" w:space="0" w:color="000000"/>
              <w:right w:val="single" w:sz="18" w:space="0" w:color="000000"/>
            </w:tcBorders>
            <w:textDirection w:val="btLr"/>
          </w:tcPr>
          <w:p w14:paraId="0792FFD2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Sample size</w:t>
            </w:r>
          </w:p>
        </w:tc>
        <w:tc>
          <w:tcPr>
            <w:tcW w:w="867" w:type="dxa"/>
            <w:tcBorders>
              <w:left w:val="single" w:sz="18" w:space="0" w:color="000000"/>
            </w:tcBorders>
            <w:textDirection w:val="btLr"/>
          </w:tcPr>
          <w:p w14:paraId="2D6CC58D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132</w:t>
            </w:r>
          </w:p>
        </w:tc>
        <w:tc>
          <w:tcPr>
            <w:tcW w:w="2550" w:type="dxa"/>
            <w:textDirection w:val="btLr"/>
          </w:tcPr>
          <w:p w14:paraId="40E376C8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878</w:t>
            </w:r>
          </w:p>
        </w:tc>
        <w:tc>
          <w:tcPr>
            <w:tcW w:w="1683" w:type="dxa"/>
            <w:textDirection w:val="btLr"/>
          </w:tcPr>
          <w:p w14:paraId="7150B836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49</w:t>
            </w:r>
          </w:p>
        </w:tc>
        <w:tc>
          <w:tcPr>
            <w:tcW w:w="1300" w:type="dxa"/>
            <w:tcBorders>
              <w:right w:val="single" w:sz="18" w:space="0" w:color="000000"/>
            </w:tcBorders>
            <w:textDirection w:val="btLr"/>
          </w:tcPr>
          <w:p w14:paraId="40B7DC7D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105</w:t>
            </w:r>
          </w:p>
        </w:tc>
        <w:tc>
          <w:tcPr>
            <w:tcW w:w="594" w:type="dxa"/>
            <w:vMerge/>
            <w:tcBorders>
              <w:left w:val="single" w:sz="18" w:space="0" w:color="000000"/>
              <w:tl2br w:val="nil"/>
              <w:tr2bl w:val="nil"/>
            </w:tcBorders>
            <w:textDirection w:val="btLr"/>
          </w:tcPr>
          <w:p w14:paraId="68927E66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</w:tr>
      <w:tr w:rsidR="00954B8F" w14:paraId="258516DD" w14:textId="77777777" w:rsidTr="00085924">
        <w:trPr>
          <w:trHeight w:val="872"/>
        </w:trPr>
        <w:tc>
          <w:tcPr>
            <w:tcW w:w="367" w:type="dxa"/>
            <w:vMerge/>
            <w:tcBorders>
              <w:right w:val="single" w:sz="18" w:space="0" w:color="000000"/>
              <w:tl2br w:val="nil"/>
              <w:tr2bl w:val="nil"/>
            </w:tcBorders>
            <w:textDirection w:val="btLr"/>
          </w:tcPr>
          <w:p w14:paraId="6A949047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  <w:tc>
          <w:tcPr>
            <w:tcW w:w="1000" w:type="dxa"/>
            <w:gridSpan w:val="2"/>
            <w:tcBorders>
              <w:left w:val="single" w:sz="18" w:space="0" w:color="000000"/>
              <w:right w:val="single" w:sz="18" w:space="0" w:color="000000"/>
            </w:tcBorders>
            <w:textDirection w:val="btLr"/>
          </w:tcPr>
          <w:p w14:paraId="606FDA25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Control</w:t>
            </w:r>
          </w:p>
        </w:tc>
        <w:tc>
          <w:tcPr>
            <w:tcW w:w="867" w:type="dxa"/>
            <w:tcBorders>
              <w:left w:val="single" w:sz="18" w:space="0" w:color="000000"/>
            </w:tcBorders>
            <w:textDirection w:val="btLr"/>
          </w:tcPr>
          <w:p w14:paraId="3E109BED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placebo</w:t>
            </w:r>
          </w:p>
        </w:tc>
        <w:tc>
          <w:tcPr>
            <w:tcW w:w="2550" w:type="dxa"/>
            <w:textDirection w:val="btLr"/>
          </w:tcPr>
          <w:p w14:paraId="1E3AAED0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placebo</w:t>
            </w:r>
          </w:p>
        </w:tc>
        <w:tc>
          <w:tcPr>
            <w:tcW w:w="1683" w:type="dxa"/>
            <w:textDirection w:val="btLr"/>
          </w:tcPr>
          <w:p w14:paraId="4C5121A0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placebo</w:t>
            </w:r>
          </w:p>
        </w:tc>
        <w:tc>
          <w:tcPr>
            <w:tcW w:w="1300" w:type="dxa"/>
            <w:tcBorders>
              <w:right w:val="single" w:sz="18" w:space="0" w:color="000000"/>
            </w:tcBorders>
            <w:textDirection w:val="btLr"/>
          </w:tcPr>
          <w:p w14:paraId="5F83DC94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placebo</w:t>
            </w:r>
          </w:p>
        </w:tc>
        <w:tc>
          <w:tcPr>
            <w:tcW w:w="594" w:type="dxa"/>
            <w:vMerge/>
            <w:tcBorders>
              <w:left w:val="single" w:sz="18" w:space="0" w:color="000000"/>
              <w:tl2br w:val="nil"/>
              <w:tr2bl w:val="nil"/>
            </w:tcBorders>
            <w:textDirection w:val="btLr"/>
          </w:tcPr>
          <w:p w14:paraId="60B1F15B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</w:tr>
      <w:tr w:rsidR="00954B8F" w14:paraId="66FC2C14" w14:textId="77777777" w:rsidTr="00085924">
        <w:trPr>
          <w:trHeight w:val="1721"/>
        </w:trPr>
        <w:tc>
          <w:tcPr>
            <w:tcW w:w="367" w:type="dxa"/>
            <w:vMerge/>
            <w:tcBorders>
              <w:right w:val="single" w:sz="18" w:space="0" w:color="000000"/>
              <w:tl2br w:val="nil"/>
              <w:tr2bl w:val="nil"/>
            </w:tcBorders>
            <w:textDirection w:val="btLr"/>
          </w:tcPr>
          <w:p w14:paraId="7DCAD7DA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  <w:tc>
          <w:tcPr>
            <w:tcW w:w="1000" w:type="dxa"/>
            <w:gridSpan w:val="2"/>
            <w:tcBorders>
              <w:left w:val="single" w:sz="18" w:space="0" w:color="000000"/>
              <w:right w:val="single" w:sz="18" w:space="0" w:color="000000"/>
            </w:tcBorders>
            <w:textDirection w:val="btLr"/>
          </w:tcPr>
          <w:p w14:paraId="69C7AF8B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Intervention</w:t>
            </w:r>
          </w:p>
        </w:tc>
        <w:tc>
          <w:tcPr>
            <w:tcW w:w="867" w:type="dxa"/>
            <w:tcBorders>
              <w:left w:val="single" w:sz="18" w:space="0" w:color="000000"/>
            </w:tcBorders>
            <w:textDirection w:val="btLr"/>
          </w:tcPr>
          <w:p w14:paraId="2CA65053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patiromer titrated up to maximum 25.2g</w:t>
            </w:r>
            <w:r>
              <w:rPr>
                <w:rFonts w:eastAsia="Microsoft YaHei"/>
                <w:color w:val="000000" w:themeColor="text1"/>
                <w:lang w:val="en-GB"/>
              </w:rPr>
              <w:t xml:space="preserve"> </w:t>
            </w:r>
            <w:r>
              <w:rPr>
                <w:rFonts w:eastAsia="Microsoft YaHei"/>
                <w:color w:val="000000" w:themeColor="text1"/>
              </w:rPr>
              <w:t>/d</w:t>
            </w:r>
          </w:p>
        </w:tc>
        <w:tc>
          <w:tcPr>
            <w:tcW w:w="2550" w:type="dxa"/>
            <w:textDirection w:val="btLr"/>
          </w:tcPr>
          <w:p w14:paraId="0364380E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patiromer titrated up to maximum 25.2g</w:t>
            </w:r>
            <w:r>
              <w:rPr>
                <w:rFonts w:eastAsia="Microsoft YaHei"/>
                <w:color w:val="000000" w:themeColor="text1"/>
                <w:lang w:val="en-GB"/>
              </w:rPr>
              <w:t xml:space="preserve"> </w:t>
            </w:r>
            <w:r>
              <w:rPr>
                <w:rFonts w:eastAsia="Microsoft YaHei"/>
                <w:color w:val="000000" w:themeColor="text1"/>
              </w:rPr>
              <w:t>/d</w:t>
            </w:r>
          </w:p>
        </w:tc>
        <w:tc>
          <w:tcPr>
            <w:tcW w:w="1683" w:type="dxa"/>
            <w:textDirection w:val="btLr"/>
          </w:tcPr>
          <w:p w14:paraId="36C71188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  <w:lang w:val="en-GB"/>
              </w:rPr>
            </w:pPr>
            <w:r>
              <w:rPr>
                <w:rFonts w:eastAsia="Microsoft YaHei"/>
                <w:color w:val="000000" w:themeColor="text1"/>
              </w:rPr>
              <w:t>mild hyperkalemia</w:t>
            </w:r>
            <w:r>
              <w:rPr>
                <w:rFonts w:eastAsia="Microsoft YaHei"/>
                <w:color w:val="000000" w:themeColor="text1"/>
              </w:rPr>
              <w:t>：</w:t>
            </w:r>
            <w:r>
              <w:rPr>
                <w:rFonts w:eastAsia="Microsoft YaHei"/>
                <w:color w:val="000000" w:themeColor="text1"/>
              </w:rPr>
              <w:t xml:space="preserve"> patiromer 8.4g</w:t>
            </w:r>
            <w:r>
              <w:rPr>
                <w:rFonts w:eastAsia="Microsoft YaHei"/>
                <w:color w:val="000000" w:themeColor="text1"/>
                <w:lang w:val="en-GB"/>
              </w:rPr>
              <w:t xml:space="preserve"> </w:t>
            </w:r>
            <w:r>
              <w:rPr>
                <w:rFonts w:eastAsia="Microsoft YaHei"/>
                <w:color w:val="000000" w:themeColor="text1"/>
              </w:rPr>
              <w:t>/d</w:t>
            </w:r>
            <w:r>
              <w:rPr>
                <w:rFonts w:eastAsia="Microsoft YaHei"/>
                <w:color w:val="000000" w:themeColor="text1"/>
                <w:lang w:val="en-GB"/>
              </w:rPr>
              <w:t>;</w:t>
            </w:r>
          </w:p>
          <w:p w14:paraId="0DF85AD6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 xml:space="preserve">moderate-to-severe hyperkalemia </w:t>
            </w:r>
            <w:r>
              <w:rPr>
                <w:rFonts w:eastAsia="Microsoft YaHei"/>
                <w:color w:val="000000" w:themeColor="text1"/>
              </w:rPr>
              <w:t>：</w:t>
            </w:r>
          </w:p>
          <w:p w14:paraId="0BC181B6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patiromer 16.8g</w:t>
            </w:r>
            <w:r>
              <w:rPr>
                <w:rFonts w:eastAsia="Microsoft YaHei"/>
                <w:color w:val="000000" w:themeColor="text1"/>
                <w:lang w:val="en-GB"/>
              </w:rPr>
              <w:t xml:space="preserve"> </w:t>
            </w:r>
            <w:r>
              <w:rPr>
                <w:rFonts w:eastAsia="Microsoft YaHei"/>
                <w:color w:val="000000" w:themeColor="text1"/>
              </w:rPr>
              <w:t>/d</w:t>
            </w:r>
          </w:p>
        </w:tc>
        <w:tc>
          <w:tcPr>
            <w:tcW w:w="1300" w:type="dxa"/>
            <w:tcBorders>
              <w:right w:val="single" w:sz="18" w:space="0" w:color="000000"/>
            </w:tcBorders>
            <w:textDirection w:val="btLr"/>
          </w:tcPr>
          <w:p w14:paraId="1999DEEA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patiromer 30g</w:t>
            </w:r>
            <w:r>
              <w:rPr>
                <w:rFonts w:eastAsia="Microsoft YaHei"/>
                <w:color w:val="000000" w:themeColor="text1"/>
                <w:lang w:val="en-GB"/>
              </w:rPr>
              <w:t xml:space="preserve"> </w:t>
            </w:r>
            <w:r>
              <w:rPr>
                <w:rFonts w:eastAsia="Microsoft YaHei"/>
                <w:color w:val="000000" w:themeColor="text1"/>
              </w:rPr>
              <w:t>/d</w:t>
            </w:r>
          </w:p>
        </w:tc>
        <w:tc>
          <w:tcPr>
            <w:tcW w:w="594" w:type="dxa"/>
            <w:vMerge/>
            <w:tcBorders>
              <w:left w:val="single" w:sz="18" w:space="0" w:color="000000"/>
              <w:tl2br w:val="nil"/>
              <w:tr2bl w:val="nil"/>
            </w:tcBorders>
            <w:textDirection w:val="btLr"/>
          </w:tcPr>
          <w:p w14:paraId="3F096889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</w:tr>
      <w:tr w:rsidR="00954B8F" w14:paraId="05BEB4C1" w14:textId="77777777" w:rsidTr="00085924">
        <w:trPr>
          <w:trHeight w:val="1066"/>
        </w:trPr>
        <w:tc>
          <w:tcPr>
            <w:tcW w:w="367" w:type="dxa"/>
            <w:vMerge/>
            <w:tcBorders>
              <w:right w:val="single" w:sz="18" w:space="0" w:color="000000"/>
              <w:tl2br w:val="nil"/>
              <w:tr2bl w:val="nil"/>
            </w:tcBorders>
            <w:textDirection w:val="btLr"/>
          </w:tcPr>
          <w:p w14:paraId="7333F313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  <w:tc>
          <w:tcPr>
            <w:tcW w:w="1000" w:type="dxa"/>
            <w:gridSpan w:val="2"/>
            <w:tcBorders>
              <w:left w:val="single" w:sz="18" w:space="0" w:color="000000"/>
              <w:right w:val="single" w:sz="18" w:space="0" w:color="000000"/>
            </w:tcBorders>
            <w:textDirection w:val="btLr"/>
          </w:tcPr>
          <w:p w14:paraId="2B010AC0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Follow-up</w:t>
            </w:r>
          </w:p>
        </w:tc>
        <w:tc>
          <w:tcPr>
            <w:tcW w:w="867" w:type="dxa"/>
            <w:tcBorders>
              <w:left w:val="single" w:sz="18" w:space="0" w:color="000000"/>
            </w:tcBorders>
            <w:textDirection w:val="btLr"/>
          </w:tcPr>
          <w:p w14:paraId="6206427D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12 weeks</w:t>
            </w:r>
          </w:p>
        </w:tc>
        <w:tc>
          <w:tcPr>
            <w:tcW w:w="2550" w:type="dxa"/>
            <w:textDirection w:val="btLr"/>
          </w:tcPr>
          <w:p w14:paraId="25318DFA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54 weeks</w:t>
            </w:r>
          </w:p>
        </w:tc>
        <w:tc>
          <w:tcPr>
            <w:tcW w:w="1683" w:type="dxa"/>
            <w:textDirection w:val="btLr"/>
          </w:tcPr>
          <w:p w14:paraId="79207E1E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8 weeks</w:t>
            </w:r>
          </w:p>
        </w:tc>
        <w:tc>
          <w:tcPr>
            <w:tcW w:w="1300" w:type="dxa"/>
            <w:tcBorders>
              <w:right w:val="single" w:sz="18" w:space="0" w:color="000000"/>
            </w:tcBorders>
            <w:textDirection w:val="btLr"/>
          </w:tcPr>
          <w:p w14:paraId="6E933DFB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4 weeks</w:t>
            </w:r>
          </w:p>
        </w:tc>
        <w:tc>
          <w:tcPr>
            <w:tcW w:w="594" w:type="dxa"/>
            <w:vMerge/>
            <w:tcBorders>
              <w:left w:val="single" w:sz="18" w:space="0" w:color="000000"/>
              <w:tl2br w:val="nil"/>
              <w:tr2bl w:val="nil"/>
            </w:tcBorders>
            <w:textDirection w:val="btLr"/>
          </w:tcPr>
          <w:p w14:paraId="21BDB468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</w:tr>
      <w:tr w:rsidR="00954B8F" w14:paraId="2402B590" w14:textId="77777777" w:rsidTr="00085924">
        <w:trPr>
          <w:trHeight w:val="1021"/>
        </w:trPr>
        <w:tc>
          <w:tcPr>
            <w:tcW w:w="367" w:type="dxa"/>
            <w:vMerge/>
            <w:tcBorders>
              <w:right w:val="single" w:sz="18" w:space="0" w:color="000000"/>
              <w:tl2br w:val="nil"/>
              <w:tr2bl w:val="nil"/>
            </w:tcBorders>
            <w:textDirection w:val="btLr"/>
          </w:tcPr>
          <w:p w14:paraId="002901B8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  <w:tc>
          <w:tcPr>
            <w:tcW w:w="1000" w:type="dxa"/>
            <w:gridSpan w:val="2"/>
            <w:tcBorders>
              <w:left w:val="single" w:sz="18" w:space="0" w:color="000000"/>
              <w:right w:val="single" w:sz="18" w:space="0" w:color="000000"/>
            </w:tcBorders>
            <w:textDirection w:val="btLr"/>
          </w:tcPr>
          <w:p w14:paraId="4033ACC3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 xml:space="preserve">Run-in </w:t>
            </w:r>
          </w:p>
        </w:tc>
        <w:tc>
          <w:tcPr>
            <w:tcW w:w="867" w:type="dxa"/>
            <w:tcBorders>
              <w:left w:val="single" w:sz="18" w:space="0" w:color="000000"/>
            </w:tcBorders>
            <w:textDirection w:val="btLr"/>
          </w:tcPr>
          <w:p w14:paraId="1977822C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4 weeks</w:t>
            </w:r>
          </w:p>
        </w:tc>
        <w:tc>
          <w:tcPr>
            <w:tcW w:w="2550" w:type="dxa"/>
            <w:textDirection w:val="btLr"/>
          </w:tcPr>
          <w:p w14:paraId="18C97EDF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12 weeks</w:t>
            </w:r>
          </w:p>
        </w:tc>
        <w:tc>
          <w:tcPr>
            <w:tcW w:w="1683" w:type="dxa"/>
            <w:textDirection w:val="btLr"/>
          </w:tcPr>
          <w:p w14:paraId="0514DCEC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4 weeks</w:t>
            </w:r>
          </w:p>
        </w:tc>
        <w:tc>
          <w:tcPr>
            <w:tcW w:w="1300" w:type="dxa"/>
            <w:tcBorders>
              <w:right w:val="single" w:sz="18" w:space="0" w:color="000000"/>
            </w:tcBorders>
            <w:textDirection w:val="btLr"/>
          </w:tcPr>
          <w:p w14:paraId="0C6C0E26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No run-in period</w:t>
            </w:r>
          </w:p>
        </w:tc>
        <w:tc>
          <w:tcPr>
            <w:tcW w:w="594" w:type="dxa"/>
            <w:vMerge/>
            <w:tcBorders>
              <w:left w:val="single" w:sz="18" w:space="0" w:color="000000"/>
              <w:tl2br w:val="nil"/>
              <w:tr2bl w:val="nil"/>
            </w:tcBorders>
            <w:textDirection w:val="btLr"/>
          </w:tcPr>
          <w:p w14:paraId="28677510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</w:tr>
      <w:tr w:rsidR="00954B8F" w14:paraId="591B5F6C" w14:textId="77777777" w:rsidTr="00085924">
        <w:trPr>
          <w:trHeight w:val="1650"/>
        </w:trPr>
        <w:tc>
          <w:tcPr>
            <w:tcW w:w="367" w:type="dxa"/>
            <w:vMerge/>
            <w:tcBorders>
              <w:right w:val="single" w:sz="18" w:space="0" w:color="000000"/>
              <w:tl2br w:val="nil"/>
              <w:tr2bl w:val="nil"/>
            </w:tcBorders>
            <w:textDirection w:val="btLr"/>
          </w:tcPr>
          <w:p w14:paraId="16FC2B7C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  <w:tc>
          <w:tcPr>
            <w:tcW w:w="40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textDirection w:val="btLr"/>
          </w:tcPr>
          <w:p w14:paraId="631CE32D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Study Population</w:t>
            </w:r>
          </w:p>
        </w:tc>
        <w:tc>
          <w:tcPr>
            <w:tcW w:w="600" w:type="dxa"/>
            <w:tcBorders>
              <w:left w:val="single" w:sz="12" w:space="0" w:color="000000"/>
              <w:right w:val="single" w:sz="18" w:space="0" w:color="000000"/>
            </w:tcBorders>
            <w:textDirection w:val="btLr"/>
            <w:vAlign w:val="center"/>
          </w:tcPr>
          <w:p w14:paraId="664418DA" w14:textId="77777777" w:rsidR="00954B8F" w:rsidRDefault="00954B8F" w:rsidP="00085924">
            <w:pPr>
              <w:widowControl/>
              <w:spacing w:line="220" w:lineRule="exact"/>
              <w:ind w:right="113"/>
              <w:textAlignment w:val="center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eGFR</w:t>
            </w:r>
          </w:p>
          <w:p w14:paraId="5D7A456D" w14:textId="77777777" w:rsidR="00954B8F" w:rsidRDefault="00954B8F" w:rsidP="00085924">
            <w:pPr>
              <w:widowControl/>
              <w:spacing w:line="220" w:lineRule="exact"/>
              <w:ind w:right="113"/>
              <w:textAlignment w:val="center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(mL/min/1.73m2)</w:t>
            </w:r>
          </w:p>
        </w:tc>
        <w:tc>
          <w:tcPr>
            <w:tcW w:w="867" w:type="dxa"/>
            <w:tcBorders>
              <w:left w:val="single" w:sz="18" w:space="0" w:color="000000"/>
            </w:tcBorders>
            <w:textDirection w:val="btLr"/>
          </w:tcPr>
          <w:p w14:paraId="36C64575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25-45</w:t>
            </w:r>
          </w:p>
        </w:tc>
        <w:tc>
          <w:tcPr>
            <w:tcW w:w="2550" w:type="dxa"/>
            <w:textDirection w:val="btLr"/>
          </w:tcPr>
          <w:p w14:paraId="6F6371B1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＞</w:t>
            </w:r>
            <w:r>
              <w:rPr>
                <w:rFonts w:eastAsia="Microsoft YaHei"/>
                <w:color w:val="000000" w:themeColor="text1"/>
              </w:rPr>
              <w:t>30</w:t>
            </w:r>
          </w:p>
        </w:tc>
        <w:tc>
          <w:tcPr>
            <w:tcW w:w="1683" w:type="dxa"/>
            <w:textDirection w:val="btLr"/>
          </w:tcPr>
          <w:p w14:paraId="550D8B7C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15-60</w:t>
            </w:r>
          </w:p>
        </w:tc>
        <w:tc>
          <w:tcPr>
            <w:tcW w:w="1300" w:type="dxa"/>
            <w:tcBorders>
              <w:right w:val="single" w:sz="18" w:space="0" w:color="000000"/>
            </w:tcBorders>
            <w:textDirection w:val="btLr"/>
          </w:tcPr>
          <w:p w14:paraId="03ACFB61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＜</w:t>
            </w:r>
            <w:r>
              <w:rPr>
                <w:rFonts w:eastAsia="Microsoft YaHei"/>
                <w:color w:val="000000" w:themeColor="text1"/>
              </w:rPr>
              <w:t>60</w:t>
            </w:r>
          </w:p>
        </w:tc>
        <w:tc>
          <w:tcPr>
            <w:tcW w:w="594" w:type="dxa"/>
            <w:vMerge/>
            <w:tcBorders>
              <w:left w:val="single" w:sz="18" w:space="0" w:color="000000"/>
              <w:tl2br w:val="nil"/>
              <w:tr2bl w:val="nil"/>
            </w:tcBorders>
            <w:textDirection w:val="btLr"/>
          </w:tcPr>
          <w:p w14:paraId="1E3457DC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</w:tr>
      <w:tr w:rsidR="00954B8F" w14:paraId="5EE3A964" w14:textId="77777777" w:rsidTr="00085924">
        <w:trPr>
          <w:trHeight w:val="1755"/>
        </w:trPr>
        <w:tc>
          <w:tcPr>
            <w:tcW w:w="367" w:type="dxa"/>
            <w:vMerge/>
            <w:tcBorders>
              <w:right w:val="single" w:sz="18" w:space="0" w:color="000000"/>
              <w:tl2br w:val="nil"/>
              <w:tr2bl w:val="nil"/>
            </w:tcBorders>
            <w:textDirection w:val="btLr"/>
          </w:tcPr>
          <w:p w14:paraId="0A289D89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  <w:tc>
          <w:tcPr>
            <w:tcW w:w="400" w:type="dxa"/>
            <w:vMerge/>
            <w:tcBorders>
              <w:left w:val="single" w:sz="18" w:space="0" w:color="000000"/>
              <w:right w:val="single" w:sz="12" w:space="0" w:color="000000"/>
            </w:tcBorders>
            <w:textDirection w:val="btLr"/>
          </w:tcPr>
          <w:p w14:paraId="53304871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  <w:tc>
          <w:tcPr>
            <w:tcW w:w="600" w:type="dxa"/>
            <w:tcBorders>
              <w:left w:val="single" w:sz="12" w:space="0" w:color="000000"/>
              <w:right w:val="single" w:sz="18" w:space="0" w:color="000000"/>
            </w:tcBorders>
            <w:textDirection w:val="btLr"/>
          </w:tcPr>
          <w:p w14:paraId="7E57EF50" w14:textId="77777777" w:rsidR="00954B8F" w:rsidRDefault="00954B8F" w:rsidP="00085924">
            <w:pPr>
              <w:spacing w:line="220" w:lineRule="exact"/>
              <w:ind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Serum potassium</w:t>
            </w:r>
          </w:p>
          <w:p w14:paraId="0E84CF38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(mmol/L)</w:t>
            </w:r>
          </w:p>
        </w:tc>
        <w:tc>
          <w:tcPr>
            <w:tcW w:w="867" w:type="dxa"/>
            <w:tcBorders>
              <w:left w:val="single" w:sz="18" w:space="0" w:color="000000"/>
            </w:tcBorders>
            <w:textDirection w:val="btLr"/>
          </w:tcPr>
          <w:p w14:paraId="180E5443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4.3-5.1</w:t>
            </w:r>
          </w:p>
        </w:tc>
        <w:tc>
          <w:tcPr>
            <w:tcW w:w="2550" w:type="dxa"/>
            <w:textDirection w:val="btLr"/>
          </w:tcPr>
          <w:p w14:paraId="78C35BAA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&gt;5.0 mmol/l or normokalemic at screening but had a history of dose reduction or discontinuation of the RAASi therapy due to hyperkalemia in the previous 12 months</w:t>
            </w:r>
          </w:p>
        </w:tc>
        <w:tc>
          <w:tcPr>
            <w:tcW w:w="1683" w:type="dxa"/>
            <w:textDirection w:val="btLr"/>
          </w:tcPr>
          <w:p w14:paraId="79A073FA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5.1-6.5</w:t>
            </w:r>
          </w:p>
        </w:tc>
        <w:tc>
          <w:tcPr>
            <w:tcW w:w="1300" w:type="dxa"/>
            <w:tcBorders>
              <w:right w:val="single" w:sz="18" w:space="0" w:color="000000"/>
            </w:tcBorders>
            <w:textDirection w:val="btLr"/>
          </w:tcPr>
          <w:p w14:paraId="1B8E3B54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4.3-5.1</w:t>
            </w:r>
          </w:p>
        </w:tc>
        <w:tc>
          <w:tcPr>
            <w:tcW w:w="594" w:type="dxa"/>
            <w:vMerge/>
            <w:tcBorders>
              <w:left w:val="single" w:sz="18" w:space="0" w:color="000000"/>
              <w:tl2br w:val="nil"/>
              <w:tr2bl w:val="nil"/>
            </w:tcBorders>
            <w:textDirection w:val="btLr"/>
          </w:tcPr>
          <w:p w14:paraId="3A86C295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</w:tr>
      <w:tr w:rsidR="00954B8F" w14:paraId="41FDA5AC" w14:textId="77777777" w:rsidTr="00085924">
        <w:trPr>
          <w:trHeight w:val="1421"/>
        </w:trPr>
        <w:tc>
          <w:tcPr>
            <w:tcW w:w="367" w:type="dxa"/>
            <w:vMerge/>
            <w:tcBorders>
              <w:right w:val="single" w:sz="18" w:space="0" w:color="000000"/>
              <w:tl2br w:val="nil"/>
              <w:tr2bl w:val="nil"/>
            </w:tcBorders>
            <w:textDirection w:val="btLr"/>
          </w:tcPr>
          <w:p w14:paraId="5EE6444F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  <w:tc>
          <w:tcPr>
            <w:tcW w:w="400" w:type="dxa"/>
            <w:vMerge/>
            <w:tcBorders>
              <w:left w:val="single" w:sz="18" w:space="0" w:color="000000"/>
              <w:right w:val="single" w:sz="12" w:space="0" w:color="000000"/>
            </w:tcBorders>
            <w:textDirection w:val="btLr"/>
          </w:tcPr>
          <w:p w14:paraId="42D76284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  <w:tc>
          <w:tcPr>
            <w:tcW w:w="600" w:type="dxa"/>
            <w:tcBorders>
              <w:left w:val="single" w:sz="12" w:space="0" w:color="000000"/>
              <w:right w:val="single" w:sz="18" w:space="0" w:color="000000"/>
            </w:tcBorders>
            <w:textDirection w:val="btLr"/>
          </w:tcPr>
          <w:p w14:paraId="5BEB374C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Heart failure</w:t>
            </w:r>
          </w:p>
        </w:tc>
        <w:tc>
          <w:tcPr>
            <w:tcW w:w="867" w:type="dxa"/>
            <w:tcBorders>
              <w:left w:val="single" w:sz="18" w:space="0" w:color="000000"/>
            </w:tcBorders>
            <w:textDirection w:val="btLr"/>
          </w:tcPr>
          <w:p w14:paraId="69B5342D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presence</w:t>
            </w:r>
          </w:p>
        </w:tc>
        <w:tc>
          <w:tcPr>
            <w:tcW w:w="2550" w:type="dxa"/>
            <w:textDirection w:val="btLr"/>
          </w:tcPr>
          <w:p w14:paraId="679F8CD2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NYHA Class II–IV and a LVEF≤ 40%</w:t>
            </w:r>
          </w:p>
        </w:tc>
        <w:tc>
          <w:tcPr>
            <w:tcW w:w="1683" w:type="dxa"/>
            <w:textDirection w:val="btLr"/>
          </w:tcPr>
          <w:p w14:paraId="6EEA3265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presence</w:t>
            </w:r>
          </w:p>
        </w:tc>
        <w:tc>
          <w:tcPr>
            <w:tcW w:w="1300" w:type="dxa"/>
            <w:tcBorders>
              <w:right w:val="single" w:sz="18" w:space="0" w:color="000000"/>
            </w:tcBorders>
            <w:textDirection w:val="btLr"/>
          </w:tcPr>
          <w:p w14:paraId="299C524A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NYHA Class II–III and a LVEF of approximately 40%</w:t>
            </w:r>
          </w:p>
        </w:tc>
        <w:tc>
          <w:tcPr>
            <w:tcW w:w="594" w:type="dxa"/>
            <w:vMerge/>
            <w:tcBorders>
              <w:left w:val="single" w:sz="18" w:space="0" w:color="000000"/>
              <w:tl2br w:val="nil"/>
              <w:tr2bl w:val="nil"/>
            </w:tcBorders>
            <w:textDirection w:val="btLr"/>
          </w:tcPr>
          <w:p w14:paraId="6D0DB5A0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</w:tr>
      <w:tr w:rsidR="00954B8F" w14:paraId="66206286" w14:textId="77777777" w:rsidTr="00085924">
        <w:trPr>
          <w:trHeight w:val="1265"/>
        </w:trPr>
        <w:tc>
          <w:tcPr>
            <w:tcW w:w="367" w:type="dxa"/>
            <w:vMerge/>
            <w:tcBorders>
              <w:right w:val="single" w:sz="18" w:space="0" w:color="000000"/>
              <w:tl2br w:val="nil"/>
              <w:tr2bl w:val="nil"/>
            </w:tcBorders>
            <w:textDirection w:val="btLr"/>
          </w:tcPr>
          <w:p w14:paraId="3AC99CB7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  <w:tc>
          <w:tcPr>
            <w:tcW w:w="1000" w:type="dxa"/>
            <w:gridSpan w:val="2"/>
            <w:tcBorders>
              <w:left w:val="single" w:sz="18" w:space="0" w:color="000000"/>
              <w:right w:val="single" w:sz="18" w:space="0" w:color="000000"/>
            </w:tcBorders>
            <w:textDirection w:val="btLr"/>
          </w:tcPr>
          <w:p w14:paraId="638DDB2A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Blindness</w:t>
            </w:r>
          </w:p>
        </w:tc>
        <w:tc>
          <w:tcPr>
            <w:tcW w:w="867" w:type="dxa"/>
            <w:tcBorders>
              <w:left w:val="single" w:sz="18" w:space="0" w:color="000000"/>
            </w:tcBorders>
            <w:textDirection w:val="btLr"/>
          </w:tcPr>
          <w:p w14:paraId="541DCD6C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double-blind</w:t>
            </w:r>
          </w:p>
        </w:tc>
        <w:tc>
          <w:tcPr>
            <w:tcW w:w="2550" w:type="dxa"/>
            <w:textDirection w:val="btLr"/>
          </w:tcPr>
          <w:p w14:paraId="165E890B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double-blind</w:t>
            </w:r>
          </w:p>
        </w:tc>
        <w:tc>
          <w:tcPr>
            <w:tcW w:w="1683" w:type="dxa"/>
            <w:textDirection w:val="btLr"/>
          </w:tcPr>
          <w:p w14:paraId="43BC388C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single-blind</w:t>
            </w:r>
          </w:p>
        </w:tc>
        <w:tc>
          <w:tcPr>
            <w:tcW w:w="1300" w:type="dxa"/>
            <w:tcBorders>
              <w:right w:val="single" w:sz="18" w:space="0" w:color="000000"/>
            </w:tcBorders>
            <w:textDirection w:val="btLr"/>
          </w:tcPr>
          <w:p w14:paraId="26D22CA0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double-blind</w:t>
            </w:r>
          </w:p>
        </w:tc>
        <w:tc>
          <w:tcPr>
            <w:tcW w:w="594" w:type="dxa"/>
            <w:vMerge/>
            <w:tcBorders>
              <w:left w:val="single" w:sz="18" w:space="0" w:color="000000"/>
              <w:tl2br w:val="nil"/>
              <w:tr2bl w:val="nil"/>
            </w:tcBorders>
            <w:textDirection w:val="btLr"/>
          </w:tcPr>
          <w:p w14:paraId="6806C0D4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</w:tr>
      <w:tr w:rsidR="00954B8F" w14:paraId="1FF3EA8D" w14:textId="77777777" w:rsidTr="00085924">
        <w:trPr>
          <w:trHeight w:val="1151"/>
        </w:trPr>
        <w:tc>
          <w:tcPr>
            <w:tcW w:w="367" w:type="dxa"/>
            <w:vMerge/>
            <w:tcBorders>
              <w:right w:val="single" w:sz="18" w:space="0" w:color="000000"/>
              <w:tl2br w:val="nil"/>
              <w:tr2bl w:val="nil"/>
            </w:tcBorders>
            <w:textDirection w:val="btLr"/>
          </w:tcPr>
          <w:p w14:paraId="0370A2E6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  <w:tc>
          <w:tcPr>
            <w:tcW w:w="1000" w:type="dxa"/>
            <w:gridSpan w:val="2"/>
            <w:tcBorders>
              <w:left w:val="single" w:sz="18" w:space="0" w:color="000000"/>
              <w:right w:val="single" w:sz="18" w:space="0" w:color="000000"/>
            </w:tcBorders>
            <w:textDirection w:val="btLr"/>
          </w:tcPr>
          <w:p w14:paraId="1325FA78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Reference</w:t>
            </w:r>
          </w:p>
        </w:tc>
        <w:tc>
          <w:tcPr>
            <w:tcW w:w="867" w:type="dxa"/>
            <w:tcBorders>
              <w:left w:val="single" w:sz="18" w:space="0" w:color="000000"/>
            </w:tcBorders>
            <w:textDirection w:val="btLr"/>
          </w:tcPr>
          <w:p w14:paraId="330687D0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Rossignol et al., 2020</w:t>
            </w:r>
          </w:p>
        </w:tc>
        <w:tc>
          <w:tcPr>
            <w:tcW w:w="2550" w:type="dxa"/>
            <w:textDirection w:val="btLr"/>
          </w:tcPr>
          <w:p w14:paraId="1C951593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 xml:space="preserve">Butler </w:t>
            </w:r>
          </w:p>
          <w:p w14:paraId="1E69682B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et al., 2022</w:t>
            </w:r>
          </w:p>
        </w:tc>
        <w:tc>
          <w:tcPr>
            <w:tcW w:w="1683" w:type="dxa"/>
            <w:textDirection w:val="btLr"/>
          </w:tcPr>
          <w:p w14:paraId="4CCE0333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 xml:space="preserve">Pitt </w:t>
            </w:r>
          </w:p>
          <w:p w14:paraId="165DA39B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et al., 2015</w:t>
            </w:r>
          </w:p>
        </w:tc>
        <w:tc>
          <w:tcPr>
            <w:tcW w:w="1300" w:type="dxa"/>
            <w:tcBorders>
              <w:right w:val="single" w:sz="18" w:space="0" w:color="000000"/>
            </w:tcBorders>
            <w:textDirection w:val="btLr"/>
          </w:tcPr>
          <w:p w14:paraId="215A3040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 xml:space="preserve">Buysse </w:t>
            </w:r>
          </w:p>
          <w:p w14:paraId="1BF9D0E8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  <w:r>
              <w:rPr>
                <w:rFonts w:eastAsia="Microsoft YaHei"/>
                <w:color w:val="000000" w:themeColor="text1"/>
              </w:rPr>
              <w:t>et al., 2012</w:t>
            </w:r>
          </w:p>
        </w:tc>
        <w:tc>
          <w:tcPr>
            <w:tcW w:w="594" w:type="dxa"/>
            <w:vMerge/>
            <w:tcBorders>
              <w:left w:val="single" w:sz="18" w:space="0" w:color="000000"/>
              <w:tl2br w:val="nil"/>
              <w:tr2bl w:val="nil"/>
            </w:tcBorders>
            <w:textDirection w:val="btLr"/>
          </w:tcPr>
          <w:p w14:paraId="59D01CF6" w14:textId="77777777" w:rsidR="00954B8F" w:rsidRDefault="00954B8F" w:rsidP="00085924">
            <w:pPr>
              <w:spacing w:line="220" w:lineRule="exact"/>
              <w:ind w:left="113" w:right="113"/>
              <w:rPr>
                <w:rFonts w:eastAsia="Microsoft YaHei"/>
                <w:color w:val="000000" w:themeColor="text1"/>
              </w:rPr>
            </w:pPr>
          </w:p>
        </w:tc>
      </w:tr>
    </w:tbl>
    <w:p w14:paraId="7E05C40C" w14:textId="59907200" w:rsidR="00954B8F" w:rsidRDefault="00954B8F"/>
    <w:p w14:paraId="0357C796" w14:textId="16303597" w:rsidR="00D10C5B" w:rsidRDefault="00D10C5B"/>
    <w:sectPr w:rsidR="00D10C5B" w:rsidSect="00954B8F">
      <w:pgSz w:w="11906" w:h="16838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8F"/>
    <w:rsid w:val="00954B8F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28644"/>
  <w15:chartTrackingRefBased/>
  <w15:docId w15:val="{8076B3DA-BD64-4F23-8257-A745CE5D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954B8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975</Characters>
  <Application>Microsoft Office Word</Application>
  <DocSecurity>0</DocSecurity>
  <Lines>8</Lines>
  <Paragraphs>2</Paragraphs>
  <ScaleCrop>false</ScaleCrop>
  <Company>Springer Nature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2023-05-03T09:43:00Z</dcterms:created>
  <dcterms:modified xsi:type="dcterms:W3CDTF">2023-05-03T09:44:00Z</dcterms:modified>
</cp:coreProperties>
</file>