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615F39" w14:textId="77777777" w:rsidR="00185954" w:rsidRDefault="00185954" w:rsidP="00185954">
      <w:pPr>
        <w:spacing w:beforeLines="100" w:before="312" w:line="480" w:lineRule="auto"/>
        <w:rPr>
          <w:rFonts w:ascii="Times New Roman" w:hAnsi="Times New Roman" w:cs="Times New Roman"/>
          <w:b/>
          <w:bCs/>
          <w:sz w:val="24"/>
          <w:szCs w:val="24"/>
          <w:lang w:eastAsia="zh-TW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zh-TW"/>
        </w:rPr>
        <w:t>Supplementary material</w:t>
      </w:r>
    </w:p>
    <w:p w14:paraId="758ED842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</w:pPr>
      <w:r w:rsidRPr="00CB7946">
        <w:rPr>
          <w:rFonts w:ascii="Times New Roman" w:hAnsi="Times New Roman" w:cs="Times New Roman"/>
          <w:sz w:val="20"/>
          <w:szCs w:val="20"/>
        </w:rPr>
        <w:object w:dxaOrig="16918" w:dyaOrig="20130" w14:anchorId="5C9513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7.75pt;height:7in" o:ole="">
            <v:imagedata r:id="rId4" o:title=""/>
          </v:shape>
          <o:OLEObject Type="Embed" ProgID="Origin95.Graph" ShapeID="_x0000_i1025" DrawAspect="Content" ObjectID="_1744626437" r:id="rId5"/>
        </w:object>
      </w:r>
      <w:r>
        <w:rPr>
          <w:rFonts w:ascii="Times New Roman" w:hAnsi="Times New Roman" w:cs="Times New Roman"/>
          <w:b/>
          <w:bCs/>
          <w:szCs w:val="21"/>
        </w:rPr>
        <w:t xml:space="preserve">Fig. S1 The </w:t>
      </w:r>
      <w:r>
        <w:rPr>
          <w:rFonts w:ascii="Times New Roman" w:hAnsi="Times New Roman" w:cs="Times New Roman" w:hint="eastAsia"/>
          <w:b/>
          <w:bCs/>
          <w:szCs w:val="21"/>
        </w:rPr>
        <w:t>decomposition</w:t>
      </w:r>
      <w:r>
        <w:rPr>
          <w:rFonts w:ascii="Times New Roman" w:hAnsi="Times New Roman" w:cs="Times New Roman"/>
          <w:b/>
          <w:bCs/>
          <w:szCs w:val="21"/>
        </w:rPr>
        <w:t xml:space="preserve"> rates of three kudzu components in two rubber plantation sites under different returning methods.</w:t>
      </w:r>
      <w:r>
        <w:rPr>
          <w:rFonts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Values are shown as mean ± standard errors (n=3).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urying, nylon bags placed under mode burying in </w:t>
      </w:r>
      <w:r>
        <w:rPr>
          <w:rFonts w:ascii="Times New Roman" w:hAnsi="Times New Roman" w:cs="Times New Roman" w:hint="eastAsia"/>
          <w:szCs w:val="21"/>
        </w:rPr>
        <w:t xml:space="preserve">two </w:t>
      </w:r>
      <w:r>
        <w:rPr>
          <w:rFonts w:ascii="Times New Roman" w:hAnsi="Times New Roman" w:cs="Times New Roman"/>
          <w:szCs w:val="21"/>
        </w:rPr>
        <w:t xml:space="preserve">rubber plantation sites; </w:t>
      </w:r>
      <w:r>
        <w:rPr>
          <w:rFonts w:ascii="Times New Roman" w:hAnsi="Times New Roman" w:cs="Times New Roman" w:hint="eastAsia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ulching, nylon bags placed under mode mulching in </w:t>
      </w:r>
      <w:r>
        <w:rPr>
          <w:rFonts w:ascii="Times New Roman" w:hAnsi="Times New Roman" w:cs="Times New Roman" w:hint="eastAsia"/>
          <w:szCs w:val="21"/>
        </w:rPr>
        <w:t xml:space="preserve">two </w:t>
      </w:r>
      <w:r>
        <w:rPr>
          <w:rFonts w:ascii="Times New Roman" w:hAnsi="Times New Roman" w:cs="Times New Roman"/>
          <w:szCs w:val="21"/>
        </w:rPr>
        <w:t>rubber plantation sites;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*,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0.05; **,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0.01; ns, no significance</w:t>
      </w:r>
      <w:r>
        <w:rPr>
          <w:rFonts w:ascii="Times New Roman" w:hAnsi="Times New Roman" w:cs="Times New Roman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&gt; 0.05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</w:p>
    <w:p w14:paraId="040B51EB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color w:val="000000" w:themeColor="text1"/>
          <w:szCs w:val="21"/>
        </w:rPr>
        <w:sectPr w:rsidR="0018595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41525440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szCs w:val="21"/>
        </w:rPr>
      </w:pPr>
      <w:r>
        <w:object w:dxaOrig="8336" w:dyaOrig="6904" w14:anchorId="5E11D6F9">
          <v:shape id="_x0000_i1026" type="#_x0000_t75" style="width:417pt;height:345pt" o:ole="">
            <v:imagedata r:id="rId6" o:title=""/>
          </v:shape>
          <o:OLEObject Type="Embed" ProgID="Origin95.Graph" ShapeID="_x0000_i1026" DrawAspect="Content" ObjectID="_1744626438" r:id="rId7"/>
        </w:object>
      </w:r>
      <w:r>
        <w:rPr>
          <w:rFonts w:ascii="Times New Roman" w:hAnsi="Times New Roman" w:cs="Times New Roman"/>
          <w:b/>
          <w:bCs/>
          <w:szCs w:val="21"/>
        </w:rPr>
        <w:t xml:space="preserve">Fig. S2 The </w:t>
      </w:r>
      <w:r>
        <w:rPr>
          <w:rFonts w:ascii="Times New Roman" w:hAnsi="Times New Roman" w:cs="Times New Roman" w:hint="eastAsia"/>
          <w:b/>
          <w:bCs/>
          <w:szCs w:val="21"/>
        </w:rPr>
        <w:t>decomposition</w:t>
      </w:r>
      <w:r>
        <w:rPr>
          <w:rFonts w:ascii="Times New Roman" w:hAnsi="Times New Roman" w:cs="Times New Roman"/>
          <w:b/>
          <w:bCs/>
          <w:szCs w:val="21"/>
        </w:rPr>
        <w:t xml:space="preserve"> rates of three kudzu components in two rubber plantation sites under different returning methods.</w:t>
      </w:r>
      <w:r>
        <w:rPr>
          <w:rFonts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Values are shown as mean ± standard errors (n=3). </w:t>
      </w:r>
      <w:r>
        <w:rPr>
          <w:rFonts w:ascii="Times New Roman" w:hAnsi="Times New Roman" w:cs="Times New Roman" w:hint="eastAsia"/>
          <w:szCs w:val="21"/>
        </w:rPr>
        <w:t>（a</w:t>
      </w:r>
      <w:r>
        <w:rPr>
          <w:rFonts w:ascii="Times New Roman" w:hAnsi="Times New Roman" w:cs="Times New Roman"/>
          <w:szCs w:val="21"/>
        </w:rPr>
        <w:t>-b</w:t>
      </w:r>
      <w:r>
        <w:rPr>
          <w:rFonts w:ascii="Times New Roman" w:hAnsi="Times New Roman" w:cs="Times New Roman" w:hint="eastAsia"/>
          <w:szCs w:val="21"/>
        </w:rPr>
        <w:t>）,</w:t>
      </w:r>
      <w:r>
        <w:rPr>
          <w:rFonts w:ascii="Times New Roman" w:hAnsi="Times New Roman" w:cs="Times New Roman"/>
          <w:szCs w:val="21"/>
        </w:rPr>
        <w:t xml:space="preserve"> Mature rubber plantation; (c-d), Young rubber plantation. </w:t>
      </w:r>
      <w:bookmarkStart w:id="0" w:name="_Hlk127263834"/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urying, nylon bags placed under mode burying in </w:t>
      </w:r>
      <w:r>
        <w:rPr>
          <w:rFonts w:ascii="Times New Roman" w:hAnsi="Times New Roman" w:cs="Times New Roman" w:hint="eastAsia"/>
          <w:szCs w:val="21"/>
        </w:rPr>
        <w:t xml:space="preserve">two </w:t>
      </w:r>
      <w:r>
        <w:rPr>
          <w:rFonts w:ascii="Times New Roman" w:hAnsi="Times New Roman" w:cs="Times New Roman"/>
          <w:szCs w:val="21"/>
        </w:rPr>
        <w:t xml:space="preserve">rubber plantation sites; </w:t>
      </w:r>
      <w:r>
        <w:rPr>
          <w:rFonts w:ascii="Times New Roman" w:hAnsi="Times New Roman" w:cs="Times New Roman" w:hint="eastAsia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ulching, nylon bags placed under mode mulching in </w:t>
      </w:r>
      <w:r>
        <w:rPr>
          <w:rFonts w:ascii="Times New Roman" w:hAnsi="Times New Roman" w:cs="Times New Roman" w:hint="eastAsia"/>
          <w:szCs w:val="21"/>
        </w:rPr>
        <w:t xml:space="preserve">two </w:t>
      </w:r>
      <w:r>
        <w:rPr>
          <w:rFonts w:ascii="Times New Roman" w:hAnsi="Times New Roman" w:cs="Times New Roman"/>
          <w:szCs w:val="21"/>
        </w:rPr>
        <w:t>rubber plantation sites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Different uppercase letters indicate significant differences in </w:t>
      </w:r>
      <w:r>
        <w:rPr>
          <w:rFonts w:ascii="Times New Roman" w:hAnsi="Times New Roman" w:cs="Times New Roman"/>
          <w:szCs w:val="21"/>
        </w:rPr>
        <w:t>decomposition proportion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for the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three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kudzu components at the same decomposition time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0.05);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0.05; **,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0.01; ns, no significance,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&gt; 0.05.</w:t>
      </w:r>
      <w:bookmarkEnd w:id="0"/>
    </w:p>
    <w:p w14:paraId="0E76F7B7" w14:textId="77777777" w:rsidR="00185954" w:rsidRDefault="00185954" w:rsidP="00185954">
      <w:pPr>
        <w:spacing w:line="360" w:lineRule="auto"/>
      </w:pPr>
      <w:r w:rsidRPr="00CB7946">
        <w:rPr>
          <w:rFonts w:ascii="Times New Roman" w:eastAsia="仿宋" w:hAnsi="Times New Roman" w:cs="Times New Roman"/>
          <w:sz w:val="24"/>
          <w:szCs w:val="24"/>
        </w:rPr>
        <w:object w:dxaOrig="13392" w:dyaOrig="15713" w14:anchorId="6D70E72B">
          <v:shape id="_x0000_i1027" type="#_x0000_t75" style="width:415.5pt;height:499.5pt" o:ole="">
            <v:imagedata r:id="rId8" o:title=""/>
          </v:shape>
          <o:OLEObject Type="Embed" ProgID="Origin95.Graph" ShapeID="_x0000_i1027" DrawAspect="Content" ObjectID="_1744626439" r:id="rId9"/>
        </w:object>
      </w:r>
      <w:r>
        <w:rPr>
          <w:rFonts w:ascii="Times New Roman" w:hAnsi="Times New Roman" w:cs="Times New Roman"/>
          <w:b/>
          <w:bCs/>
          <w:szCs w:val="21"/>
        </w:rPr>
        <w:t xml:space="preserve">Fig. S3 The </w:t>
      </w:r>
      <w:bookmarkStart w:id="1" w:name="_Hlk100937346"/>
      <w:r>
        <w:rPr>
          <w:rFonts w:ascii="Times New Roman" w:hAnsi="Times New Roman" w:cs="Times New Roman"/>
          <w:b/>
          <w:bCs/>
          <w:szCs w:val="21"/>
        </w:rPr>
        <w:t xml:space="preserve">lignin decomposition </w:t>
      </w:r>
      <w:bookmarkEnd w:id="1"/>
      <w:r>
        <w:rPr>
          <w:rFonts w:ascii="Times New Roman" w:hAnsi="Times New Roman" w:cs="Times New Roman"/>
          <w:b/>
          <w:bCs/>
          <w:szCs w:val="21"/>
        </w:rPr>
        <w:t>proportion of three kudzu components in two rubber plantation sites under two returning methods.</w:t>
      </w:r>
      <w:r>
        <w:rPr>
          <w:rFonts w:hint="eastAsia"/>
          <w:sz w:val="18"/>
          <w:szCs w:val="20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Values are shown as mean ± standard errors (n=3).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Different lowercase letters indicate significant differences in </w:t>
      </w:r>
      <w:r>
        <w:rPr>
          <w:rFonts w:ascii="Times New Roman" w:hAnsi="Times New Roman" w:cs="Times New Roman"/>
          <w:szCs w:val="21"/>
        </w:rPr>
        <w:t>decomposition proportion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for the same kudzu component at the same decomposition time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under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the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burying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method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between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two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rubber plantation sites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0.05). Different uppercase letters indicate significant differences in </w:t>
      </w:r>
      <w:r>
        <w:rPr>
          <w:rFonts w:ascii="Times New Roman" w:hAnsi="Times New Roman" w:cs="Times New Roman"/>
          <w:szCs w:val="21"/>
        </w:rPr>
        <w:t>decomposition proportion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for the same kudzu component at the same decomposition time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under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the mulching method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between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two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rubber plantation sites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0.05); ** indicate significant differences in </w:t>
      </w:r>
      <w:r>
        <w:rPr>
          <w:rFonts w:ascii="Times New Roman" w:hAnsi="Times New Roman" w:cs="Times New Roman"/>
          <w:szCs w:val="21"/>
        </w:rPr>
        <w:t>decomposition proportion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between the mulching and burying method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&lt; 0.05)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r>
        <w:rPr>
          <w:noProof/>
        </w:rPr>
        <w:lastRenderedPageBreak/>
        <w:drawing>
          <wp:inline distT="0" distB="0" distL="114300" distR="114300" wp14:anchorId="7D4B78AF" wp14:editId="5361DA18">
            <wp:extent cx="5360670" cy="3491865"/>
            <wp:effectExtent l="0" t="0" r="11430" b="133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067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9E081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szCs w:val="21"/>
        </w:rPr>
        <w:sectPr w:rsidR="00185954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Cs w:val="21"/>
        </w:rPr>
        <w:t xml:space="preserve">Fig. </w:t>
      </w:r>
      <w:r>
        <w:rPr>
          <w:rFonts w:ascii="Times New Roman" w:hAnsi="Times New Roman" w:cs="Times New Roman" w:hint="eastAsia"/>
          <w:b/>
          <w:bCs/>
          <w:szCs w:val="21"/>
        </w:rPr>
        <w:t>S4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2" w:name="_Hlk100940299"/>
      <w:r>
        <w:rPr>
          <w:rFonts w:ascii="Times New Roman" w:hAnsi="Times New Roman" w:cs="Times New Roman"/>
          <w:b/>
          <w:bCs/>
          <w:szCs w:val="21"/>
        </w:rPr>
        <w:t>Pearson's correlations analysis between kudzu decomposition and soil factors (soil chemical properties and enzyme activities) in different returning methods.</w:t>
      </w:r>
      <w:r>
        <w:rPr>
          <w:rFonts w:ascii="Times New Roman" w:hAnsi="Times New Roman" w:cs="Times New Roman"/>
          <w:szCs w:val="21"/>
        </w:rPr>
        <w:t xml:space="preserve"> (a) Young-burying, nylon bags placed under mode burying in the young rubber plantation sites; (b) Young-mulching, nylon bags placed under mode mulching in the young rubber plantation sites; (c) Mature-burying, nylon bags placed under mode burying in the mature rubber plantation sites; (d) Mature-mulching, nylon bags placed under mode mulching in the mature rubber plantation sites. </w:t>
      </w:r>
      <w:bookmarkEnd w:id="2"/>
      <w:r>
        <w:rPr>
          <w:rFonts w:ascii="Times New Roman" w:hAnsi="Times New Roman" w:cs="Times New Roman" w:hint="eastAsia"/>
          <w:szCs w:val="21"/>
        </w:rPr>
        <w:t xml:space="preserve">Dec, Decomposition rate; Lignin Dec, Lignin decomposition proportions; C release, C release proportions; N release, N release proportions; P release, P release proportions; </w:t>
      </w:r>
      <w:r>
        <w:rPr>
          <w:rFonts w:ascii="Times New Roman" w:hAnsi="Times New Roman" w:cs="Times New Roman"/>
          <w:szCs w:val="21"/>
        </w:rPr>
        <w:t>SOC, soil organic carbon; TN, soil total nitrogen; TP, soil total phosphorus; AP, soil available phosphorus; AK, Available potassium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NH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-N, soil ammonium nitrogen; NO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-</w:t>
      </w:r>
      <w:r>
        <w:rPr>
          <w:rFonts w:ascii="Times New Roman" w:hAnsi="Times New Roman" w:cs="Times New Roman"/>
          <w:szCs w:val="21"/>
        </w:rPr>
        <w:t>-N,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soil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nitrate-nitrogen; AcP, Soil a</w:t>
      </w:r>
      <w:r>
        <w:rPr>
          <w:rFonts w:ascii="Times New Roman" w:hAnsi="Times New Roman" w:cs="Times New Roman" w:hint="eastAsia"/>
          <w:szCs w:val="21"/>
        </w:rPr>
        <w:t>cid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hosphatase activity;</w:t>
      </w:r>
      <w:r>
        <w:rPr>
          <w:rFonts w:ascii="Times New Roman" w:hAnsi="Times New Roman" w:cs="Times New Roman"/>
          <w:kern w:val="0"/>
          <w:szCs w:val="21"/>
        </w:rPr>
        <w:t xml:space="preserve"> BG,</w:t>
      </w:r>
      <w:r>
        <w:rPr>
          <w:rFonts w:ascii="Times New Roman" w:hAnsi="Times New Roman" w:cs="Times New Roman"/>
          <w:szCs w:val="21"/>
        </w:rPr>
        <w:t xml:space="preserve"> Soil</w:t>
      </w:r>
      <w:r>
        <w:rPr>
          <w:rFonts w:ascii="Times New Roman" w:hAnsi="Times New Roman" w:cs="Times New Roman"/>
          <w:i/>
          <w:kern w:val="0"/>
          <w:szCs w:val="21"/>
        </w:rPr>
        <w:t xml:space="preserve"> β</w:t>
      </w:r>
      <w:r>
        <w:rPr>
          <w:rFonts w:ascii="Times New Roman" w:hAnsi="Times New Roman" w:cs="Times New Roman"/>
          <w:kern w:val="0"/>
          <w:szCs w:val="21"/>
        </w:rPr>
        <w:t xml:space="preserve">-1, 4-glucosidase </w:t>
      </w:r>
      <w:r>
        <w:rPr>
          <w:rFonts w:ascii="Times New Roman" w:hAnsi="Times New Roman" w:cs="Times New Roman"/>
          <w:szCs w:val="21"/>
        </w:rPr>
        <w:t>activity</w:t>
      </w:r>
      <w:r>
        <w:rPr>
          <w:rFonts w:ascii="Times New Roman" w:hAnsi="Times New Roman" w:cs="Times New Roman"/>
          <w:kern w:val="0"/>
          <w:szCs w:val="21"/>
        </w:rPr>
        <w:t xml:space="preserve">;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>AP, Soil L-Leucine aminopeptidase activity; NAG, Soil</w:t>
      </w:r>
      <w:r>
        <w:rPr>
          <w:rFonts w:ascii="Times New Roman" w:hAnsi="Times New Roman" w:cs="Times New Roman" w:hint="eastAsia"/>
          <w:i/>
          <w:iCs/>
          <w:szCs w:val="21"/>
        </w:rPr>
        <w:t>β</w:t>
      </w:r>
      <w:r>
        <w:rPr>
          <w:rFonts w:ascii="Times New Roman" w:hAnsi="Times New Roman" w:cs="Times New Roman"/>
          <w:szCs w:val="21"/>
        </w:rPr>
        <w:t xml:space="preserve">-1,4-N-acetyl-Glycosaminidase; </w:t>
      </w:r>
      <w:r>
        <w:rPr>
          <w:rFonts w:ascii="Times New Roman" w:hAnsi="Times New Roman" w:cs="Times New Roman"/>
          <w:kern w:val="0"/>
          <w:szCs w:val="21"/>
        </w:rPr>
        <w:t xml:space="preserve">POX, </w:t>
      </w:r>
      <w:r>
        <w:rPr>
          <w:rFonts w:ascii="Times New Roman" w:hAnsi="Times New Roman" w:cs="Times New Roman"/>
          <w:szCs w:val="21"/>
        </w:rPr>
        <w:t>Soil</w:t>
      </w:r>
      <w:r>
        <w:rPr>
          <w:rFonts w:ascii="Times New Roman" w:hAnsi="Times New Roman" w:cs="Times New Roman"/>
          <w:kern w:val="0"/>
          <w:szCs w:val="21"/>
        </w:rPr>
        <w:t xml:space="preserve"> polyphenol oxidase </w:t>
      </w:r>
      <w:r>
        <w:rPr>
          <w:rFonts w:ascii="Times New Roman" w:hAnsi="Times New Roman" w:cs="Times New Roman"/>
          <w:szCs w:val="21"/>
        </w:rPr>
        <w:t>activity; CAT, Soil catalase activity.</w:t>
      </w:r>
    </w:p>
    <w:p w14:paraId="66F6711B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Table S1 </w:t>
      </w:r>
      <w:r>
        <w:rPr>
          <w:rStyle w:val="fontstyle21"/>
          <w:sz w:val="24"/>
          <w:szCs w:val="24"/>
        </w:rPr>
        <w:t xml:space="preserve">Statistical results from ANOVA </w:t>
      </w:r>
      <w:r>
        <w:rPr>
          <w:rFonts w:ascii="Times New Roman" w:hAnsi="Times New Roman" w:cs="Times New Roman"/>
          <w:sz w:val="24"/>
          <w:szCs w:val="24"/>
        </w:rPr>
        <w:t>showing the effects of components, returning methods, sampling times, sites, and their interactions on decomposition rate, lignin decomposition, and nutrient release proportion during the decomposition of three kudzu components.</w:t>
      </w:r>
    </w:p>
    <w:tbl>
      <w:tblPr>
        <w:tblW w:w="13934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1"/>
        <w:gridCol w:w="1972"/>
        <w:gridCol w:w="1972"/>
        <w:gridCol w:w="1972"/>
        <w:gridCol w:w="1972"/>
        <w:gridCol w:w="1969"/>
        <w:gridCol w:w="16"/>
      </w:tblGrid>
      <w:tr w:rsidR="00185954" w14:paraId="0BDE593E" w14:textId="77777777" w:rsidTr="00085924">
        <w:trPr>
          <w:gridAfter w:val="1"/>
          <w:wAfter w:w="16" w:type="dxa"/>
          <w:trHeight w:val="909"/>
        </w:trPr>
        <w:tc>
          <w:tcPr>
            <w:tcW w:w="4061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bottom"/>
          </w:tcPr>
          <w:p w14:paraId="175DF426" w14:textId="77777777" w:rsidR="00185954" w:rsidRDefault="00185954" w:rsidP="00085924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972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0A6C196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Kudzu decomposition rate</w:t>
            </w:r>
          </w:p>
        </w:tc>
        <w:tc>
          <w:tcPr>
            <w:tcW w:w="1972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7016E50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Lignin decomposition</w:t>
            </w:r>
          </w:p>
        </w:tc>
        <w:tc>
          <w:tcPr>
            <w:tcW w:w="1972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395CECE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C</w:t>
            </w:r>
          </w:p>
          <w:p w14:paraId="3CF9059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release proportion</w:t>
            </w:r>
          </w:p>
        </w:tc>
        <w:tc>
          <w:tcPr>
            <w:tcW w:w="1972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3858BAD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</w:t>
            </w:r>
          </w:p>
          <w:p w14:paraId="3F039D8C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release proportion</w:t>
            </w:r>
          </w:p>
        </w:tc>
        <w:tc>
          <w:tcPr>
            <w:tcW w:w="1969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08BFD17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P</w:t>
            </w:r>
          </w:p>
          <w:p w14:paraId="41D462C8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release proportion</w:t>
            </w:r>
          </w:p>
        </w:tc>
      </w:tr>
      <w:tr w:rsidR="00185954" w14:paraId="326DAB97" w14:textId="77777777" w:rsidTr="00085924">
        <w:trPr>
          <w:trHeight w:val="291"/>
        </w:trPr>
        <w:tc>
          <w:tcPr>
            <w:tcW w:w="4061" w:type="dxa"/>
            <w:shd w:val="clear" w:color="auto" w:fill="auto"/>
          </w:tcPr>
          <w:p w14:paraId="6C12570B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6A231B1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7590DF8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E79C58C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009C7FA1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0ED8E8F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592CB12D" w14:textId="77777777" w:rsidTr="00085924">
        <w:trPr>
          <w:trHeight w:val="312"/>
        </w:trPr>
        <w:tc>
          <w:tcPr>
            <w:tcW w:w="4061" w:type="dxa"/>
            <w:shd w:val="clear" w:color="auto" w:fill="auto"/>
            <w:noWrap/>
            <w:vAlign w:val="center"/>
          </w:tcPr>
          <w:p w14:paraId="345C81C2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Components 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BEAACA7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4EE7B9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C073341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B462CB1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6E2D413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25382FC4" w14:textId="77777777" w:rsidTr="00085924">
        <w:trPr>
          <w:trHeight w:val="302"/>
        </w:trPr>
        <w:tc>
          <w:tcPr>
            <w:tcW w:w="4061" w:type="dxa"/>
            <w:shd w:val="clear" w:color="auto" w:fill="auto"/>
            <w:noWrap/>
            <w:vAlign w:val="center"/>
          </w:tcPr>
          <w:p w14:paraId="2295FA78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Methods 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EB68F61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CA76882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D612F32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45C87A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2CCBE5B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</w:tr>
      <w:tr w:rsidR="00185954" w14:paraId="2C782E96" w14:textId="77777777" w:rsidTr="00085924">
        <w:trPr>
          <w:trHeight w:val="312"/>
        </w:trPr>
        <w:tc>
          <w:tcPr>
            <w:tcW w:w="4061" w:type="dxa"/>
            <w:shd w:val="clear" w:color="auto" w:fill="auto"/>
            <w:noWrap/>
            <w:vAlign w:val="center"/>
          </w:tcPr>
          <w:p w14:paraId="778D31F7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Times 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EC2C0A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0666EB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4B20912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D12BFE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5359860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358DBB31" w14:textId="77777777" w:rsidTr="00085924">
        <w:trPr>
          <w:trHeight w:val="279"/>
        </w:trPr>
        <w:tc>
          <w:tcPr>
            <w:tcW w:w="4061" w:type="dxa"/>
            <w:shd w:val="clear" w:color="auto" w:fill="auto"/>
          </w:tcPr>
          <w:p w14:paraId="199FFB20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Sites *</w:t>
            </w:r>
            <w:r>
              <w:t xml:space="preserve">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Components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971AACE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08B272D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0EB3E1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BBA293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4FCAE3B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7C1FFB0A" w14:textId="77777777" w:rsidTr="00085924">
        <w:trPr>
          <w:trHeight w:val="291"/>
        </w:trPr>
        <w:tc>
          <w:tcPr>
            <w:tcW w:w="4061" w:type="dxa"/>
            <w:shd w:val="clear" w:color="auto" w:fill="auto"/>
          </w:tcPr>
          <w:p w14:paraId="195321FE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Methods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54BC2E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681B3A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8D6A27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D23153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45F2512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</w:tr>
      <w:tr w:rsidR="00185954" w14:paraId="1F2D78AA" w14:textId="77777777" w:rsidTr="00085924">
        <w:trPr>
          <w:trHeight w:val="279"/>
        </w:trPr>
        <w:tc>
          <w:tcPr>
            <w:tcW w:w="4061" w:type="dxa"/>
            <w:shd w:val="clear" w:color="auto" w:fill="auto"/>
          </w:tcPr>
          <w:p w14:paraId="71EE9F79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A68D413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29CC52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3434FD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85BB91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61D7643E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</w:tr>
      <w:tr w:rsidR="00185954" w14:paraId="30943378" w14:textId="77777777" w:rsidTr="00085924">
        <w:trPr>
          <w:trHeight w:val="291"/>
        </w:trPr>
        <w:tc>
          <w:tcPr>
            <w:tcW w:w="4061" w:type="dxa"/>
            <w:shd w:val="clear" w:color="auto" w:fill="auto"/>
          </w:tcPr>
          <w:p w14:paraId="2E7AD8F1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Components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Methods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39E15E7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5F17E3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C845B1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CA7BAB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39B35A1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</w:tr>
      <w:tr w:rsidR="00185954" w14:paraId="719B8D9D" w14:textId="77777777" w:rsidTr="00085924">
        <w:trPr>
          <w:trHeight w:val="279"/>
        </w:trPr>
        <w:tc>
          <w:tcPr>
            <w:tcW w:w="4061" w:type="dxa"/>
            <w:shd w:val="clear" w:color="auto" w:fill="auto"/>
          </w:tcPr>
          <w:p w14:paraId="408759E3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Components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390246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BD102BE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C631AE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10AD3E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6770E8B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458BCCF3" w14:textId="77777777" w:rsidTr="00085924">
        <w:trPr>
          <w:trHeight w:val="291"/>
        </w:trPr>
        <w:tc>
          <w:tcPr>
            <w:tcW w:w="4061" w:type="dxa"/>
            <w:shd w:val="clear" w:color="auto" w:fill="auto"/>
          </w:tcPr>
          <w:p w14:paraId="7794AC87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Methods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DABB7D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FB8BC9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D281F5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746F359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17F24D4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21870E1D" w14:textId="77777777" w:rsidTr="00085924">
        <w:trPr>
          <w:trHeight w:val="267"/>
        </w:trPr>
        <w:tc>
          <w:tcPr>
            <w:tcW w:w="4061" w:type="dxa"/>
            <w:shd w:val="clear" w:color="auto" w:fill="auto"/>
          </w:tcPr>
          <w:p w14:paraId="1F42618B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Components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Methods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0A4CE1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D84065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2CF4800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3AE0D534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5E5FF00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5A5725F0" w14:textId="77777777" w:rsidTr="00085924">
        <w:trPr>
          <w:trHeight w:val="267"/>
        </w:trPr>
        <w:tc>
          <w:tcPr>
            <w:tcW w:w="4061" w:type="dxa"/>
            <w:shd w:val="clear" w:color="auto" w:fill="auto"/>
          </w:tcPr>
          <w:p w14:paraId="55352768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Components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3359573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9B3405B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CB8CC5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883BA95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7099E0EF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</w:tr>
      <w:tr w:rsidR="00185954" w14:paraId="63C00362" w14:textId="77777777" w:rsidTr="00085924">
        <w:trPr>
          <w:trHeight w:val="267"/>
        </w:trPr>
        <w:tc>
          <w:tcPr>
            <w:tcW w:w="4061" w:type="dxa"/>
            <w:shd w:val="clear" w:color="auto" w:fill="auto"/>
          </w:tcPr>
          <w:p w14:paraId="5C573E6E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Sites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Methods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A02DE6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B1BB49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0ECF40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D59A5B3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0336AE0E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2DC97DA7" w14:textId="77777777" w:rsidTr="00085924">
        <w:trPr>
          <w:trHeight w:val="279"/>
        </w:trPr>
        <w:tc>
          <w:tcPr>
            <w:tcW w:w="4061" w:type="dxa"/>
            <w:shd w:val="clear" w:color="auto" w:fill="auto"/>
          </w:tcPr>
          <w:p w14:paraId="584EBE90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Components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Methods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FF183BC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4F57B2F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727893C0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6C9228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3D3ED04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</w:tr>
      <w:tr w:rsidR="00185954" w14:paraId="422E21BC" w14:textId="77777777" w:rsidTr="00085924">
        <w:trPr>
          <w:trHeight w:val="279"/>
        </w:trPr>
        <w:tc>
          <w:tcPr>
            <w:tcW w:w="4061" w:type="dxa"/>
            <w:shd w:val="clear" w:color="auto" w:fill="auto"/>
          </w:tcPr>
          <w:p w14:paraId="25E6302F" w14:textId="77777777" w:rsidR="00185954" w:rsidRDefault="00185954" w:rsidP="00085924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Sites *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Components 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*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Methods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 xml:space="preserve"> *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 xml:space="preserve"> Times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0AD33D9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64EF6EE6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507E569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72" w:type="dxa"/>
            <w:shd w:val="clear" w:color="auto" w:fill="auto"/>
            <w:noWrap/>
            <w:vAlign w:val="center"/>
          </w:tcPr>
          <w:p w14:paraId="19CD451D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b/>
                <w:bCs/>
                <w:color w:val="000000"/>
                <w:kern w:val="0"/>
                <w:szCs w:val="21"/>
              </w:rPr>
              <w:t>**</w:t>
            </w:r>
          </w:p>
        </w:tc>
        <w:tc>
          <w:tcPr>
            <w:tcW w:w="1985" w:type="dxa"/>
            <w:gridSpan w:val="2"/>
            <w:shd w:val="clear" w:color="auto" w:fill="auto"/>
            <w:noWrap/>
            <w:vAlign w:val="center"/>
          </w:tcPr>
          <w:p w14:paraId="72E123FA" w14:textId="77777777" w:rsidR="00185954" w:rsidRDefault="00185954" w:rsidP="0008592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00000"/>
                <w:kern w:val="0"/>
                <w:szCs w:val="21"/>
              </w:rPr>
              <w:t>ns</w:t>
            </w:r>
          </w:p>
        </w:tc>
      </w:tr>
    </w:tbl>
    <w:p w14:paraId="7ED10322" w14:textId="77777777" w:rsidR="00185954" w:rsidRDefault="00185954" w:rsidP="00185954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0.05; **,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0.01; ns, no significance,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&gt; 0.05.</w:t>
      </w:r>
    </w:p>
    <w:p w14:paraId="33722763" w14:textId="77777777" w:rsidR="00185954" w:rsidRDefault="00185954" w:rsidP="00185954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D5DDA81" w14:textId="77777777" w:rsidR="00185954" w:rsidRDefault="00185954" w:rsidP="001859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ntstyle01"/>
          <w:sz w:val="24"/>
          <w:szCs w:val="24"/>
        </w:rPr>
        <w:lastRenderedPageBreak/>
        <w:t xml:space="preserve">Table S2 </w:t>
      </w:r>
      <w:r>
        <w:rPr>
          <w:rStyle w:val="fontstyle21"/>
          <w:sz w:val="24"/>
          <w:szCs w:val="24"/>
        </w:rPr>
        <w:t xml:space="preserve">Statistical results from ANOVA </w:t>
      </w:r>
      <w:r>
        <w:rPr>
          <w:rFonts w:ascii="Times New Roman" w:hAnsi="Times New Roman" w:cs="Times New Roman"/>
          <w:sz w:val="24"/>
          <w:szCs w:val="24"/>
        </w:rPr>
        <w:t xml:space="preserve">showing effects of components, returning methods, sampling times, sites, and their interactions on </w:t>
      </w:r>
      <w:r>
        <w:rPr>
          <w:rFonts w:ascii="Times New Roman" w:hAnsi="Times New Roman" w:cs="Times New Roman" w:hint="eastAsia"/>
          <w:sz w:val="24"/>
          <w:szCs w:val="24"/>
        </w:rPr>
        <w:t xml:space="preserve">soil </w:t>
      </w:r>
      <w:r>
        <w:rPr>
          <w:rFonts w:ascii="Times New Roman" w:hAnsi="Times New Roman" w:cs="Times New Roman"/>
          <w:sz w:val="24"/>
          <w:szCs w:val="24"/>
        </w:rPr>
        <w:t>chemical properties and enzyme activities during the decomposition of three kudzu components.</w:t>
      </w:r>
    </w:p>
    <w:tbl>
      <w:tblPr>
        <w:tblW w:w="13977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1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5"/>
        <w:gridCol w:w="836"/>
      </w:tblGrid>
      <w:tr w:rsidR="00185954" w14:paraId="0AA10230" w14:textId="77777777" w:rsidTr="00085924">
        <w:trPr>
          <w:trHeight w:val="554"/>
        </w:trPr>
        <w:tc>
          <w:tcPr>
            <w:tcW w:w="1451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center"/>
          </w:tcPr>
          <w:p w14:paraId="54946306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993300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5BA7C70D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4E8C30D0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C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73397566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7E59C216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5477C5E5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C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11EFBE6E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M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35694C71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23A653A9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C * M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3EE42E3F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C * 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52CEF509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M * 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689B456A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S* C * M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27C2E9F9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C * 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7B96AF99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M * T</w:t>
            </w:r>
          </w:p>
        </w:tc>
        <w:tc>
          <w:tcPr>
            <w:tcW w:w="835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5EDB7EFC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C * M * T</w:t>
            </w:r>
          </w:p>
        </w:tc>
        <w:tc>
          <w:tcPr>
            <w:tcW w:w="836" w:type="dxa"/>
            <w:tcBorders>
              <w:top w:val="single" w:sz="12" w:space="0" w:color="auto"/>
              <w:bottom w:val="single" w:sz="6" w:space="0" w:color="auto"/>
            </w:tcBorders>
            <w:shd w:val="clear" w:color="000000" w:fill="auto"/>
            <w:vAlign w:val="center"/>
          </w:tcPr>
          <w:p w14:paraId="25A373DF" w14:textId="77777777" w:rsidR="00185954" w:rsidRDefault="00185954" w:rsidP="00085924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 w:themeColor="text1"/>
                <w:kern w:val="0"/>
                <w:sz w:val="20"/>
                <w:szCs w:val="20"/>
              </w:rPr>
              <w:t>S * C * M * T</w:t>
            </w:r>
          </w:p>
        </w:tc>
      </w:tr>
      <w:tr w:rsidR="00185954" w14:paraId="77DD2F95" w14:textId="77777777" w:rsidTr="00085924">
        <w:trPr>
          <w:trHeight w:val="315"/>
        </w:trPr>
        <w:tc>
          <w:tcPr>
            <w:tcW w:w="1451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5DDDAC8C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Moisture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1C31712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2FCE5CB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1AC72B1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65CC4EE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69FB7C9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6FE8493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3D4D5C9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5BE684F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3586FB3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165FB1B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7031795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35080F5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11413A4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tcBorders>
              <w:top w:val="single" w:sz="6" w:space="0" w:color="auto"/>
            </w:tcBorders>
            <w:shd w:val="clear" w:color="auto" w:fill="auto"/>
            <w:noWrap/>
          </w:tcPr>
          <w:p w14:paraId="0E6555B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6" w:type="dxa"/>
            <w:tcBorders>
              <w:top w:val="single" w:sz="6" w:space="0" w:color="auto"/>
            </w:tcBorders>
            <w:shd w:val="clear" w:color="auto" w:fill="auto"/>
            <w:noWrap/>
          </w:tcPr>
          <w:p w14:paraId="60960F7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</w:tr>
      <w:tr w:rsidR="00185954" w14:paraId="15A95EA4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7B776D06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835" w:type="dxa"/>
            <w:shd w:val="clear" w:color="auto" w:fill="auto"/>
            <w:noWrap/>
          </w:tcPr>
          <w:p w14:paraId="2F9E6FC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C33BF3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83CC16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6DD5886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3DDCEE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F57297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DDF9BB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666A11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A3FAE4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80CA97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8CEEAE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515F56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6757D9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460C52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0F78503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647CDAA7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1DA07034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835" w:type="dxa"/>
            <w:shd w:val="clear" w:color="auto" w:fill="auto"/>
            <w:noWrap/>
          </w:tcPr>
          <w:p w14:paraId="2EFD3E5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44CE24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5491756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B514E9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9422D0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6AC6951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F52D05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70EDDE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063303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83DBD9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53A0381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495384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B9BE44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691BA1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6F9C913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6D3120F6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24DD1E7F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TN</w:t>
            </w:r>
          </w:p>
        </w:tc>
        <w:tc>
          <w:tcPr>
            <w:tcW w:w="835" w:type="dxa"/>
            <w:shd w:val="clear" w:color="auto" w:fill="auto"/>
            <w:noWrap/>
          </w:tcPr>
          <w:p w14:paraId="51E7C23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3123D7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DCC489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10953E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DE3606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6F58FA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594E3C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BF2B7D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79835A3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3F28E92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1F84D8F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684D2E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709C9B5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300899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06AB1AD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</w:tr>
      <w:tr w:rsidR="00185954" w14:paraId="30A58812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10CA776E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TP</w:t>
            </w:r>
          </w:p>
        </w:tc>
        <w:tc>
          <w:tcPr>
            <w:tcW w:w="835" w:type="dxa"/>
            <w:shd w:val="clear" w:color="auto" w:fill="auto"/>
            <w:noWrap/>
          </w:tcPr>
          <w:p w14:paraId="4254666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AE8E35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36678B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D31E4D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E24D63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63AA1B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25BE4D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A66FEB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4C47BBC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6FBABB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2FF67C7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1E10DE7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833EFF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B88F9E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60E79E0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</w:tr>
      <w:tr w:rsidR="00185954" w14:paraId="449E13E1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5961F01B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AP</w:t>
            </w:r>
          </w:p>
        </w:tc>
        <w:tc>
          <w:tcPr>
            <w:tcW w:w="835" w:type="dxa"/>
            <w:shd w:val="clear" w:color="auto" w:fill="auto"/>
            <w:noWrap/>
          </w:tcPr>
          <w:p w14:paraId="1D45264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0DA764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7F7EDF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D6FE4D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8AB949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970B92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47AF10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B7D11F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827706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C0FC4F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403C4E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FA6440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88BFC5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D5D240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393BC26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75F54DAD" w14:textId="77777777" w:rsidTr="00085924">
        <w:trPr>
          <w:trHeight w:val="347"/>
        </w:trPr>
        <w:tc>
          <w:tcPr>
            <w:tcW w:w="1451" w:type="dxa"/>
            <w:shd w:val="clear" w:color="auto" w:fill="auto"/>
            <w:noWrap/>
            <w:vAlign w:val="center"/>
          </w:tcPr>
          <w:p w14:paraId="7F6D817D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NO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−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-N</w:t>
            </w:r>
          </w:p>
        </w:tc>
        <w:tc>
          <w:tcPr>
            <w:tcW w:w="835" w:type="dxa"/>
            <w:shd w:val="clear" w:color="auto" w:fill="auto"/>
            <w:noWrap/>
          </w:tcPr>
          <w:p w14:paraId="270DA80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1F4B62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3FC5E7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3C1D25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DAEB01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1A6389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0D6221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1E7BF3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2A0D8B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FA7801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67E9930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6BA2E8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F972F8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6083DD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153A3AF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7FBC3828" w14:textId="77777777" w:rsidTr="00085924">
        <w:trPr>
          <w:trHeight w:val="347"/>
        </w:trPr>
        <w:tc>
          <w:tcPr>
            <w:tcW w:w="1451" w:type="dxa"/>
            <w:shd w:val="clear" w:color="auto" w:fill="auto"/>
            <w:noWrap/>
            <w:vAlign w:val="center"/>
          </w:tcPr>
          <w:p w14:paraId="5EB1E347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NH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bscript"/>
              </w:rPr>
              <w:t>4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  <w:vertAlign w:val="superscript"/>
              </w:rPr>
              <w:t>+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-N</w:t>
            </w:r>
          </w:p>
        </w:tc>
        <w:tc>
          <w:tcPr>
            <w:tcW w:w="835" w:type="dxa"/>
            <w:shd w:val="clear" w:color="auto" w:fill="auto"/>
            <w:noWrap/>
          </w:tcPr>
          <w:p w14:paraId="6968F75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AE537D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69D1E2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499DA2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D525E1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BF1398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037E1E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AE2452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5844BD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F5DC94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BFE6FC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B13ACE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CDC811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252310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262F4D7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7598657F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72C34A84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C: N</w:t>
            </w:r>
          </w:p>
        </w:tc>
        <w:tc>
          <w:tcPr>
            <w:tcW w:w="835" w:type="dxa"/>
            <w:shd w:val="clear" w:color="auto" w:fill="auto"/>
            <w:noWrap/>
          </w:tcPr>
          <w:p w14:paraId="490EB10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3AB066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63209C1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75110AE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9DD078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F75BEC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0325774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F5D5FC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C2FC9E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061A2B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CAD4E9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FAC71C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595123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2E7BF2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1F9D6E2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174C3226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727ABF55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C: P</w:t>
            </w:r>
          </w:p>
        </w:tc>
        <w:tc>
          <w:tcPr>
            <w:tcW w:w="835" w:type="dxa"/>
            <w:shd w:val="clear" w:color="auto" w:fill="auto"/>
            <w:noWrap/>
          </w:tcPr>
          <w:p w14:paraId="6A0B060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3F2446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0362C4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794DA75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3197EA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741BF85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7014477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505F93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135B4B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4631AE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490D3B1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BA082E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7CB7FF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54F8CD3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6" w:type="dxa"/>
            <w:shd w:val="clear" w:color="auto" w:fill="auto"/>
            <w:noWrap/>
          </w:tcPr>
          <w:p w14:paraId="67E6AB7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</w:tr>
      <w:tr w:rsidR="00185954" w14:paraId="058ADCA4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612C8756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Soil N: P</w:t>
            </w:r>
          </w:p>
        </w:tc>
        <w:tc>
          <w:tcPr>
            <w:tcW w:w="835" w:type="dxa"/>
            <w:shd w:val="clear" w:color="auto" w:fill="auto"/>
            <w:noWrap/>
          </w:tcPr>
          <w:p w14:paraId="0450DC8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D295BF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6BB128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1C2135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D6DC69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767F5E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2A518C7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5867A2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308607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3688CB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6CEB352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661F50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700DBE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070079F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3853E52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57C8A264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3B3F4064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AcP</w:t>
            </w:r>
          </w:p>
        </w:tc>
        <w:tc>
          <w:tcPr>
            <w:tcW w:w="835" w:type="dxa"/>
            <w:shd w:val="clear" w:color="auto" w:fill="auto"/>
            <w:noWrap/>
          </w:tcPr>
          <w:p w14:paraId="04961AB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D8C996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65E5EEF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10D5EC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8FB065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12E001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2CC6EBD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653783E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2B38BF2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3B0968A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730168D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82028E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24CEA25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6372E8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6" w:type="dxa"/>
            <w:shd w:val="clear" w:color="auto" w:fill="auto"/>
            <w:noWrap/>
          </w:tcPr>
          <w:p w14:paraId="2E002CE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</w:tr>
      <w:tr w:rsidR="00185954" w14:paraId="76F01288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470AC0CD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BG</w:t>
            </w:r>
          </w:p>
        </w:tc>
        <w:tc>
          <w:tcPr>
            <w:tcW w:w="835" w:type="dxa"/>
            <w:shd w:val="clear" w:color="auto" w:fill="auto"/>
            <w:noWrap/>
          </w:tcPr>
          <w:p w14:paraId="0293569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696D715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6A2D17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4F4A49B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FFB1E5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FC7CB2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ECA094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7D2249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3D3436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ACE5C6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9BBB0E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07EBE2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9519A0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1A8F2A2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01500C2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081A228B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7303D2BB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NAG</w:t>
            </w:r>
          </w:p>
        </w:tc>
        <w:tc>
          <w:tcPr>
            <w:tcW w:w="835" w:type="dxa"/>
            <w:shd w:val="clear" w:color="auto" w:fill="auto"/>
            <w:noWrap/>
          </w:tcPr>
          <w:p w14:paraId="74B847E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5CAAEEB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493AF5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0B9F7B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961FFC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F9E414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453AD4F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D0842C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0F761C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D6DF44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2E40B5A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385F00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456425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C3CD35C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048547A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</w:tr>
      <w:tr w:rsidR="00185954" w14:paraId="37A5710C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6DABD84E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LAP</w:t>
            </w:r>
          </w:p>
        </w:tc>
        <w:tc>
          <w:tcPr>
            <w:tcW w:w="835" w:type="dxa"/>
            <w:shd w:val="clear" w:color="auto" w:fill="auto"/>
            <w:noWrap/>
          </w:tcPr>
          <w:p w14:paraId="74960FC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3BE9728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5DCA34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C6FBD2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5B807A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00BBD4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3D6964E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F509B0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</w:t>
            </w:r>
          </w:p>
        </w:tc>
        <w:tc>
          <w:tcPr>
            <w:tcW w:w="835" w:type="dxa"/>
            <w:shd w:val="clear" w:color="auto" w:fill="auto"/>
            <w:noWrap/>
          </w:tcPr>
          <w:p w14:paraId="22593736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3A7E54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6B132297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822E03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D012E7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16189A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55EB1C3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539D5B65" w14:textId="77777777" w:rsidTr="00085924">
        <w:trPr>
          <w:trHeight w:val="299"/>
        </w:trPr>
        <w:tc>
          <w:tcPr>
            <w:tcW w:w="1451" w:type="dxa"/>
            <w:shd w:val="clear" w:color="auto" w:fill="auto"/>
            <w:noWrap/>
            <w:vAlign w:val="center"/>
          </w:tcPr>
          <w:p w14:paraId="60EEACC1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POX</w:t>
            </w:r>
          </w:p>
        </w:tc>
        <w:tc>
          <w:tcPr>
            <w:tcW w:w="835" w:type="dxa"/>
            <w:shd w:val="clear" w:color="auto" w:fill="auto"/>
            <w:noWrap/>
          </w:tcPr>
          <w:p w14:paraId="3F66485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1F1545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323CA22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B25C699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340D54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9426AF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40D863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5E24D0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5B22B7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F39210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DB421D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2832652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0C62033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272300C5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04E1559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  <w:tr w:rsidR="00185954" w14:paraId="7CD6504C" w14:textId="77777777" w:rsidTr="00085924">
        <w:trPr>
          <w:trHeight w:val="315"/>
        </w:trPr>
        <w:tc>
          <w:tcPr>
            <w:tcW w:w="1451" w:type="dxa"/>
            <w:shd w:val="clear" w:color="auto" w:fill="auto"/>
            <w:noWrap/>
            <w:vAlign w:val="center"/>
          </w:tcPr>
          <w:p w14:paraId="56C80DDA" w14:textId="77777777" w:rsidR="00185954" w:rsidRDefault="00185954" w:rsidP="00085924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Cs w:val="21"/>
              </w:rPr>
              <w:t>CAT</w:t>
            </w:r>
          </w:p>
        </w:tc>
        <w:tc>
          <w:tcPr>
            <w:tcW w:w="835" w:type="dxa"/>
            <w:shd w:val="clear" w:color="auto" w:fill="auto"/>
            <w:noWrap/>
          </w:tcPr>
          <w:p w14:paraId="53C84E1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4667D54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86D6B8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8C3852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FD89C03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3E5ED50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6CE082D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91C98C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91D58B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15E04EB4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ns</w:t>
            </w:r>
          </w:p>
        </w:tc>
        <w:tc>
          <w:tcPr>
            <w:tcW w:w="835" w:type="dxa"/>
            <w:shd w:val="clear" w:color="auto" w:fill="auto"/>
            <w:noWrap/>
          </w:tcPr>
          <w:p w14:paraId="5937FF0B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544036EA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3E879AC1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5" w:type="dxa"/>
            <w:shd w:val="clear" w:color="auto" w:fill="auto"/>
            <w:noWrap/>
          </w:tcPr>
          <w:p w14:paraId="7348BF98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  <w:tc>
          <w:tcPr>
            <w:tcW w:w="836" w:type="dxa"/>
            <w:shd w:val="clear" w:color="auto" w:fill="auto"/>
            <w:noWrap/>
          </w:tcPr>
          <w:p w14:paraId="48EB101F" w14:textId="77777777" w:rsidR="00185954" w:rsidRDefault="00185954" w:rsidP="00085924">
            <w:pPr>
              <w:widowControl/>
              <w:jc w:val="right"/>
              <w:textAlignment w:val="top"/>
              <w:rPr>
                <w:rFonts w:ascii="Times New Roman" w:eastAsia="SimSun" w:hAnsi="Times New Roman" w:cs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kern w:val="0"/>
                <w:szCs w:val="21"/>
              </w:rPr>
              <w:t>**</w:t>
            </w:r>
          </w:p>
        </w:tc>
      </w:tr>
    </w:tbl>
    <w:p w14:paraId="3F864025" w14:textId="44D3680C" w:rsidR="00D10C5B" w:rsidRDefault="00185954">
      <w:r>
        <w:rPr>
          <w:rFonts w:ascii="Times New Roman" w:eastAsia="MingLiU" w:hAnsi="Times New Roman" w:cs="Times New Roman"/>
          <w:color w:val="000000"/>
          <w:kern w:val="0"/>
          <w:szCs w:val="21"/>
        </w:rPr>
        <w:t>S,</w:t>
      </w:r>
      <w:r>
        <w:rPr>
          <w:rFonts w:ascii="Times New Roman" w:eastAsia="SimSun" w:hAnsi="Times New Roman" w:cs="Times New Roman" w:hint="eastAsia"/>
          <w:color w:val="000000"/>
          <w:kern w:val="0"/>
          <w:szCs w:val="21"/>
        </w:rPr>
        <w:t xml:space="preserve"> Study s</w:t>
      </w:r>
      <w:r>
        <w:rPr>
          <w:rFonts w:ascii="Times New Roman" w:eastAsia="MingLiU" w:hAnsi="Times New Roman" w:cs="Times New Roman"/>
          <w:color w:val="000000"/>
          <w:kern w:val="0"/>
          <w:szCs w:val="21"/>
        </w:rPr>
        <w:t>ites; C:</w:t>
      </w:r>
      <w:r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 Components</w:t>
      </w:r>
      <w:r>
        <w:rPr>
          <w:rFonts w:ascii="Times New Roman" w:eastAsia="MingLiU" w:hAnsi="Times New Roman" w:cs="Times New Roman"/>
          <w:color w:val="000000"/>
          <w:kern w:val="0"/>
          <w:szCs w:val="21"/>
        </w:rPr>
        <w:t>; M:</w:t>
      </w:r>
      <w:r>
        <w:rPr>
          <w:rFonts w:ascii="Times New Roman" w:eastAsia="DengXian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color w:val="000000"/>
          <w:kern w:val="0"/>
          <w:szCs w:val="21"/>
        </w:rPr>
        <w:t>Returning m</w:t>
      </w:r>
      <w:r>
        <w:rPr>
          <w:rFonts w:ascii="Times New Roman" w:eastAsia="DengXian" w:hAnsi="Times New Roman" w:cs="Times New Roman"/>
          <w:color w:val="000000"/>
          <w:kern w:val="0"/>
          <w:szCs w:val="21"/>
        </w:rPr>
        <w:t>ethods;</w:t>
      </w:r>
      <w:r>
        <w:rPr>
          <w:rFonts w:ascii="Times New Roman" w:eastAsia="MingLiU" w:hAnsi="Times New Roman" w:cs="Times New Roman"/>
          <w:color w:val="000000"/>
          <w:kern w:val="0"/>
          <w:szCs w:val="21"/>
        </w:rPr>
        <w:t xml:space="preserve"> T: </w:t>
      </w:r>
      <w:r>
        <w:rPr>
          <w:rFonts w:ascii="Times New Roman" w:eastAsia="DengXian" w:hAnsi="Times New Roman" w:cs="Times New Roman"/>
          <w:color w:val="000000"/>
          <w:kern w:val="0"/>
          <w:szCs w:val="21"/>
        </w:rPr>
        <w:t>Times.</w:t>
      </w:r>
      <w:r>
        <w:rPr>
          <w:rFonts w:ascii="Times New Roman" w:hAnsi="Times New Roman" w:cs="Times New Roman"/>
          <w:szCs w:val="21"/>
        </w:rPr>
        <w:t xml:space="preserve"> 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0.05; **,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0.01; ns, no significance, 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&gt; 0.05.</w:t>
      </w:r>
    </w:p>
    <w:sectPr w:rsidR="00D10C5B" w:rsidSect="0018595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Microsoft YaHei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954"/>
    <w:rsid w:val="00185954"/>
    <w:rsid w:val="00D1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FEF3A"/>
  <w15:chartTrackingRefBased/>
  <w15:docId w15:val="{64C35724-1488-4B5F-B157-E33BEC2E5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954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qFormat/>
    <w:rsid w:val="00185954"/>
    <w:rPr>
      <w:rFonts w:ascii="Times New Roman" w:hAnsi="Times New Roman" w:cs="Times New Roman" w:hint="default"/>
      <w:b/>
      <w:bCs/>
      <w:color w:val="000000"/>
      <w:sz w:val="22"/>
      <w:szCs w:val="22"/>
    </w:rPr>
  </w:style>
  <w:style w:type="character" w:customStyle="1" w:styleId="fontstyle21">
    <w:name w:val="fontstyle21"/>
    <w:basedOn w:val="DefaultParagraphFont"/>
    <w:qFormat/>
    <w:rsid w:val="00185954"/>
    <w:rPr>
      <w:rFonts w:ascii="Times New Roman" w:hAnsi="Times New Roman" w:cs="Times New Roman" w:hint="default"/>
      <w:color w:val="000000"/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185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image" Target="media/image4.png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790</Words>
  <Characters>4506</Characters>
  <Application>Microsoft Office Word</Application>
  <DocSecurity>0</DocSecurity>
  <Lines>37</Lines>
  <Paragraphs>10</Paragraphs>
  <ScaleCrop>false</ScaleCrop>
  <Company>Springer Nature</Company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2023-05-03T08:06:00Z</dcterms:created>
  <dcterms:modified xsi:type="dcterms:W3CDTF">2023-05-03T08:06:00Z</dcterms:modified>
</cp:coreProperties>
</file>