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等线" w:cs="Times New Roman"/>
          <w:sz w:val="28"/>
          <w:szCs w:val="28"/>
        </w:rPr>
      </w:pPr>
      <w:bookmarkStart w:id="0" w:name="OLE_LINK6"/>
      <w:bookmarkStart w:id="1" w:name="_Hlk122261855"/>
      <w:bookmarkStart w:id="2" w:name="_Hlk123292028"/>
      <w:bookmarkStart w:id="3" w:name="_Hlk130224167"/>
      <w:r>
        <w:rPr>
          <w:rFonts w:ascii="Times New Roman" w:hAnsi="Times New Roman" w:eastAsia="等线" w:cs="Times New Roman"/>
          <w:sz w:val="28"/>
          <w:szCs w:val="28"/>
        </w:rPr>
        <w:t>A Novel c-Met/TRK inhibitor 1D228 efficiently inhibits tumor growth by targeting angiogenesis and tumor cell proliferation.</w:t>
      </w:r>
    </w:p>
    <w:bookmarkEnd w:id="0"/>
    <w:p>
      <w:pPr>
        <w:widowControl/>
        <w:spacing w:line="36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Baijiao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An</w:t>
      </w:r>
      <w:bookmarkStart w:id="4" w:name="_Hlk120876520"/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a,c</w:t>
      </w:r>
      <w:bookmarkEnd w:id="4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W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en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yan Nie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Jinhui Hu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d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Yangyang Fan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 xml:space="preserve">a 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Han Yao</w:t>
      </w:r>
      <w:bookmarkStart w:id="5" w:name="_Hlk69719961"/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,</w:t>
      </w:r>
      <w:bookmarkEnd w:id="5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 Y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uan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yuan R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en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Yaxuan Zhao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Haoran Nie</w:t>
      </w:r>
      <w:bookmarkStart w:id="6" w:name="_Hlk121335561"/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</w:t>
      </w:r>
      <w:bookmarkEnd w:id="6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Mengxuan Wang</w:t>
      </w:r>
      <w:bookmarkStart w:id="7" w:name="_Hlk121335716"/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</w:t>
      </w:r>
      <w:bookmarkEnd w:id="7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Chuanchuan Zhang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 Mengna Wei</w:t>
      </w:r>
      <w:bookmarkStart w:id="8" w:name="_Hlk123291904"/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</w:t>
      </w:r>
      <w:bookmarkEnd w:id="8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, 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Wei Li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Jiadai Liu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Chunhua Yang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 xml:space="preserve"> a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, Yin Zhang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 xml:space="preserve"> a,c</w:t>
      </w:r>
      <w:bookmarkStart w:id="9" w:name="_Hlk123291921"/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*</w:t>
      </w:r>
      <w:bookmarkEnd w:id="9"/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, Xingshu Li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*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 and Geng Tian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a,c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vertAlign w:val="superscript"/>
        </w:rPr>
        <w:t>*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.</w:t>
      </w:r>
    </w:p>
    <w:bookmarkEnd w:id="1"/>
    <w:p>
      <w:pPr>
        <w:widowControl/>
        <w:spacing w:before="100" w:beforeAutospacing="1" w:after="100" w:afterAutospacing="1"/>
        <w:outlineLvl w:val="2"/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等线" w:cs="Times New Roman"/>
          <w:color w:val="000000"/>
          <w:sz w:val="24"/>
          <w:szCs w:val="24"/>
        </w:rPr>
        <w:t>a</w:t>
      </w:r>
      <w:r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  <w:t xml:space="preserve"> School of Pharmacy, Binzhou Medical University, Yantai, Shandong, 264003, PR China </w:t>
      </w:r>
    </w:p>
    <w:p>
      <w:pPr>
        <w:widowControl/>
        <w:spacing w:before="100" w:beforeAutospacing="1" w:after="100" w:afterAutospacing="1"/>
        <w:outlineLvl w:val="2"/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  <w:t>b School of Pharmaceutical Sciences, Sun Yat-Sen University, Guangzhou 510006, PR China</w:t>
      </w:r>
    </w:p>
    <w:p>
      <w:pPr>
        <w:widowControl/>
        <w:spacing w:before="100" w:beforeAutospacing="1" w:after="100" w:afterAutospacing="1"/>
        <w:outlineLvl w:val="2"/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</w:pPr>
      <w:r>
        <w:rPr>
          <w:rFonts w:hint="eastAsia"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  <w:t>c</w:t>
      </w:r>
      <w:r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  <w:t xml:space="preserve"> Shandong Technology Innovation Center of Molecular Targeting and Intelligent Diagnosis and Treatment, Yantai, Shandong, 264003, PR China</w:t>
      </w:r>
    </w:p>
    <w:p>
      <w:pPr>
        <w:widowControl/>
        <w:spacing w:before="100" w:beforeAutospacing="1" w:after="100" w:afterAutospacing="1"/>
        <w:outlineLvl w:val="2"/>
        <w:rPr>
          <w:rFonts w:ascii="Times New Roman" w:hAnsi="Times New Roman" w:eastAsia="等线" w:cs="Times New Roman"/>
          <w:color w:val="000000"/>
          <w:sz w:val="24"/>
          <w:szCs w:val="24"/>
        </w:rPr>
      </w:pPr>
      <w:bookmarkStart w:id="10" w:name="_Hlk122261871"/>
      <w:r>
        <w:rPr>
          <w:rFonts w:hint="eastAsia" w:ascii="Times New Roman" w:hAnsi="Times New Roman" w:eastAsia="等线" w:cs="Times New Roman"/>
          <w:i/>
          <w:iCs/>
          <w:color w:val="000000"/>
          <w:sz w:val="24"/>
          <w:szCs w:val="24"/>
        </w:rPr>
        <w:t>d</w:t>
      </w:r>
      <w:r>
        <w:rPr>
          <w:rFonts w:ascii="Times New Roman" w:hAnsi="Times New Roman" w:eastAsia="等线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CharisSIL-Italic" w:cs="Times New Roman"/>
          <w:i/>
          <w:color w:val="000000"/>
          <w:kern w:val="0"/>
          <w:sz w:val="24"/>
          <w:szCs w:val="24"/>
          <w:lang w:bidi="ar"/>
        </w:rPr>
        <w:t>School of Biotechnology and Health Sciences, Wuyi University, Jiangmen, 529020, PR China</w:t>
      </w:r>
    </w:p>
    <w:bookmarkEnd w:id="2"/>
    <w:bookmarkEnd w:id="3"/>
    <w:bookmarkEnd w:id="10"/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24"/>
          <w:szCs w:val="24"/>
          <w:lang w:val="en-GB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Supplementary Contents</w:t>
      </w: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  <w:lang w:val="en-GB"/>
        </w:rPr>
        <w:t>S I. B</w:t>
      </w:r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 xml:space="preserve">iological </w:t>
      </w: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</w:pPr>
      <w:bookmarkStart w:id="11" w:name="OLE_LINK3"/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>S II</w:t>
      </w:r>
      <w:bookmarkEnd w:id="11"/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 xml:space="preserve">. </w:t>
      </w:r>
      <w:bookmarkStart w:id="12" w:name="OLE_LINK5"/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>NMR</w:t>
      </w:r>
      <w:bookmarkStart w:id="13" w:name="OLE_LINK8"/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 xml:space="preserve"> spectra</w:t>
      </w:r>
      <w:bookmarkEnd w:id="13"/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 xml:space="preserve"> of compound 1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  <w:lang w:val="en-GB"/>
        </w:rPr>
        <w:t>D</w:t>
      </w:r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>228</w:t>
      </w:r>
    </w:p>
    <w:bookmarkEnd w:id="12"/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  <w:bookmarkStart w:id="14" w:name="_Hlk130387482"/>
      <w:r>
        <w:drawing>
          <wp:inline distT="0" distB="0" distL="0" distR="0">
            <wp:extent cx="5274310" cy="24453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Fig S1 </w:t>
      </w:r>
      <w:bookmarkStart w:id="15" w:name="_Hlk130384961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(A) </w:t>
      </w:r>
      <w:bookmarkEnd w:id="15"/>
      <w:bookmarkStart w:id="16" w:name="_Hlk130387459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The changes of differential genes after inhibitor treatment were analyzed by volcano map</w:t>
      </w:r>
      <w:bookmarkEnd w:id="16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; (B) Downregulation of differential gene KEGG enrichment bubble map</w:t>
      </w:r>
      <w:bookmarkEnd w:id="14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drawing>
          <wp:inline distT="0" distB="0" distL="0" distR="0">
            <wp:extent cx="5274310" cy="371602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Fig S2 1D228 inhibited the migration of 97H cells.</w:t>
      </w:r>
    </w:p>
    <w:p>
      <w:pPr>
        <w:spacing w:line="480" w:lineRule="auto"/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  <w:lang w:eastAsia="zh-CN"/>
        </w:rPr>
        <w:drawing>
          <wp:inline distT="0" distB="0" distL="114300" distR="114300">
            <wp:extent cx="5267960" cy="1861185"/>
            <wp:effectExtent l="0" t="0" r="2540" b="5715"/>
            <wp:docPr id="1" name="图片 1" descr="S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3-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6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Fig S3 (A)</w:t>
      </w:r>
      <w:bookmarkStart w:id="17" w:name="_Hlk130387507"/>
      <w:r>
        <w:t xml:space="preserve"> 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Expression of AXL and P-AXL proteins in endothelial and tumor cells. (B) CCK8 assay for anti-proliferative activity of 1</w:t>
      </w:r>
      <w:bookmarkStart w:id="24" w:name="_GoBack"/>
      <w:bookmarkEnd w:id="24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D228, Tepotinib, Larotrectinib and combinations against MKN45.</w:t>
      </w:r>
    </w:p>
    <w:p>
      <w:pPr>
        <w:spacing w:line="48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drawing>
          <wp:inline distT="0" distB="0" distL="0" distR="0">
            <wp:extent cx="5274310" cy="206565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Fig S4 </w:t>
      </w:r>
      <w:bookmarkStart w:id="18" w:name="_Hlk130564836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Antiproliferative activity of the compound 1D228 against C166 cells and HUVEC cells.</w:t>
      </w:r>
    </w:p>
    <w:bookmarkEnd w:id="18"/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bookmarkEnd w:id="17"/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b/>
          <w:color w:val="00000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  <w:vertAlign w:val="superscript"/>
        </w:rPr>
      </w:pP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</w:rPr>
        <w:t xml:space="preserve">2. </w:t>
      </w:r>
      <w:r>
        <w:rPr>
          <w:rFonts w:ascii="Times New Roman" w:hAnsi="Times New Roman" w:eastAsia="宋体" w:cs="Times New Roman"/>
          <w:b/>
          <w:color w:val="000000"/>
          <w:sz w:val="24"/>
          <w:szCs w:val="24"/>
          <w:lang w:val="en-GB"/>
        </w:rPr>
        <w:t>NMR spectra of target compounds</w:t>
      </w:r>
      <w:r>
        <w:rPr>
          <w:rFonts w:hint="eastAsia" w:ascii="Times New Roman" w:hAnsi="Times New Roman" w:eastAsia="宋体" w:cs="Times New Roman"/>
          <w:b/>
          <w:color w:val="000000"/>
          <w:sz w:val="24"/>
          <w:szCs w:val="24"/>
        </w:rPr>
        <w:t>.</w:t>
      </w:r>
    </w:p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5274310" cy="3739515"/>
            <wp:effectExtent l="0" t="0" r="0" b="0"/>
            <wp:docPr id="6" name="图片 2" descr="C:\Users\lENOVO\AppData\Local\Temp\15913400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C:\Users\lENOVO\AppData\Local\Temp\1591340035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bookmarkStart w:id="19" w:name="_Hlk130210971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Fig S</w:t>
      </w:r>
      <w:bookmarkStart w:id="20" w:name="_Hlk130210953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 xml:space="preserve">5 </w:t>
      </w: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eastAsia="宋体" w:cs="Times New Roman"/>
          <w:bCs/>
          <w:sz w:val="24"/>
          <w:szCs w:val="24"/>
        </w:rPr>
        <w:t>H NMR</w:t>
      </w:r>
      <w:bookmarkStart w:id="21" w:name="_Hlk123315616"/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 xml:space="preserve"> o</w:t>
      </w:r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</w:rPr>
        <w:t xml:space="preserve">f </w:t>
      </w:r>
      <w:r>
        <w:rPr>
          <w:rFonts w:ascii="Times New Roman" w:hAnsi="Times New Roman" w:eastAsia="宋体" w:cs="Times New Roman"/>
          <w:bCs/>
          <w:color w:val="000000" w:themeColor="text1"/>
          <w:sz w:val="24"/>
          <w:szCs w:val="24"/>
        </w:rPr>
        <w:t>1D228</w:t>
      </w:r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</w:rPr>
        <w:t>.</w:t>
      </w:r>
    </w:p>
    <w:bookmarkEnd w:id="19"/>
    <w:bookmarkEnd w:id="20"/>
    <w:bookmarkEnd w:id="21"/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</w:p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</w:p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5274310" cy="3746500"/>
            <wp:effectExtent l="0" t="0" r="0" b="0"/>
            <wp:docPr id="2" name="图片 1" descr="1D-228碳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D-228碳谱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Cs/>
          <w:color w:val="000000"/>
          <w:sz w:val="24"/>
          <w:szCs w:val="24"/>
        </w:rPr>
      </w:pPr>
      <w:bookmarkStart w:id="22" w:name="_Hlk130211061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Fig S6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 w:cs="Times New Roman"/>
          <w:bCs/>
          <w:sz w:val="24"/>
          <w:szCs w:val="24"/>
          <w:vertAlign w:val="superscript"/>
        </w:rPr>
        <w:t>3</w:t>
      </w:r>
      <w:r>
        <w:rPr>
          <w:rFonts w:hint="eastAsia" w:ascii="Times New Roman" w:hAnsi="Times New Roman" w:eastAsia="宋体" w:cs="Times New Roman"/>
          <w:bCs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sz w:val="24"/>
          <w:szCs w:val="24"/>
        </w:rPr>
        <w:t xml:space="preserve"> NMR</w:t>
      </w:r>
      <w:r>
        <w:rPr>
          <w:rFonts w:hint="eastAsia" w:ascii="Times New Roman" w:hAnsi="Times New Roman" w:eastAsia="宋体" w:cs="Times New Roman"/>
          <w:bCs/>
          <w:color w:val="000000"/>
          <w:sz w:val="24"/>
          <w:szCs w:val="24"/>
        </w:rPr>
        <w:t xml:space="preserve"> o</w:t>
      </w:r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</w:rPr>
        <w:t xml:space="preserve">f </w:t>
      </w:r>
      <w:r>
        <w:rPr>
          <w:rFonts w:ascii="Times New Roman" w:hAnsi="Times New Roman" w:eastAsia="宋体" w:cs="Times New Roman"/>
          <w:bCs/>
          <w:color w:val="000000" w:themeColor="text1"/>
          <w:sz w:val="24"/>
          <w:szCs w:val="24"/>
        </w:rPr>
        <w:t>1D228</w:t>
      </w:r>
      <w:r>
        <w:rPr>
          <w:rFonts w:hint="eastAsia" w:ascii="Times New Roman" w:hAnsi="Times New Roman" w:eastAsia="宋体" w:cs="Times New Roman"/>
          <w:bCs/>
          <w:color w:val="000000" w:themeColor="text1"/>
          <w:sz w:val="24"/>
          <w:szCs w:val="24"/>
        </w:rPr>
        <w:t>.</w:t>
      </w:r>
    </w:p>
    <w:bookmarkEnd w:id="22"/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5274310" cy="3163570"/>
            <wp:effectExtent l="0" t="0" r="0" b="0"/>
            <wp:docPr id="3" name="图片 2" descr="1D-228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1D-228-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0" distR="0">
            <wp:extent cx="5274310" cy="4072890"/>
            <wp:effectExtent l="0" t="0" r="0" b="0"/>
            <wp:docPr id="4" name="图片 3" descr="1D-228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1D-228-2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7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bCs/>
          <w:color w:val="000000"/>
          <w:sz w:val="24"/>
          <w:szCs w:val="24"/>
        </w:rPr>
      </w:pPr>
      <w:bookmarkStart w:id="23" w:name="_Hlk130211102"/>
      <w:r>
        <w:rPr>
          <w:rFonts w:ascii="Times New Roman" w:hAnsi="Times New Roman" w:eastAsia="宋体" w:cs="Times New Roman"/>
          <w:bCs/>
          <w:color w:val="000000"/>
          <w:sz w:val="24"/>
          <w:szCs w:val="24"/>
        </w:rPr>
        <w:t>Fig S7</w:t>
      </w:r>
      <w:r>
        <w:rPr>
          <w:rFonts w:ascii="Times New Roman" w:hAnsi="Times New Roman" w:eastAsia="宋体" w:cs="Times New Roman"/>
          <w:bCs/>
          <w:color w:val="000000"/>
          <w:sz w:val="24"/>
          <w:szCs w:val="24"/>
          <w:lang w:val="en-GB"/>
        </w:rPr>
        <w:t xml:space="preserve">  </w:t>
      </w:r>
      <w:r>
        <w:rPr>
          <w:rFonts w:ascii="Times New Roman" w:hAnsi="Times New Roman" w:eastAsia="Gungsuh" w:cs="Times New Roman"/>
          <w:color w:val="000000"/>
          <w:sz w:val="24"/>
          <w:szCs w:val="24"/>
        </w:rPr>
        <w:t>HRMS (ESI)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</w:rPr>
        <w:t xml:space="preserve"> Spectrum o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</w:rPr>
        <w:t xml:space="preserve">f </w:t>
      </w:r>
      <w:r>
        <w:rPr>
          <w:rFonts w:ascii="Times New Roman" w:hAnsi="Times New Roman" w:eastAsia="宋体" w:cs="Times New Roman"/>
          <w:color w:val="000000" w:themeColor="text1"/>
          <w:sz w:val="24"/>
          <w:szCs w:val="24"/>
        </w:rPr>
        <w:t>1D228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:szCs w:val="24"/>
        </w:rPr>
        <w:t>.</w:t>
      </w:r>
    </w:p>
    <w:bookmarkEnd w:id="23"/>
    <w:p>
      <w:pPr>
        <w:rPr>
          <w:rFonts w:ascii="Times New Roman" w:hAnsi="Times New Roman" w:eastAsia="宋体" w:cs="Times New Roman"/>
          <w:color w:val="0D0D0D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harisSIL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ThhNjk1ZjlmNTc4Yjc2YzFiNjdiZTEzOGMwYmEyNDUifQ=="/>
  </w:docVars>
  <w:rsids>
    <w:rsidRoot w:val="00D3566F"/>
    <w:rsid w:val="00014FC1"/>
    <w:rsid w:val="00053FC4"/>
    <w:rsid w:val="000554EA"/>
    <w:rsid w:val="000A0C0F"/>
    <w:rsid w:val="00130040"/>
    <w:rsid w:val="001A33CC"/>
    <w:rsid w:val="001A4640"/>
    <w:rsid w:val="001E6C5D"/>
    <w:rsid w:val="00211C5B"/>
    <w:rsid w:val="002319D3"/>
    <w:rsid w:val="00247F58"/>
    <w:rsid w:val="002B7F69"/>
    <w:rsid w:val="002C7CCC"/>
    <w:rsid w:val="00310B44"/>
    <w:rsid w:val="0033462E"/>
    <w:rsid w:val="003E2002"/>
    <w:rsid w:val="00416127"/>
    <w:rsid w:val="006008D7"/>
    <w:rsid w:val="0060250C"/>
    <w:rsid w:val="006567CC"/>
    <w:rsid w:val="007F480B"/>
    <w:rsid w:val="00826EA3"/>
    <w:rsid w:val="008E1A0E"/>
    <w:rsid w:val="00981261"/>
    <w:rsid w:val="009A2F9C"/>
    <w:rsid w:val="00A25E3C"/>
    <w:rsid w:val="00A32D32"/>
    <w:rsid w:val="00A77376"/>
    <w:rsid w:val="00A84E05"/>
    <w:rsid w:val="00AB348D"/>
    <w:rsid w:val="00AB5A14"/>
    <w:rsid w:val="00AC218F"/>
    <w:rsid w:val="00AE7A22"/>
    <w:rsid w:val="00B726CB"/>
    <w:rsid w:val="00B8453A"/>
    <w:rsid w:val="00B91E0D"/>
    <w:rsid w:val="00BC652D"/>
    <w:rsid w:val="00BD292B"/>
    <w:rsid w:val="00BD627D"/>
    <w:rsid w:val="00BE41C1"/>
    <w:rsid w:val="00C17A81"/>
    <w:rsid w:val="00C26086"/>
    <w:rsid w:val="00C4732D"/>
    <w:rsid w:val="00CB0E91"/>
    <w:rsid w:val="00CD06A9"/>
    <w:rsid w:val="00CF44E2"/>
    <w:rsid w:val="00D06EB6"/>
    <w:rsid w:val="00D3566F"/>
    <w:rsid w:val="00D3580C"/>
    <w:rsid w:val="00D67783"/>
    <w:rsid w:val="00D70E88"/>
    <w:rsid w:val="00DA18BE"/>
    <w:rsid w:val="00DD49D6"/>
    <w:rsid w:val="00E36A98"/>
    <w:rsid w:val="00E53567"/>
    <w:rsid w:val="00E576ED"/>
    <w:rsid w:val="00F07F15"/>
    <w:rsid w:val="00F416FE"/>
    <w:rsid w:val="00F81F21"/>
    <w:rsid w:val="00FD1E00"/>
    <w:rsid w:val="206D1CB4"/>
    <w:rsid w:val="7322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223</Words>
  <Characters>1251</Characters>
  <Lines>10</Lines>
  <Paragraphs>3</Paragraphs>
  <TotalTime>1952</TotalTime>
  <ScaleCrop>false</ScaleCrop>
  <LinksUpToDate>false</LinksUpToDate>
  <CharactersWithSpaces>1461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2022-12-18T05:14:00Z</dcterms:created>
  <dc:creator>安 佰娇</dc:creator>
  <cp:lastModifiedBy>静林听晨</cp:lastModifiedBy>
  <dcterms:modified xsi:type="dcterms:W3CDTF">2023-04-12T02:32:21Z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8383c9f3d4b6df2d7dddb751d2c9e93cd2a65e4ec0647d7c19f6e49b63234541</vt:lpwstr>
  </property>
  <property fmtid="{D5CDD505-2E9C-101B-9397-08002B2CF9AE}" pid="3" name="KSOProductBuildVer">
    <vt:lpwstr>2052-11.1.0.14036</vt:lpwstr>
  </property>
  <property fmtid="{D5CDD505-2E9C-101B-9397-08002B2CF9AE}" pid="4" name="ICV">
    <vt:lpwstr>7FD215E5DD614C289C236254B42DC902_12</vt:lpwstr>
  </property>
</Properties>
</file>