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34F58" w14:textId="6C98F711" w:rsidR="0030197C" w:rsidRPr="0030197C" w:rsidRDefault="0030197C" w:rsidP="0030197C">
      <w:pPr>
        <w:keepNext/>
        <w:keepLines/>
        <w:spacing w:before="480"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Su</w:t>
      </w:r>
      <w:r w:rsidR="004306B3">
        <w:rPr>
          <w:rFonts w:ascii="Times New Roman" w:eastAsia="Times New Roman" w:hAnsi="Times New Roman" w:cs="Times New Roman"/>
          <w:b/>
          <w:sz w:val="28"/>
          <w:szCs w:val="28"/>
        </w:rPr>
        <w:t>pplementary</w:t>
      </w:r>
      <w:r w:rsidR="005C355E">
        <w:rPr>
          <w:rFonts w:ascii="Times New Roman" w:eastAsia="Times New Roman" w:hAnsi="Times New Roman" w:cs="Times New Roman"/>
          <w:b/>
          <w:sz w:val="28"/>
          <w:szCs w:val="28"/>
        </w:rPr>
        <w:t xml:space="preserve"> Figures for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30197C">
        <w:rPr>
          <w:rFonts w:ascii="Times New Roman" w:eastAsia="Times New Roman" w:hAnsi="Times New Roman" w:cs="Times New Roman"/>
          <w:b/>
          <w:sz w:val="28"/>
          <w:szCs w:val="28"/>
        </w:rPr>
        <w:t>A combined compost and endophyte addition improves phytostabilization by a native perennial grass in metal contaminated mine tailings</w:t>
      </w:r>
    </w:p>
    <w:p w14:paraId="3CB79A6B" w14:textId="77777777" w:rsidR="0030197C" w:rsidRPr="0030197C" w:rsidRDefault="0030197C" w:rsidP="0030197C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</w:p>
    <w:p w14:paraId="6AABBE3B" w14:textId="77777777" w:rsidR="0030197C" w:rsidRPr="0030197C" w:rsidRDefault="00CC1B1B" w:rsidP="0030197C">
      <w:pPr>
        <w:keepNext/>
        <w:keepLines/>
        <w:spacing w:after="120" w:line="240" w:lineRule="auto"/>
        <w:rPr>
          <w:rFonts w:ascii="Times New Roman" w:eastAsia="Times New Roman" w:hAnsi="Times New Roman" w:cs="Times New Roman"/>
        </w:rPr>
      </w:pPr>
      <w:sdt>
        <w:sdtPr>
          <w:rPr>
            <w:rFonts w:ascii="Times New Roman" w:eastAsia="Times New Roman" w:hAnsi="Times New Roman" w:cs="Times New Roman"/>
          </w:rPr>
          <w:tag w:val="goog_rdk_0"/>
          <w:id w:val="-509757291"/>
        </w:sdtPr>
        <w:sdtEndPr/>
        <w:sdtContent/>
      </w:sdt>
      <w:sdt>
        <w:sdtPr>
          <w:rPr>
            <w:rFonts w:ascii="Times New Roman" w:eastAsia="Times New Roman" w:hAnsi="Times New Roman" w:cs="Times New Roman"/>
          </w:rPr>
          <w:tag w:val="goog_rdk_1"/>
          <w:id w:val="-1657146745"/>
        </w:sdtPr>
        <w:sdtEndPr/>
        <w:sdtContent/>
      </w:sdt>
      <w:r w:rsidR="0030197C" w:rsidRPr="0030197C">
        <w:rPr>
          <w:rFonts w:ascii="Times New Roman" w:eastAsia="Times New Roman" w:hAnsi="Times New Roman" w:cs="Times New Roman"/>
        </w:rPr>
        <w:t>Courtney A Creamer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1</w:t>
      </w:r>
      <w:r w:rsidR="0030197C" w:rsidRPr="0030197C">
        <w:rPr>
          <w:rFonts w:ascii="Times New Roman" w:eastAsia="Times New Roman" w:hAnsi="Times New Roman" w:cs="Times New Roman"/>
        </w:rPr>
        <w:t>*, Mary-</w:t>
      </w:r>
      <w:proofErr w:type="spellStart"/>
      <w:r w:rsidR="0030197C" w:rsidRPr="0030197C">
        <w:rPr>
          <w:rFonts w:ascii="Times New Roman" w:eastAsia="Times New Roman" w:hAnsi="Times New Roman" w:cs="Times New Roman"/>
        </w:rPr>
        <w:t>Cathrine</w:t>
      </w:r>
      <w:proofErr w:type="spellEnd"/>
      <w:r w:rsidR="0030197C" w:rsidRPr="0030197C">
        <w:rPr>
          <w:rFonts w:ascii="Times New Roman" w:eastAsia="Times New Roman" w:hAnsi="Times New Roman" w:cs="Times New Roman"/>
        </w:rPr>
        <w:t xml:space="preserve"> Leewis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2</w:t>
      </w:r>
      <w:r w:rsidR="0030197C" w:rsidRPr="0030197C">
        <w:rPr>
          <w:rFonts w:ascii="Times New Roman" w:eastAsia="Times New Roman" w:hAnsi="Times New Roman" w:cs="Times New Roman"/>
        </w:rPr>
        <w:t>, Martina Kracmarova-Farren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3</w:t>
      </w:r>
      <w:r w:rsidR="0030197C" w:rsidRPr="0030197C">
        <w:rPr>
          <w:rFonts w:ascii="Times New Roman" w:eastAsia="Times New Roman" w:hAnsi="Times New Roman" w:cs="Times New Roman"/>
        </w:rPr>
        <w:t>, Jakub Papík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3</w:t>
      </w:r>
      <w:r w:rsidR="0030197C" w:rsidRPr="0030197C">
        <w:rPr>
          <w:rFonts w:ascii="Times New Roman" w:eastAsia="Times New Roman" w:hAnsi="Times New Roman" w:cs="Times New Roman"/>
        </w:rPr>
        <w:t>, Sean Kacur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4</w:t>
      </w:r>
      <w:r w:rsidR="0030197C" w:rsidRPr="0030197C">
        <w:rPr>
          <w:rFonts w:ascii="Times New Roman" w:eastAsia="Times New Roman" w:hAnsi="Times New Roman" w:cs="Times New Roman"/>
        </w:rPr>
        <w:t>, John Freeman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5</w:t>
      </w:r>
      <w:r w:rsidR="0030197C" w:rsidRPr="0030197C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30197C" w:rsidRPr="0030197C">
        <w:rPr>
          <w:rFonts w:ascii="Times New Roman" w:eastAsia="Times New Roman" w:hAnsi="Times New Roman" w:cs="Times New Roman"/>
        </w:rPr>
        <w:t>Ondřej</w:t>
      </w:r>
      <w:proofErr w:type="spellEnd"/>
      <w:r w:rsidR="0030197C" w:rsidRPr="0030197C">
        <w:rPr>
          <w:rFonts w:ascii="Times New Roman" w:eastAsia="Times New Roman" w:hAnsi="Times New Roman" w:cs="Times New Roman"/>
        </w:rPr>
        <w:t xml:space="preserve"> Uhlík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3</w:t>
      </w:r>
      <w:r w:rsidR="0030197C" w:rsidRPr="0030197C">
        <w:rPr>
          <w:rFonts w:ascii="Times New Roman" w:eastAsia="Times New Roman" w:hAnsi="Times New Roman" w:cs="Times New Roman"/>
        </w:rPr>
        <w:t>, Andrea L Foster</w:t>
      </w:r>
      <w:r w:rsidR="0030197C" w:rsidRPr="0030197C">
        <w:rPr>
          <w:rFonts w:ascii="Times New Roman" w:eastAsia="Times New Roman" w:hAnsi="Times New Roman" w:cs="Times New Roman"/>
          <w:vertAlign w:val="superscript"/>
        </w:rPr>
        <w:t>1</w:t>
      </w:r>
    </w:p>
    <w:p w14:paraId="59ADC296" w14:textId="759595FD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0197C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30197C">
        <w:rPr>
          <w:rFonts w:ascii="Times New Roman" w:eastAsia="Times New Roman" w:hAnsi="Times New Roman" w:cs="Times New Roman"/>
          <w:color w:val="000000"/>
        </w:rPr>
        <w:t xml:space="preserve">US Geological Survey, Menlo Park, CA, United States </w:t>
      </w:r>
    </w:p>
    <w:p w14:paraId="7A0ED692" w14:textId="06A810D0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0197C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30197C">
        <w:rPr>
          <w:rFonts w:ascii="Times New Roman" w:eastAsia="Times New Roman" w:hAnsi="Times New Roman" w:cs="Times New Roman"/>
          <w:color w:val="000000"/>
        </w:rPr>
        <w:t xml:space="preserve">Agriculture and Agri-Food Canada, Québec, QC, Canada </w:t>
      </w:r>
    </w:p>
    <w:p w14:paraId="264A9654" w14:textId="77777777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0197C"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 w:rsidRPr="0030197C">
        <w:rPr>
          <w:rFonts w:ascii="Times New Roman" w:eastAsia="Times New Roman" w:hAnsi="Times New Roman" w:cs="Times New Roman"/>
          <w:color w:val="000000"/>
        </w:rPr>
        <w:t>University of Chemistry and Technology, Prague, Faculty of Food and Biochemical Technology, Department of Biochemistry and Microbiology, Prague 6, Czech Republic</w:t>
      </w:r>
    </w:p>
    <w:p w14:paraId="1675CE97" w14:textId="77777777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0197C"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 w:rsidRPr="0030197C">
        <w:rPr>
          <w:rFonts w:ascii="Times New Roman" w:eastAsia="Times New Roman" w:hAnsi="Times New Roman" w:cs="Times New Roman"/>
          <w:color w:val="000000"/>
        </w:rPr>
        <w:t>Subsurface Insights, Hanover, NH, United States</w:t>
      </w:r>
    </w:p>
    <w:p w14:paraId="40832191" w14:textId="77777777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0197C"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 w:rsidRPr="0030197C">
        <w:rPr>
          <w:rFonts w:ascii="Times New Roman" w:eastAsia="Times New Roman" w:hAnsi="Times New Roman" w:cs="Times New Roman"/>
          <w:color w:val="000000"/>
        </w:rPr>
        <w:t xml:space="preserve">Intrinsyx Environmental, Sunnyvale, CA, United States </w:t>
      </w:r>
    </w:p>
    <w:p w14:paraId="01AB7FB0" w14:textId="77777777" w:rsidR="0030197C" w:rsidRPr="0030197C" w:rsidRDefault="0030197C" w:rsidP="003019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B4E2568" w14:textId="6D606FA8" w:rsidR="0030197C" w:rsidRDefault="0030197C" w:rsidP="0030197C">
      <w:pPr>
        <w:keepNext/>
        <w:keepLines/>
        <w:spacing w:after="120" w:line="240" w:lineRule="auto"/>
        <w:rPr>
          <w:rFonts w:ascii="Times New Roman" w:eastAsia="Times New Roman" w:hAnsi="Times New Roman" w:cs="Times New Roman"/>
        </w:rPr>
      </w:pPr>
      <w:r w:rsidRPr="0030197C">
        <w:rPr>
          <w:rFonts w:ascii="Times New Roman" w:eastAsia="Times New Roman" w:hAnsi="Times New Roman" w:cs="Times New Roman"/>
        </w:rPr>
        <w:t xml:space="preserve">*Corresponding author; </w:t>
      </w:r>
      <w:hyperlink r:id="rId4" w:history="1">
        <w:r w:rsidRPr="0030197C">
          <w:rPr>
            <w:rFonts w:ascii="Times New Roman" w:eastAsia="Times New Roman" w:hAnsi="Times New Roman" w:cs="Times New Roman"/>
            <w:color w:val="0563C1"/>
            <w:u w:val="single"/>
          </w:rPr>
          <w:t>ccreamer@usgs.gov</w:t>
        </w:r>
      </w:hyperlink>
    </w:p>
    <w:p w14:paraId="27A87871" w14:textId="0D025B48" w:rsidR="006E65B7" w:rsidRDefault="006E65B7" w:rsidP="0030197C">
      <w:pPr>
        <w:keepNext/>
        <w:keepLines/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Journal: Plant and Soil</w:t>
      </w:r>
    </w:p>
    <w:p w14:paraId="2E5428D7" w14:textId="6DAF9346" w:rsidR="00D340A1" w:rsidRDefault="00D340A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3B1D61A" w14:textId="67C45B55" w:rsidR="00D340A1" w:rsidRDefault="00D340A1" w:rsidP="0030197C">
      <w:pPr>
        <w:keepNext/>
        <w:keepLines/>
        <w:spacing w:after="120" w:line="240" w:lineRule="auto"/>
        <w:rPr>
          <w:rFonts w:ascii="Times New Roman" w:eastAsia="Times New Roman" w:hAnsi="Times New Roman" w:cs="Times New Roman"/>
        </w:rPr>
      </w:pPr>
    </w:p>
    <w:p w14:paraId="72F0CC4E" w14:textId="4181CEFD" w:rsidR="002F4D26" w:rsidRDefault="00C918F3" w:rsidP="0030197C">
      <w:pPr>
        <w:keepNext/>
        <w:keepLines/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5640869" wp14:editId="36BCBF54">
            <wp:extent cx="5922818" cy="3286501"/>
            <wp:effectExtent l="0" t="0" r="190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751" cy="3302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D9A187" w14:textId="05E3D122" w:rsidR="00077A18" w:rsidRDefault="0078527E" w:rsidP="0078527E">
      <w:pPr>
        <w:spacing w:line="240" w:lineRule="auto"/>
        <w:rPr>
          <w:rFonts w:ascii="Arial" w:eastAsia="Arial" w:hAnsi="Arial" w:cs="Arial"/>
          <w:bCs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Supplementary Fig. 1 </w:t>
      </w:r>
      <w:r w:rsidR="00A64151">
        <w:rPr>
          <w:rFonts w:ascii="Arial" w:eastAsia="Arial" w:hAnsi="Arial" w:cs="Arial"/>
          <w:bCs/>
          <w:sz w:val="18"/>
          <w:szCs w:val="18"/>
        </w:rPr>
        <w:t>(</w:t>
      </w:r>
      <w:r w:rsidR="00980253">
        <w:rPr>
          <w:rFonts w:ascii="Arial" w:eastAsia="Arial" w:hAnsi="Arial" w:cs="Arial"/>
          <w:bCs/>
          <w:sz w:val="18"/>
          <w:szCs w:val="18"/>
        </w:rPr>
        <w:t>L</w:t>
      </w:r>
      <w:r w:rsidR="00A64151">
        <w:rPr>
          <w:rFonts w:ascii="Arial" w:eastAsia="Arial" w:hAnsi="Arial" w:cs="Arial"/>
          <w:bCs/>
          <w:sz w:val="18"/>
          <w:szCs w:val="18"/>
        </w:rPr>
        <w:t>eft)</w:t>
      </w:r>
      <w:r w:rsidR="006D06E0">
        <w:rPr>
          <w:rFonts w:ascii="Arial" w:eastAsia="Arial" w:hAnsi="Arial" w:cs="Arial"/>
          <w:bCs/>
          <w:sz w:val="18"/>
          <w:szCs w:val="18"/>
        </w:rPr>
        <w:t xml:space="preserve"> Opened nylon mesh showing the compost and tailings layers</w:t>
      </w:r>
      <w:r w:rsidR="009E2E1B">
        <w:rPr>
          <w:rFonts w:ascii="Arial" w:eastAsia="Arial" w:hAnsi="Arial" w:cs="Arial"/>
          <w:bCs/>
          <w:sz w:val="18"/>
          <w:szCs w:val="18"/>
        </w:rPr>
        <w:t xml:space="preserve">. </w:t>
      </w:r>
      <w:r w:rsidR="00980253">
        <w:rPr>
          <w:rFonts w:ascii="Arial" w:eastAsia="Arial" w:hAnsi="Arial" w:cs="Arial"/>
          <w:bCs/>
          <w:sz w:val="18"/>
          <w:szCs w:val="18"/>
        </w:rPr>
        <w:t>At the end of the experiment</w:t>
      </w:r>
      <w:r w:rsidR="009E2E1B">
        <w:rPr>
          <w:rFonts w:ascii="Arial" w:eastAsia="Arial" w:hAnsi="Arial" w:cs="Arial"/>
          <w:bCs/>
          <w:sz w:val="18"/>
          <w:szCs w:val="18"/>
        </w:rPr>
        <w:t xml:space="preserve"> the compost layer </w:t>
      </w:r>
      <w:r w:rsidR="003A23E2">
        <w:rPr>
          <w:rFonts w:ascii="Arial" w:eastAsia="Arial" w:hAnsi="Arial" w:cs="Arial"/>
          <w:bCs/>
          <w:sz w:val="18"/>
          <w:szCs w:val="18"/>
        </w:rPr>
        <w:t>and seedlings were gently removed. The two layers were homogenized and analyzed separately. (</w:t>
      </w:r>
      <w:r w:rsidR="00980253">
        <w:rPr>
          <w:rFonts w:ascii="Arial" w:eastAsia="Arial" w:hAnsi="Arial" w:cs="Arial"/>
          <w:bCs/>
          <w:sz w:val="18"/>
          <w:szCs w:val="18"/>
        </w:rPr>
        <w:t>R</w:t>
      </w:r>
      <w:r w:rsidR="003A23E2">
        <w:rPr>
          <w:rFonts w:ascii="Arial" w:eastAsia="Arial" w:hAnsi="Arial" w:cs="Arial"/>
          <w:bCs/>
          <w:sz w:val="18"/>
          <w:szCs w:val="18"/>
        </w:rPr>
        <w:t xml:space="preserve">ight) </w:t>
      </w:r>
      <w:r w:rsidR="000E619C">
        <w:rPr>
          <w:rFonts w:ascii="Arial" w:eastAsia="Arial" w:hAnsi="Arial" w:cs="Arial"/>
          <w:bCs/>
          <w:sz w:val="18"/>
          <w:szCs w:val="18"/>
        </w:rPr>
        <w:t xml:space="preserve">Looking down into the indoor growing complex. Each chamber was separated by a piece of plywood coated with mylar. Each chamber contained a </w:t>
      </w:r>
      <w:r w:rsidR="00077A18">
        <w:rPr>
          <w:rFonts w:ascii="Arial" w:eastAsia="Arial" w:hAnsi="Arial" w:cs="Arial"/>
          <w:bCs/>
          <w:sz w:val="18"/>
          <w:szCs w:val="18"/>
        </w:rPr>
        <w:t xml:space="preserve">small fan, and LED grow light, </w:t>
      </w:r>
      <w:r w:rsidR="008C06FE">
        <w:rPr>
          <w:rFonts w:ascii="Arial" w:eastAsia="Arial" w:hAnsi="Arial" w:cs="Arial"/>
          <w:bCs/>
          <w:sz w:val="18"/>
          <w:szCs w:val="18"/>
        </w:rPr>
        <w:t xml:space="preserve">and a </w:t>
      </w:r>
      <w:r w:rsidR="008C06FE" w:rsidRPr="00077A18">
        <w:rPr>
          <w:rFonts w:ascii="Arial" w:eastAsia="Arial" w:hAnsi="Arial" w:cs="Arial"/>
          <w:bCs/>
          <w:sz w:val="18"/>
          <w:szCs w:val="18"/>
        </w:rPr>
        <w:t>HOBO U23 Pro v2 Temperature/Relative Humidity Data Logger</w:t>
      </w:r>
      <w:r w:rsidR="009B3690">
        <w:rPr>
          <w:rFonts w:ascii="Arial" w:eastAsia="Arial" w:hAnsi="Arial" w:cs="Arial"/>
          <w:bCs/>
          <w:sz w:val="18"/>
          <w:szCs w:val="18"/>
        </w:rPr>
        <w:t xml:space="preserve"> </w:t>
      </w:r>
      <w:r w:rsidR="009B3690">
        <w:rPr>
          <w:rFonts w:ascii="Arial" w:eastAsia="Arial" w:hAnsi="Arial" w:cs="Arial"/>
          <w:bCs/>
          <w:sz w:val="18"/>
          <w:szCs w:val="18"/>
        </w:rPr>
        <w:t>(</w:t>
      </w:r>
      <w:r w:rsidR="009B3690" w:rsidRPr="00826F8B">
        <w:rPr>
          <w:rFonts w:ascii="Arial" w:eastAsia="Arial" w:hAnsi="Arial" w:cs="Arial"/>
          <w:bCs/>
          <w:i/>
          <w:iCs/>
          <w:sz w:val="18"/>
          <w:szCs w:val="18"/>
        </w:rPr>
        <w:t>Any use of trade, firm, or product names is for descriptive purposes only and does not imply endorsement by the U.S. Government</w:t>
      </w:r>
      <w:r w:rsidR="009B3690">
        <w:rPr>
          <w:rFonts w:ascii="Arial" w:eastAsia="Arial" w:hAnsi="Arial" w:cs="Arial"/>
          <w:bCs/>
          <w:sz w:val="18"/>
          <w:szCs w:val="18"/>
        </w:rPr>
        <w:t>)</w:t>
      </w:r>
      <w:r w:rsidR="008C06FE">
        <w:rPr>
          <w:rFonts w:ascii="Arial" w:eastAsia="Arial" w:hAnsi="Arial" w:cs="Arial"/>
          <w:bCs/>
          <w:sz w:val="18"/>
          <w:szCs w:val="18"/>
        </w:rPr>
        <w:t>. The gravity fed irrigation system automatically delivered water to each pot through</w:t>
      </w:r>
      <w:r w:rsidR="008C06FE" w:rsidRPr="00077A18">
        <w:rPr>
          <w:rFonts w:ascii="Arial" w:eastAsia="Arial" w:hAnsi="Arial" w:cs="Arial"/>
          <w:bCs/>
          <w:sz w:val="18"/>
          <w:szCs w:val="18"/>
        </w:rPr>
        <w:t xml:space="preserve"> low-flow button drippers </w:t>
      </w:r>
      <w:r w:rsidR="008C06FE">
        <w:rPr>
          <w:rFonts w:ascii="Arial" w:eastAsia="Arial" w:hAnsi="Arial" w:cs="Arial"/>
          <w:bCs/>
          <w:sz w:val="18"/>
          <w:szCs w:val="18"/>
        </w:rPr>
        <w:t xml:space="preserve">connected to the DI water with </w:t>
      </w:r>
      <w:r w:rsidR="008C06FE" w:rsidRPr="00077A18">
        <w:rPr>
          <w:rFonts w:ascii="Arial" w:eastAsia="Arial" w:hAnsi="Arial" w:cs="Arial"/>
          <w:bCs/>
          <w:sz w:val="18"/>
          <w:szCs w:val="18"/>
        </w:rPr>
        <w:t>commercial polyethylene irrigation tubing</w:t>
      </w:r>
      <w:r w:rsidR="006354CB">
        <w:rPr>
          <w:rFonts w:ascii="Arial" w:eastAsia="Arial" w:hAnsi="Arial" w:cs="Arial"/>
          <w:bCs/>
          <w:sz w:val="18"/>
          <w:szCs w:val="18"/>
        </w:rPr>
        <w:t xml:space="preserve">. There were a total of 6 chambers in the </w:t>
      </w:r>
      <w:r w:rsidR="0003027A">
        <w:rPr>
          <w:rFonts w:ascii="Arial" w:eastAsia="Arial" w:hAnsi="Arial" w:cs="Arial"/>
          <w:bCs/>
          <w:sz w:val="18"/>
          <w:szCs w:val="18"/>
        </w:rPr>
        <w:t>growing</w:t>
      </w:r>
      <w:r w:rsidR="006354CB">
        <w:rPr>
          <w:rFonts w:ascii="Arial" w:eastAsia="Arial" w:hAnsi="Arial" w:cs="Arial"/>
          <w:bCs/>
          <w:sz w:val="18"/>
          <w:szCs w:val="18"/>
        </w:rPr>
        <w:t xml:space="preserve"> comple</w:t>
      </w:r>
      <w:r w:rsidR="00CC1B1B">
        <w:rPr>
          <w:rFonts w:ascii="Arial" w:eastAsia="Arial" w:hAnsi="Arial" w:cs="Arial"/>
          <w:bCs/>
          <w:sz w:val="18"/>
          <w:szCs w:val="18"/>
        </w:rPr>
        <w:t>x</w:t>
      </w:r>
    </w:p>
    <w:p w14:paraId="494BCCBD" w14:textId="77777777" w:rsidR="00077A18" w:rsidRDefault="00077A18" w:rsidP="0078527E">
      <w:pPr>
        <w:spacing w:line="240" w:lineRule="auto"/>
        <w:rPr>
          <w:rFonts w:ascii="Arial" w:eastAsia="Arial" w:hAnsi="Arial" w:cs="Arial"/>
          <w:bCs/>
          <w:sz w:val="18"/>
          <w:szCs w:val="18"/>
        </w:rPr>
      </w:pPr>
    </w:p>
    <w:p w14:paraId="60BAE29A" w14:textId="0264C567" w:rsidR="006277AF" w:rsidRDefault="00B55168" w:rsidP="006277AF">
      <w:r>
        <w:rPr>
          <w:noProof/>
        </w:rPr>
        <w:lastRenderedPageBreak/>
        <w:drawing>
          <wp:inline distT="0" distB="0" distL="0" distR="0" wp14:anchorId="2F99D52B" wp14:editId="56672C88">
            <wp:extent cx="5302329" cy="3598333"/>
            <wp:effectExtent l="0" t="0" r="0" b="254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6774" cy="360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40994" w14:textId="7DB4F073" w:rsidR="006277AF" w:rsidRPr="00676CEA" w:rsidRDefault="006277AF" w:rsidP="006277AF">
      <w:pPr>
        <w:spacing w:line="240" w:lineRule="auto"/>
        <w:rPr>
          <w:rFonts w:ascii="Arial" w:eastAsia="Arial" w:hAnsi="Arial" w:cs="Arial"/>
          <w:bCs/>
          <w:sz w:val="18"/>
          <w:szCs w:val="18"/>
        </w:rPr>
      </w:pPr>
      <w:bookmarkStart w:id="0" w:name="_heading=h.tyjcwt" w:colFirst="0" w:colLast="0"/>
      <w:bookmarkEnd w:id="0"/>
      <w:r>
        <w:rPr>
          <w:rFonts w:ascii="Arial" w:eastAsia="Arial" w:hAnsi="Arial" w:cs="Arial"/>
          <w:b/>
          <w:sz w:val="18"/>
          <w:szCs w:val="18"/>
        </w:rPr>
        <w:t>Su</w:t>
      </w:r>
      <w:r w:rsidR="004306B3">
        <w:rPr>
          <w:rFonts w:ascii="Arial" w:eastAsia="Arial" w:hAnsi="Arial" w:cs="Arial"/>
          <w:b/>
          <w:sz w:val="18"/>
          <w:szCs w:val="18"/>
        </w:rPr>
        <w:t xml:space="preserve">pplementary </w:t>
      </w:r>
      <w:r>
        <w:rPr>
          <w:rFonts w:ascii="Arial" w:eastAsia="Arial" w:hAnsi="Arial" w:cs="Arial"/>
          <w:b/>
          <w:sz w:val="18"/>
          <w:szCs w:val="18"/>
        </w:rPr>
        <w:t>Fig</w:t>
      </w:r>
      <w:r w:rsidR="00CC064D">
        <w:rPr>
          <w:rFonts w:ascii="Arial" w:eastAsia="Arial" w:hAnsi="Arial" w:cs="Arial"/>
          <w:b/>
          <w:sz w:val="18"/>
          <w:szCs w:val="18"/>
        </w:rPr>
        <w:t xml:space="preserve">. </w:t>
      </w:r>
      <w:r w:rsidR="00980253"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  <w:r w:rsidRPr="00CC064D">
        <w:rPr>
          <w:rFonts w:ascii="Arial" w:eastAsia="Arial" w:hAnsi="Arial" w:cs="Arial"/>
          <w:bCs/>
          <w:sz w:val="18"/>
          <w:szCs w:val="18"/>
        </w:rPr>
        <w:t xml:space="preserve">Improved plant growth with soil amendments. </w:t>
      </w:r>
      <w:r w:rsidR="007B09E8">
        <w:rPr>
          <w:rFonts w:ascii="Arial" w:eastAsia="Arial" w:hAnsi="Arial" w:cs="Arial"/>
          <w:bCs/>
          <w:sz w:val="18"/>
          <w:szCs w:val="18"/>
        </w:rPr>
        <w:t>The distribution of growth rates</w:t>
      </w:r>
      <w:r w:rsidR="00982EB8">
        <w:rPr>
          <w:rFonts w:ascii="Arial" w:eastAsia="Arial" w:hAnsi="Arial" w:cs="Arial"/>
          <w:bCs/>
          <w:sz w:val="18"/>
          <w:szCs w:val="18"/>
        </w:rPr>
        <w:t xml:space="preserve"> of </w:t>
      </w:r>
      <w:r w:rsidR="00982EB8">
        <w:rPr>
          <w:rFonts w:ascii="Arial" w:eastAsia="Arial" w:hAnsi="Arial" w:cs="Arial"/>
          <w:bCs/>
          <w:i/>
          <w:iCs/>
          <w:sz w:val="18"/>
          <w:szCs w:val="18"/>
        </w:rPr>
        <w:t>Bouteloua curtipendula</w:t>
      </w:r>
      <w:r w:rsidR="00982EB8">
        <w:rPr>
          <w:rFonts w:ascii="Arial" w:eastAsia="Arial" w:hAnsi="Arial" w:cs="Arial"/>
          <w:bCs/>
          <w:sz w:val="18"/>
          <w:szCs w:val="18"/>
        </w:rPr>
        <w:t xml:space="preserve"> (in mg </w:t>
      </w:r>
      <w:r w:rsidR="00F8512F">
        <w:rPr>
          <w:rFonts w:ascii="Arial" w:eastAsia="Arial" w:hAnsi="Arial" w:cs="Arial"/>
          <w:bCs/>
          <w:sz w:val="18"/>
          <w:szCs w:val="18"/>
        </w:rPr>
        <w:t xml:space="preserve">dry </w:t>
      </w:r>
      <w:r w:rsidR="00982EB8">
        <w:rPr>
          <w:rFonts w:ascii="Arial" w:eastAsia="Arial" w:hAnsi="Arial" w:cs="Arial"/>
          <w:bCs/>
          <w:sz w:val="18"/>
          <w:szCs w:val="18"/>
        </w:rPr>
        <w:t xml:space="preserve">shoot biomass per day) </w:t>
      </w:r>
      <w:r w:rsidR="00676CEA">
        <w:rPr>
          <w:rFonts w:ascii="Arial" w:eastAsia="Arial" w:hAnsi="Arial" w:cs="Arial"/>
          <w:bCs/>
          <w:sz w:val="18"/>
          <w:szCs w:val="18"/>
        </w:rPr>
        <w:t>during the 45-day experiment</w:t>
      </w:r>
      <w:r w:rsidR="00611138">
        <w:rPr>
          <w:rFonts w:ascii="Arial" w:eastAsia="Arial" w:hAnsi="Arial" w:cs="Arial"/>
          <w:bCs/>
          <w:sz w:val="18"/>
          <w:szCs w:val="18"/>
        </w:rPr>
        <w:t xml:space="preserve"> are</w:t>
      </w:r>
      <w:r w:rsidR="00676CEA">
        <w:rPr>
          <w:rFonts w:ascii="Arial" w:eastAsia="Arial" w:hAnsi="Arial" w:cs="Arial"/>
          <w:bCs/>
          <w:sz w:val="18"/>
          <w:szCs w:val="18"/>
        </w:rPr>
        <w:t xml:space="preserve"> represented as ridge</w:t>
      </w:r>
      <w:r w:rsidR="00BA192B">
        <w:rPr>
          <w:rFonts w:ascii="Arial" w:eastAsia="Arial" w:hAnsi="Arial" w:cs="Arial"/>
          <w:bCs/>
          <w:sz w:val="18"/>
          <w:szCs w:val="18"/>
        </w:rPr>
        <w:t>s for each treatment</w:t>
      </w:r>
      <w:r w:rsidR="00676CEA">
        <w:rPr>
          <w:rFonts w:ascii="Arial" w:eastAsia="Arial" w:hAnsi="Arial" w:cs="Arial"/>
          <w:bCs/>
          <w:sz w:val="18"/>
          <w:szCs w:val="18"/>
        </w:rPr>
        <w:t xml:space="preserve">. Growth rates were </w:t>
      </w:r>
      <w:r>
        <w:rPr>
          <w:rFonts w:ascii="Arial" w:eastAsia="Arial" w:hAnsi="Arial" w:cs="Arial"/>
          <w:sz w:val="18"/>
          <w:szCs w:val="18"/>
        </w:rPr>
        <w:t>calculated as the slope of linear increases in shoot biomass measured every 3 days of the growth experiment. Plant growth rates were higher when planted with compost (</w:t>
      </w:r>
      <w:r>
        <w:rPr>
          <w:rFonts w:ascii="Arial" w:eastAsia="Arial" w:hAnsi="Arial" w:cs="Arial"/>
          <w:i/>
          <w:sz w:val="18"/>
          <w:szCs w:val="18"/>
        </w:rPr>
        <w:t xml:space="preserve">P </w:t>
      </w:r>
      <w:r>
        <w:rPr>
          <w:rFonts w:ascii="Arial" w:eastAsia="Arial" w:hAnsi="Arial" w:cs="Arial"/>
          <w:sz w:val="18"/>
          <w:szCs w:val="18"/>
        </w:rPr>
        <w:t>= 0.004) or with compost and an endophyte seed coat (</w:t>
      </w:r>
      <w:r>
        <w:rPr>
          <w:rFonts w:ascii="Arial" w:eastAsia="Arial" w:hAnsi="Arial" w:cs="Arial"/>
          <w:i/>
          <w:sz w:val="18"/>
          <w:szCs w:val="18"/>
        </w:rPr>
        <w:t xml:space="preserve">P </w:t>
      </w:r>
      <w:r>
        <w:rPr>
          <w:rFonts w:ascii="Arial" w:eastAsia="Arial" w:hAnsi="Arial" w:cs="Arial"/>
          <w:sz w:val="18"/>
          <w:szCs w:val="18"/>
        </w:rPr>
        <w:t>&lt; 0.001)</w:t>
      </w:r>
    </w:p>
    <w:p w14:paraId="3FD14B27" w14:textId="5B3CE551" w:rsidR="00D340A1" w:rsidRDefault="00D340A1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br w:type="page"/>
      </w:r>
    </w:p>
    <w:p w14:paraId="4A363F93" w14:textId="1E31BA81" w:rsidR="00D340A1" w:rsidRDefault="00D340A1" w:rsidP="006277AF">
      <w:pPr>
        <w:spacing w:line="240" w:lineRule="auto"/>
        <w:rPr>
          <w:rFonts w:ascii="Arial" w:eastAsia="Arial" w:hAnsi="Arial" w:cs="Arial"/>
          <w:sz w:val="18"/>
          <w:szCs w:val="18"/>
        </w:rPr>
      </w:pPr>
    </w:p>
    <w:p w14:paraId="6949A1C4" w14:textId="4DF27722" w:rsidR="00D340A1" w:rsidRDefault="00D967AB" w:rsidP="00D340A1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 wp14:anchorId="69D139B4" wp14:editId="04BCB76C">
            <wp:extent cx="5943600" cy="4098925"/>
            <wp:effectExtent l="0" t="0" r="0" b="0"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FC687" w14:textId="0FDABCF4" w:rsidR="00D340A1" w:rsidRDefault="005C355E" w:rsidP="00D340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000000"/>
          <w:sz w:val="18"/>
          <w:szCs w:val="18"/>
        </w:rPr>
      </w:pPr>
      <w:r w:rsidRPr="003C0111">
        <w:rPr>
          <w:rFonts w:ascii="Arial" w:eastAsia="Arial" w:hAnsi="Arial" w:cs="Arial"/>
          <w:b/>
          <w:sz w:val="18"/>
          <w:szCs w:val="18"/>
        </w:rPr>
        <w:t>Supplementary Fig</w:t>
      </w:r>
      <w:r w:rsidR="00D340A1" w:rsidRPr="003C0111">
        <w:rPr>
          <w:rFonts w:ascii="Arial" w:eastAsia="Arial" w:hAnsi="Arial" w:cs="Arial"/>
          <w:b/>
          <w:sz w:val="18"/>
          <w:szCs w:val="18"/>
        </w:rPr>
        <w:t xml:space="preserve"> </w:t>
      </w:r>
      <w:r w:rsidR="00980253">
        <w:rPr>
          <w:rFonts w:ascii="Arial" w:eastAsia="Arial" w:hAnsi="Arial" w:cs="Arial"/>
          <w:b/>
          <w:sz w:val="18"/>
          <w:szCs w:val="18"/>
        </w:rPr>
        <w:t>3</w:t>
      </w:r>
      <w:r w:rsidR="00D340A1" w:rsidRPr="003C0111">
        <w:rPr>
          <w:rFonts w:ascii="Arial" w:eastAsia="Arial" w:hAnsi="Arial" w:cs="Arial"/>
          <w:sz w:val="18"/>
          <w:szCs w:val="18"/>
        </w:rPr>
        <w:t xml:space="preserve"> </w:t>
      </w:r>
      <w:r w:rsidR="00D340A1" w:rsidRPr="003C0111">
        <w:rPr>
          <w:rFonts w:ascii="Arial" w:eastAsia="Arial" w:hAnsi="Arial" w:cs="Arial"/>
          <w:color w:val="000000"/>
          <w:sz w:val="18"/>
          <w:szCs w:val="18"/>
        </w:rPr>
        <w:t>Principal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components analysis (PCA) of </w:t>
      </w:r>
      <w:r w:rsidR="00C875E7">
        <w:rPr>
          <w:rFonts w:ascii="Arial" w:eastAsia="Arial" w:hAnsi="Arial" w:cs="Arial"/>
          <w:color w:val="000000"/>
          <w:sz w:val="18"/>
          <w:szCs w:val="18"/>
        </w:rPr>
        <w:t>mean centered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major, minor, and trace element concentrations in the (a) tailings, (b) water extracts, (c) </w:t>
      </w:r>
      <w:r w:rsidR="00D340A1">
        <w:rPr>
          <w:rFonts w:ascii="Arial" w:eastAsia="Arial" w:hAnsi="Arial" w:cs="Arial"/>
          <w:i/>
          <w:color w:val="000000"/>
          <w:sz w:val="18"/>
          <w:szCs w:val="18"/>
        </w:rPr>
        <w:t>Bouteloua curtipendula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shoots, and (d) </w:t>
      </w:r>
      <w:r w:rsidR="00D340A1">
        <w:rPr>
          <w:rFonts w:ascii="Arial" w:eastAsia="Arial" w:hAnsi="Arial" w:cs="Arial"/>
          <w:i/>
          <w:color w:val="000000"/>
          <w:sz w:val="18"/>
          <w:szCs w:val="18"/>
        </w:rPr>
        <w:t>Bouteloua curtipendula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roots. Treatments are </w:t>
      </w:r>
      <w:r w:rsidR="00F8512F">
        <w:rPr>
          <w:rFonts w:ascii="Arial" w:eastAsia="Arial" w:hAnsi="Arial" w:cs="Arial"/>
          <w:color w:val="000000"/>
          <w:sz w:val="18"/>
          <w:szCs w:val="18"/>
        </w:rPr>
        <w:t>distinguished by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color</w:t>
      </w:r>
      <w:r w:rsidR="00F8512F">
        <w:rPr>
          <w:rFonts w:ascii="Arial" w:eastAsia="Arial" w:hAnsi="Arial" w:cs="Arial"/>
          <w:color w:val="000000"/>
          <w:sz w:val="18"/>
          <w:szCs w:val="18"/>
        </w:rPr>
        <w:t>s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and symbol</w:t>
      </w:r>
      <w:r w:rsidR="00F8512F">
        <w:rPr>
          <w:rFonts w:ascii="Arial" w:eastAsia="Arial" w:hAnsi="Arial" w:cs="Arial"/>
          <w:color w:val="000000"/>
          <w:sz w:val="18"/>
          <w:szCs w:val="18"/>
        </w:rPr>
        <w:t>s</w:t>
      </w:r>
      <w:r w:rsidR="003C0111"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r w:rsidR="00D022D0">
        <w:rPr>
          <w:rFonts w:ascii="Arial" w:eastAsia="Arial" w:hAnsi="Arial" w:cs="Arial"/>
          <w:color w:val="000000"/>
          <w:sz w:val="18"/>
          <w:szCs w:val="18"/>
        </w:rPr>
        <w:t>where treatments with endophyte coated seeds are filled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r w:rsidR="00D340A1">
        <w:rPr>
          <w:rFonts w:ascii="Arial" w:eastAsia="Arial" w:hAnsi="Arial" w:cs="Arial"/>
          <w:sz w:val="18"/>
          <w:szCs w:val="18"/>
        </w:rPr>
        <w:t>Ellipses</w:t>
      </w:r>
      <w:r w:rsidR="00D340A1">
        <w:rPr>
          <w:rFonts w:ascii="Arial" w:eastAsia="Arial" w:hAnsi="Arial" w:cs="Arial"/>
          <w:color w:val="000000"/>
          <w:sz w:val="18"/>
          <w:szCs w:val="18"/>
        </w:rPr>
        <w:t xml:space="preserve"> are only shown where treatments are significantly different</w:t>
      </w:r>
      <w:r w:rsidR="00B70FE0">
        <w:rPr>
          <w:rFonts w:ascii="Arial" w:eastAsia="Arial" w:hAnsi="Arial" w:cs="Arial"/>
          <w:color w:val="000000"/>
          <w:sz w:val="18"/>
          <w:szCs w:val="18"/>
        </w:rPr>
        <w:t xml:space="preserve"> (permutational ANOVA)</w:t>
      </w:r>
      <w:r w:rsidR="00D340A1">
        <w:rPr>
          <w:rFonts w:ascii="Arial" w:eastAsia="Arial" w:hAnsi="Arial" w:cs="Arial"/>
          <w:sz w:val="18"/>
          <w:szCs w:val="18"/>
        </w:rPr>
        <w:t xml:space="preserve">. Only the potentially toxic trace elements </w:t>
      </w:r>
      <w:r w:rsidR="00D340A1" w:rsidRPr="00320BB7">
        <w:rPr>
          <w:rFonts w:ascii="Arial" w:eastAsia="Arial" w:hAnsi="Arial" w:cs="Arial"/>
          <w:sz w:val="18"/>
          <w:szCs w:val="18"/>
        </w:rPr>
        <w:t xml:space="preserve">with positive or negative Pearson’s correlations </w:t>
      </w:r>
      <w:r w:rsidR="00CA0F28">
        <w:rPr>
          <w:rFonts w:ascii="Arial" w:eastAsia="Arial" w:hAnsi="Arial" w:cs="Arial"/>
          <w:sz w:val="18"/>
          <w:szCs w:val="18"/>
        </w:rPr>
        <w:t>≥</w:t>
      </w:r>
      <w:r w:rsidR="00D340A1" w:rsidRPr="00320BB7">
        <w:rPr>
          <w:rFonts w:ascii="Arial" w:eastAsia="Arial" w:hAnsi="Arial" w:cs="Arial"/>
          <w:sz w:val="18"/>
          <w:szCs w:val="18"/>
        </w:rPr>
        <w:t xml:space="preserve"> 0.7 (tailings, shoots, and root) or </w:t>
      </w:r>
      <w:r w:rsidR="00CA0F28">
        <w:rPr>
          <w:rFonts w:ascii="Arial" w:eastAsia="Arial" w:hAnsi="Arial" w:cs="Arial"/>
          <w:sz w:val="18"/>
          <w:szCs w:val="18"/>
        </w:rPr>
        <w:t>≥</w:t>
      </w:r>
      <w:r w:rsidR="00D340A1" w:rsidRPr="00320BB7">
        <w:rPr>
          <w:rFonts w:ascii="Arial" w:eastAsia="Arial" w:hAnsi="Arial" w:cs="Arial"/>
          <w:sz w:val="18"/>
          <w:szCs w:val="18"/>
        </w:rPr>
        <w:t xml:space="preserve"> 0.6 (water extracts) with PC1 or PC2 are shown</w:t>
      </w:r>
      <w:r w:rsidR="00C875E7" w:rsidRPr="00320BB7">
        <w:rPr>
          <w:rFonts w:ascii="Arial" w:eastAsia="Arial" w:hAnsi="Arial" w:cs="Arial"/>
          <w:sz w:val="18"/>
          <w:szCs w:val="18"/>
        </w:rPr>
        <w:t>. The following elements were included in the PCA (if measured</w:t>
      </w:r>
      <w:r w:rsidR="009D1739" w:rsidRPr="00320BB7">
        <w:rPr>
          <w:rFonts w:ascii="Arial" w:eastAsia="Arial" w:hAnsi="Arial" w:cs="Arial"/>
          <w:sz w:val="18"/>
          <w:szCs w:val="18"/>
        </w:rPr>
        <w:t xml:space="preserve"> and above detection limits</w:t>
      </w:r>
      <w:r w:rsidR="00C875E7" w:rsidRPr="00320BB7">
        <w:rPr>
          <w:rFonts w:ascii="Arial" w:eastAsia="Arial" w:hAnsi="Arial" w:cs="Arial"/>
          <w:sz w:val="18"/>
          <w:szCs w:val="18"/>
        </w:rPr>
        <w:t>):</w:t>
      </w:r>
      <w:r w:rsidR="009D1739" w:rsidRPr="00320BB7">
        <w:rPr>
          <w:rFonts w:ascii="Arial" w:eastAsia="Arial" w:hAnsi="Arial" w:cs="Arial"/>
          <w:sz w:val="18"/>
          <w:szCs w:val="18"/>
        </w:rPr>
        <w:t xml:space="preserve"> Ag, Al, As, Ca, </w:t>
      </w:r>
      <w:r w:rsidR="009430D5">
        <w:rPr>
          <w:rFonts w:ascii="Arial" w:eastAsia="Arial" w:hAnsi="Arial" w:cs="Arial"/>
          <w:sz w:val="18"/>
          <w:szCs w:val="18"/>
        </w:rPr>
        <w:t xml:space="preserve">Cd, </w:t>
      </w:r>
      <w:r w:rsidR="009D1739" w:rsidRPr="00320BB7">
        <w:rPr>
          <w:rFonts w:ascii="Arial" w:eastAsia="Arial" w:hAnsi="Arial" w:cs="Arial"/>
          <w:sz w:val="18"/>
          <w:szCs w:val="18"/>
        </w:rPr>
        <w:t xml:space="preserve">Co, Cr, Cu, Fe, K, Mg, Mn, P, Pb, S, Sb, Si, Zn </w:t>
      </w:r>
      <w:r w:rsidR="00C875E7" w:rsidRPr="00320BB7">
        <w:rPr>
          <w:rFonts w:ascii="Arial" w:eastAsia="Arial" w:hAnsi="Arial" w:cs="Arial"/>
          <w:sz w:val="18"/>
          <w:szCs w:val="18"/>
        </w:rPr>
        <w:t xml:space="preserve"> </w:t>
      </w:r>
    </w:p>
    <w:p w14:paraId="74CCA101" w14:textId="6D1A4E6C" w:rsidR="00D340A1" w:rsidRDefault="00D340A1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br w:type="page"/>
      </w:r>
    </w:p>
    <w:p w14:paraId="1AB4E9C0" w14:textId="3D2A6BDC" w:rsidR="005C355E" w:rsidRDefault="007A520A" w:rsidP="005C355E">
      <w:r>
        <w:rPr>
          <w:noProof/>
        </w:rPr>
        <w:lastRenderedPageBreak/>
        <w:drawing>
          <wp:inline distT="0" distB="0" distL="0" distR="0" wp14:anchorId="09786387" wp14:editId="4D0E6AF7">
            <wp:extent cx="5943600" cy="42443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823D9" w14:textId="558F8793" w:rsidR="007A520A" w:rsidRPr="00572823" w:rsidRDefault="000427BE" w:rsidP="0057282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Cs/>
          <w:color w:val="000000"/>
          <w:sz w:val="18"/>
          <w:szCs w:val="18"/>
        </w:rPr>
      </w:pPr>
      <w:bookmarkStart w:id="1" w:name="_heading=h.3dy6vkm" w:colFirst="0" w:colLast="0"/>
      <w:bookmarkEnd w:id="1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Supplementary Fig. </w:t>
      </w:r>
      <w:r w:rsidR="00980253">
        <w:rPr>
          <w:rFonts w:ascii="Arial" w:eastAsia="Arial" w:hAnsi="Arial" w:cs="Arial"/>
          <w:b/>
          <w:sz w:val="18"/>
          <w:szCs w:val="18"/>
        </w:rPr>
        <w:t xml:space="preserve">4 </w:t>
      </w:r>
      <w:r w:rsidR="004C1E38">
        <w:rPr>
          <w:rFonts w:ascii="Arial" w:eastAsia="Arial" w:hAnsi="Arial" w:cs="Arial"/>
          <w:bCs/>
          <w:color w:val="000000"/>
          <w:sz w:val="18"/>
          <w:szCs w:val="18"/>
        </w:rPr>
        <w:t xml:space="preserve">Solid-phase concentrations of </w:t>
      </w:r>
      <w:r w:rsidR="0043250F">
        <w:rPr>
          <w:rFonts w:ascii="Arial" w:eastAsia="Arial" w:hAnsi="Arial" w:cs="Arial"/>
          <w:bCs/>
          <w:color w:val="000000"/>
          <w:sz w:val="18"/>
          <w:szCs w:val="18"/>
        </w:rPr>
        <w:t xml:space="preserve">elements </w:t>
      </w:r>
      <w:r w:rsidR="00AD702C">
        <w:rPr>
          <w:rFonts w:ascii="Arial" w:eastAsia="Arial" w:hAnsi="Arial" w:cs="Arial"/>
          <w:bCs/>
          <w:color w:val="000000"/>
          <w:sz w:val="18"/>
          <w:szCs w:val="18"/>
        </w:rPr>
        <w:t>highly correlated (</w:t>
      </w:r>
      <w:r w:rsidR="00AD702C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r </w:t>
      </w:r>
      <w:r w:rsidR="00FD4E9E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≥ </w:t>
      </w:r>
      <w:r w:rsidR="00AD702C">
        <w:rPr>
          <w:rFonts w:ascii="Arial" w:eastAsia="Arial" w:hAnsi="Arial" w:cs="Arial"/>
          <w:bCs/>
          <w:color w:val="000000"/>
          <w:sz w:val="18"/>
          <w:szCs w:val="18"/>
        </w:rPr>
        <w:t>0.7) with PC1</w:t>
      </w:r>
      <w:r w:rsidR="00BA2749">
        <w:rPr>
          <w:rFonts w:ascii="Arial" w:eastAsia="Arial" w:hAnsi="Arial" w:cs="Arial"/>
          <w:bCs/>
          <w:color w:val="000000"/>
          <w:sz w:val="18"/>
          <w:szCs w:val="18"/>
        </w:rPr>
        <w:t xml:space="preserve"> in Supplementary Fig 2a</w:t>
      </w:r>
      <w:r w:rsidR="004C1E38">
        <w:rPr>
          <w:rFonts w:ascii="Arial" w:eastAsia="Arial" w:hAnsi="Arial" w:cs="Arial"/>
          <w:bCs/>
          <w:color w:val="000000"/>
          <w:sz w:val="18"/>
          <w:szCs w:val="18"/>
        </w:rPr>
        <w:t xml:space="preserve">. </w:t>
      </w:r>
      <w:r w:rsidR="00826B22">
        <w:rPr>
          <w:rFonts w:ascii="Arial" w:eastAsia="Arial" w:hAnsi="Arial" w:cs="Arial"/>
          <w:bCs/>
          <w:color w:val="000000"/>
          <w:sz w:val="18"/>
          <w:szCs w:val="18"/>
        </w:rPr>
        <w:t>Solid phase concentrations of Cu (</w:t>
      </w:r>
      <w:r w:rsidR="00826B22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826B22">
        <w:rPr>
          <w:rFonts w:ascii="Arial" w:eastAsia="Arial" w:hAnsi="Arial" w:cs="Arial"/>
          <w:bCs/>
          <w:color w:val="000000"/>
          <w:sz w:val="18"/>
          <w:szCs w:val="18"/>
        </w:rPr>
        <w:t>=</w:t>
      </w:r>
      <w:r w:rsidR="002F5562">
        <w:rPr>
          <w:rFonts w:ascii="Arial" w:eastAsia="Arial" w:hAnsi="Arial" w:cs="Arial"/>
          <w:bCs/>
          <w:color w:val="000000"/>
          <w:sz w:val="18"/>
          <w:szCs w:val="18"/>
        </w:rPr>
        <w:t>0.012</w:t>
      </w:r>
      <w:r w:rsidR="00826B22">
        <w:rPr>
          <w:rFonts w:ascii="Arial" w:eastAsia="Arial" w:hAnsi="Arial" w:cs="Arial"/>
          <w:bCs/>
          <w:color w:val="000000"/>
          <w:sz w:val="18"/>
          <w:szCs w:val="18"/>
        </w:rPr>
        <w:t>), Fe (</w:t>
      </w:r>
      <w:r w:rsidR="008B56E5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>P =</w:t>
      </w:r>
      <w:r w:rsidR="00040DA7">
        <w:rPr>
          <w:rFonts w:ascii="Arial" w:eastAsia="Arial" w:hAnsi="Arial" w:cs="Arial"/>
          <w:bCs/>
          <w:color w:val="000000"/>
          <w:sz w:val="18"/>
          <w:szCs w:val="18"/>
        </w:rPr>
        <w:t xml:space="preserve"> 0.001</w:t>
      </w:r>
      <w:r w:rsidR="008B56E5">
        <w:rPr>
          <w:rFonts w:ascii="Arial" w:eastAsia="Arial" w:hAnsi="Arial" w:cs="Arial"/>
          <w:bCs/>
          <w:color w:val="000000"/>
          <w:sz w:val="18"/>
          <w:szCs w:val="18"/>
        </w:rPr>
        <w:t xml:space="preserve">), </w:t>
      </w:r>
      <w:r w:rsidR="008A3341">
        <w:rPr>
          <w:rFonts w:ascii="Arial" w:eastAsia="Arial" w:hAnsi="Arial" w:cs="Arial"/>
          <w:bCs/>
          <w:color w:val="000000"/>
          <w:sz w:val="18"/>
          <w:szCs w:val="18"/>
        </w:rPr>
        <w:t>Pb (</w:t>
      </w:r>
      <w:r w:rsidR="008A3341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8A3341">
        <w:rPr>
          <w:rFonts w:ascii="Arial" w:eastAsia="Arial" w:hAnsi="Arial" w:cs="Arial"/>
          <w:bCs/>
          <w:color w:val="000000"/>
          <w:sz w:val="18"/>
          <w:szCs w:val="18"/>
        </w:rPr>
        <w:t xml:space="preserve">= </w:t>
      </w:r>
      <w:r w:rsidR="00E846C8">
        <w:rPr>
          <w:rFonts w:ascii="Arial" w:eastAsia="Arial" w:hAnsi="Arial" w:cs="Arial"/>
          <w:bCs/>
          <w:color w:val="000000"/>
          <w:sz w:val="18"/>
          <w:szCs w:val="18"/>
        </w:rPr>
        <w:t>0.008</w:t>
      </w:r>
      <w:r w:rsidR="008A3341">
        <w:rPr>
          <w:rFonts w:ascii="Arial" w:eastAsia="Arial" w:hAnsi="Arial" w:cs="Arial"/>
          <w:bCs/>
          <w:color w:val="000000"/>
          <w:sz w:val="18"/>
          <w:szCs w:val="18"/>
        </w:rPr>
        <w:t>), and Zn (</w:t>
      </w:r>
      <w:r w:rsidR="007D4D45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7D4D45">
        <w:rPr>
          <w:rFonts w:ascii="Arial" w:eastAsia="Arial" w:hAnsi="Arial" w:cs="Arial"/>
          <w:bCs/>
          <w:color w:val="000000"/>
          <w:sz w:val="18"/>
          <w:szCs w:val="18"/>
        </w:rPr>
        <w:t>= 0.013)</w:t>
      </w:r>
      <w:r w:rsidR="002F5562">
        <w:rPr>
          <w:rFonts w:ascii="Arial" w:eastAsia="Arial" w:hAnsi="Arial" w:cs="Arial"/>
          <w:bCs/>
          <w:color w:val="000000"/>
          <w:sz w:val="18"/>
          <w:szCs w:val="18"/>
        </w:rPr>
        <w:t xml:space="preserve"> </w:t>
      </w:r>
      <w:r w:rsidR="00572823">
        <w:rPr>
          <w:rFonts w:ascii="Arial" w:eastAsia="Arial" w:hAnsi="Arial" w:cs="Arial"/>
          <w:bCs/>
          <w:color w:val="000000"/>
          <w:sz w:val="18"/>
          <w:szCs w:val="18"/>
        </w:rPr>
        <w:t>were lower in pots with endophyte coated seeds</w:t>
      </w:r>
      <w:r w:rsidR="007A520A">
        <w:br w:type="page"/>
      </w:r>
    </w:p>
    <w:p w14:paraId="0103FF0C" w14:textId="57C75A8E" w:rsidR="005C355E" w:rsidRDefault="007A520A" w:rsidP="005C355E">
      <w:r>
        <w:rPr>
          <w:noProof/>
        </w:rPr>
        <w:lastRenderedPageBreak/>
        <w:drawing>
          <wp:inline distT="0" distB="0" distL="0" distR="0" wp14:anchorId="048483D4" wp14:editId="732E718E">
            <wp:extent cx="5943600" cy="36042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C2037" w14:textId="50B37CFE" w:rsidR="005C355E" w:rsidRDefault="005C355E" w:rsidP="005C355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Supplementary Fig</w:t>
      </w:r>
      <w:r w:rsidR="00CC064D">
        <w:rPr>
          <w:rFonts w:ascii="Arial" w:eastAsia="Arial" w:hAnsi="Arial" w:cs="Arial"/>
          <w:b/>
          <w:color w:val="000000"/>
          <w:sz w:val="18"/>
          <w:szCs w:val="18"/>
        </w:rPr>
        <w:t>.</w:t>
      </w: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 w:rsidR="00980253">
        <w:rPr>
          <w:rFonts w:ascii="Arial" w:eastAsia="Arial" w:hAnsi="Arial" w:cs="Arial"/>
          <w:b/>
          <w:sz w:val="18"/>
          <w:szCs w:val="18"/>
        </w:rPr>
        <w:t>5</w:t>
      </w: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 w:rsidR="00697742">
        <w:rPr>
          <w:rFonts w:ascii="Arial" w:eastAsia="Arial" w:hAnsi="Arial" w:cs="Arial"/>
          <w:bCs/>
          <w:color w:val="000000"/>
          <w:sz w:val="18"/>
          <w:szCs w:val="18"/>
        </w:rPr>
        <w:t>Minor and trace</w:t>
      </w:r>
      <w:r w:rsidRPr="00CC064D">
        <w:rPr>
          <w:rFonts w:ascii="Arial" w:eastAsia="Arial" w:hAnsi="Arial" w:cs="Arial"/>
          <w:bCs/>
          <w:color w:val="000000"/>
          <w:sz w:val="18"/>
          <w:szCs w:val="18"/>
        </w:rPr>
        <w:t xml:space="preserve"> elements </w:t>
      </w:r>
      <w:r w:rsidRPr="00CC064D">
        <w:rPr>
          <w:rFonts w:ascii="Arial" w:eastAsia="Arial" w:hAnsi="Arial" w:cs="Arial"/>
          <w:bCs/>
          <w:sz w:val="18"/>
          <w:szCs w:val="18"/>
        </w:rPr>
        <w:t xml:space="preserve">(Ag, As, Cd, Co, Cu, Mn, Pb, and Zn) </w:t>
      </w:r>
      <w:r w:rsidRPr="00CC064D">
        <w:rPr>
          <w:rFonts w:ascii="Arial" w:eastAsia="Arial" w:hAnsi="Arial" w:cs="Arial"/>
          <w:bCs/>
          <w:color w:val="000000"/>
          <w:sz w:val="18"/>
          <w:szCs w:val="18"/>
        </w:rPr>
        <w:t xml:space="preserve">measured in the </w:t>
      </w:r>
      <w:r w:rsidR="00697742">
        <w:rPr>
          <w:rFonts w:ascii="Arial" w:eastAsia="Arial" w:hAnsi="Arial" w:cs="Arial"/>
          <w:bCs/>
          <w:color w:val="000000"/>
          <w:sz w:val="18"/>
          <w:szCs w:val="18"/>
        </w:rPr>
        <w:t xml:space="preserve">sodium pyrophosphate extracts of the </w:t>
      </w:r>
      <w:r w:rsidRPr="00CC064D">
        <w:rPr>
          <w:rFonts w:ascii="Arial" w:eastAsia="Arial" w:hAnsi="Arial" w:cs="Arial"/>
          <w:bCs/>
          <w:color w:val="000000"/>
          <w:sz w:val="18"/>
          <w:szCs w:val="18"/>
        </w:rPr>
        <w:t>compost.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Pre-treatment (starting) and post-treatment values for each element are shown as points overlaid by a boxplot.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Values of Cd, Cu, Mn, and Pb are higher after treatment</w:t>
      </w:r>
      <w:r w:rsidR="00CE7964">
        <w:rPr>
          <w:rFonts w:ascii="Arial" w:eastAsia="Arial" w:hAnsi="Arial" w:cs="Arial"/>
          <w:color w:val="000000"/>
          <w:sz w:val="18"/>
          <w:szCs w:val="18"/>
        </w:rPr>
        <w:t xml:space="preserve"> compared to starting values</w:t>
      </w:r>
      <w:r>
        <w:rPr>
          <w:rFonts w:ascii="Arial" w:eastAsia="Arial" w:hAnsi="Arial" w:cs="Arial"/>
          <w:color w:val="000000"/>
          <w:sz w:val="18"/>
          <w:szCs w:val="18"/>
        </w:rPr>
        <w:t>, indicating their movement into compost during the experiment</w:t>
      </w:r>
    </w:p>
    <w:p w14:paraId="253F6FDC" w14:textId="2F5A6B3D" w:rsidR="00951E56" w:rsidRDefault="00951E56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br w:type="page"/>
      </w:r>
    </w:p>
    <w:p w14:paraId="67939631" w14:textId="77777777" w:rsidR="00347AF6" w:rsidRDefault="00347AF6" w:rsidP="00347AF6">
      <w:pPr>
        <w:keepNext/>
        <w:spacing w:line="240" w:lineRule="auto"/>
      </w:pPr>
      <w:r>
        <w:rPr>
          <w:rFonts w:ascii="Arial" w:eastAsia="Arial" w:hAnsi="Arial" w:cs="Arial"/>
          <w:noProof/>
          <w:sz w:val="18"/>
          <w:szCs w:val="18"/>
        </w:rPr>
        <w:lastRenderedPageBreak/>
        <w:drawing>
          <wp:inline distT="0" distB="0" distL="0" distR="0" wp14:anchorId="517F12DF" wp14:editId="4BDB834C">
            <wp:extent cx="5943600" cy="424561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BE5C8" w14:textId="443B1E56" w:rsidR="006277AF" w:rsidRPr="00296347" w:rsidRDefault="00347AF6" w:rsidP="002963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Cs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Supplementary Fig. </w:t>
      </w:r>
      <w:r w:rsidR="00980253">
        <w:rPr>
          <w:rFonts w:ascii="Arial" w:eastAsia="Arial" w:hAnsi="Arial" w:cs="Arial"/>
          <w:b/>
          <w:sz w:val="18"/>
          <w:szCs w:val="18"/>
        </w:rPr>
        <w:t>6</w:t>
      </w: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bCs/>
          <w:color w:val="000000"/>
          <w:sz w:val="18"/>
          <w:szCs w:val="18"/>
        </w:rPr>
        <w:t xml:space="preserve">Yields of </w:t>
      </w:r>
      <w:r w:rsidR="006E3DF6">
        <w:rPr>
          <w:rFonts w:ascii="Arial" w:eastAsia="Arial" w:hAnsi="Arial" w:cs="Arial"/>
          <w:bCs/>
          <w:color w:val="000000"/>
          <w:sz w:val="18"/>
          <w:szCs w:val="18"/>
        </w:rPr>
        <w:t xml:space="preserve">minor and trace elements </w:t>
      </w:r>
      <w:r w:rsidR="007E1FF7">
        <w:rPr>
          <w:rFonts w:ascii="Arial" w:eastAsia="Arial" w:hAnsi="Arial" w:cs="Arial"/>
          <w:bCs/>
          <w:color w:val="000000"/>
          <w:sz w:val="18"/>
          <w:szCs w:val="18"/>
        </w:rPr>
        <w:t xml:space="preserve">quantified in </w:t>
      </w:r>
      <w:r w:rsidR="007E1FF7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>Bouteloua curtipendula</w:t>
      </w:r>
      <w:r w:rsidR="007E1FF7">
        <w:rPr>
          <w:rFonts w:ascii="Arial" w:eastAsia="Arial" w:hAnsi="Arial" w:cs="Arial"/>
          <w:bCs/>
          <w:color w:val="000000"/>
          <w:sz w:val="18"/>
          <w:szCs w:val="18"/>
        </w:rPr>
        <w:t xml:space="preserve"> shoots after 45 days of growth. </w:t>
      </w:r>
      <w:r w:rsidR="007113E0">
        <w:rPr>
          <w:rFonts w:ascii="Arial" w:eastAsia="Arial" w:hAnsi="Arial" w:cs="Arial"/>
          <w:bCs/>
          <w:color w:val="000000"/>
          <w:sz w:val="18"/>
          <w:szCs w:val="18"/>
        </w:rPr>
        <w:t>Foliar yields of Cd (</w:t>
      </w:r>
      <w:r w:rsidR="004B6012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>= 0.023)</w:t>
      </w:r>
      <w:r w:rsidR="00CC1B1B">
        <w:rPr>
          <w:rFonts w:ascii="Arial" w:eastAsia="Arial" w:hAnsi="Arial" w:cs="Arial"/>
          <w:bCs/>
          <w:color w:val="000000"/>
          <w:sz w:val="18"/>
          <w:szCs w:val="18"/>
        </w:rPr>
        <w:t>,</w:t>
      </w:r>
      <w:r w:rsidR="00517AC9">
        <w:rPr>
          <w:rFonts w:ascii="Arial" w:eastAsia="Arial" w:hAnsi="Arial" w:cs="Arial"/>
          <w:bCs/>
          <w:color w:val="000000"/>
          <w:sz w:val="18"/>
          <w:szCs w:val="18"/>
        </w:rPr>
        <w:t xml:space="preserve"> Co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 xml:space="preserve"> (</w:t>
      </w:r>
      <w:r w:rsidR="004B6012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>= 0.022)</w:t>
      </w:r>
      <w:r w:rsidR="00517AC9">
        <w:rPr>
          <w:rFonts w:ascii="Arial" w:eastAsia="Arial" w:hAnsi="Arial" w:cs="Arial"/>
          <w:bCs/>
          <w:color w:val="000000"/>
          <w:sz w:val="18"/>
          <w:szCs w:val="18"/>
        </w:rPr>
        <w:t>, Mn,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 xml:space="preserve"> (</w:t>
      </w:r>
      <w:r w:rsidR="004B6012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>= 0.026)</w:t>
      </w:r>
      <w:r w:rsidR="00CC1B1B">
        <w:rPr>
          <w:rFonts w:ascii="Arial" w:eastAsia="Arial" w:hAnsi="Arial" w:cs="Arial"/>
          <w:bCs/>
          <w:color w:val="000000"/>
          <w:sz w:val="18"/>
          <w:szCs w:val="18"/>
        </w:rPr>
        <w:t>,</w:t>
      </w:r>
      <w:r w:rsidR="00517AC9">
        <w:rPr>
          <w:rFonts w:ascii="Arial" w:eastAsia="Arial" w:hAnsi="Arial" w:cs="Arial"/>
          <w:bCs/>
          <w:color w:val="000000"/>
          <w:sz w:val="18"/>
          <w:szCs w:val="18"/>
        </w:rPr>
        <w:t xml:space="preserve"> and Zn</w:t>
      </w:r>
      <w:r w:rsidR="004B6012">
        <w:rPr>
          <w:rFonts w:ascii="Arial" w:eastAsia="Arial" w:hAnsi="Arial" w:cs="Arial"/>
          <w:bCs/>
          <w:color w:val="000000"/>
          <w:sz w:val="18"/>
          <w:szCs w:val="18"/>
        </w:rPr>
        <w:t xml:space="preserve"> (</w:t>
      </w:r>
      <w:r w:rsidR="00E75ED8">
        <w:rPr>
          <w:rFonts w:ascii="Arial" w:eastAsia="Arial" w:hAnsi="Arial" w:cs="Arial"/>
          <w:bCs/>
          <w:i/>
          <w:iCs/>
          <w:color w:val="000000"/>
          <w:sz w:val="18"/>
          <w:szCs w:val="18"/>
        </w:rPr>
        <w:t xml:space="preserve">P </w:t>
      </w:r>
      <w:r w:rsidR="00E75ED8">
        <w:rPr>
          <w:rFonts w:ascii="Arial" w:eastAsia="Arial" w:hAnsi="Arial" w:cs="Arial"/>
          <w:bCs/>
          <w:color w:val="000000"/>
          <w:sz w:val="18"/>
          <w:szCs w:val="18"/>
        </w:rPr>
        <w:t xml:space="preserve">= 0.034) were higher in plants growth with endophyte seed coats. </w:t>
      </w:r>
      <w:r w:rsidR="00A218B9">
        <w:rPr>
          <w:rFonts w:ascii="Arial" w:eastAsia="Arial" w:hAnsi="Arial" w:cs="Arial"/>
          <w:bCs/>
          <w:color w:val="000000"/>
          <w:sz w:val="18"/>
          <w:szCs w:val="18"/>
        </w:rPr>
        <w:t>Foliar</w:t>
      </w:r>
      <w:r w:rsidR="00CB52DC">
        <w:rPr>
          <w:rFonts w:ascii="Arial" w:eastAsia="Arial" w:hAnsi="Arial" w:cs="Arial"/>
          <w:bCs/>
          <w:color w:val="000000"/>
          <w:sz w:val="18"/>
          <w:szCs w:val="18"/>
        </w:rPr>
        <w:t xml:space="preserve"> yields of Cu and Pb did not vary with endophyte </w:t>
      </w:r>
      <w:r w:rsidR="00CC1B1B">
        <w:rPr>
          <w:rFonts w:ascii="Arial" w:eastAsia="Arial" w:hAnsi="Arial" w:cs="Arial"/>
          <w:bCs/>
          <w:color w:val="000000"/>
          <w:sz w:val="18"/>
          <w:szCs w:val="18"/>
        </w:rPr>
        <w:t>additions,</w:t>
      </w:r>
      <w:r w:rsidR="00CB52DC">
        <w:rPr>
          <w:rFonts w:ascii="Arial" w:eastAsia="Arial" w:hAnsi="Arial" w:cs="Arial"/>
          <w:bCs/>
          <w:color w:val="000000"/>
          <w:sz w:val="18"/>
          <w:szCs w:val="18"/>
        </w:rPr>
        <w:t xml:space="preserve"> </w:t>
      </w:r>
      <w:r w:rsidR="003A1625">
        <w:rPr>
          <w:rFonts w:ascii="Arial" w:eastAsia="Arial" w:hAnsi="Arial" w:cs="Arial"/>
          <w:bCs/>
          <w:color w:val="000000"/>
          <w:sz w:val="18"/>
          <w:szCs w:val="18"/>
        </w:rPr>
        <w:t>but</w:t>
      </w:r>
      <w:r w:rsidR="00CB52DC">
        <w:rPr>
          <w:rFonts w:ascii="Arial" w:eastAsia="Arial" w:hAnsi="Arial" w:cs="Arial"/>
          <w:bCs/>
          <w:color w:val="000000"/>
          <w:sz w:val="18"/>
          <w:szCs w:val="18"/>
        </w:rPr>
        <w:t xml:space="preserve"> </w:t>
      </w:r>
      <w:r w:rsidR="00A218B9">
        <w:rPr>
          <w:rFonts w:ascii="Arial" w:eastAsia="Arial" w:hAnsi="Arial" w:cs="Arial"/>
          <w:bCs/>
          <w:color w:val="000000"/>
          <w:sz w:val="18"/>
          <w:szCs w:val="18"/>
        </w:rPr>
        <w:t>concentrations</w:t>
      </w:r>
      <w:r w:rsidR="00E75ED8">
        <w:rPr>
          <w:rFonts w:ascii="Arial" w:eastAsia="Arial" w:hAnsi="Arial" w:cs="Arial"/>
          <w:bCs/>
          <w:color w:val="000000"/>
          <w:sz w:val="18"/>
          <w:szCs w:val="18"/>
        </w:rPr>
        <w:t xml:space="preserve"> </w:t>
      </w:r>
      <w:r w:rsidR="003A1625">
        <w:rPr>
          <w:rFonts w:ascii="Arial" w:eastAsia="Arial" w:hAnsi="Arial" w:cs="Arial"/>
          <w:bCs/>
          <w:color w:val="000000"/>
          <w:sz w:val="18"/>
          <w:szCs w:val="18"/>
        </w:rPr>
        <w:t>exceeded</w:t>
      </w:r>
      <w:r w:rsidR="00BE20FF">
        <w:rPr>
          <w:rFonts w:ascii="Arial" w:eastAsia="Arial" w:hAnsi="Arial" w:cs="Arial"/>
          <w:bCs/>
          <w:color w:val="000000"/>
          <w:sz w:val="18"/>
          <w:szCs w:val="18"/>
        </w:rPr>
        <w:t xml:space="preserve"> forage limits for grazing livestoc</w:t>
      </w:r>
      <w:r w:rsidR="003A1625">
        <w:rPr>
          <w:rFonts w:ascii="Arial" w:eastAsia="Arial" w:hAnsi="Arial" w:cs="Arial"/>
          <w:bCs/>
          <w:color w:val="000000"/>
          <w:sz w:val="18"/>
          <w:szCs w:val="18"/>
        </w:rPr>
        <w:t>k</w:t>
      </w:r>
    </w:p>
    <w:sectPr w:rsidR="006277AF" w:rsidRPr="00296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97C"/>
    <w:rsid w:val="0000466A"/>
    <w:rsid w:val="0003027A"/>
    <w:rsid w:val="00040DA7"/>
    <w:rsid w:val="000427BE"/>
    <w:rsid w:val="00077A18"/>
    <w:rsid w:val="000C530C"/>
    <w:rsid w:val="000E619C"/>
    <w:rsid w:val="00103A03"/>
    <w:rsid w:val="00211706"/>
    <w:rsid w:val="002253F4"/>
    <w:rsid w:val="00233E51"/>
    <w:rsid w:val="00296347"/>
    <w:rsid w:val="002F4D26"/>
    <w:rsid w:val="002F5562"/>
    <w:rsid w:val="0030197C"/>
    <w:rsid w:val="00320BB7"/>
    <w:rsid w:val="003341D2"/>
    <w:rsid w:val="00347AF6"/>
    <w:rsid w:val="00371CC1"/>
    <w:rsid w:val="003A1625"/>
    <w:rsid w:val="003A23E2"/>
    <w:rsid w:val="003C0111"/>
    <w:rsid w:val="004306B3"/>
    <w:rsid w:val="0043250F"/>
    <w:rsid w:val="004B6012"/>
    <w:rsid w:val="004C1E38"/>
    <w:rsid w:val="00517AC9"/>
    <w:rsid w:val="00572823"/>
    <w:rsid w:val="005C355E"/>
    <w:rsid w:val="00611138"/>
    <w:rsid w:val="006277AF"/>
    <w:rsid w:val="006354CB"/>
    <w:rsid w:val="00646F8B"/>
    <w:rsid w:val="00676CEA"/>
    <w:rsid w:val="00697742"/>
    <w:rsid w:val="006D06E0"/>
    <w:rsid w:val="006E3DF6"/>
    <w:rsid w:val="006E65B7"/>
    <w:rsid w:val="007113E0"/>
    <w:rsid w:val="00731FAD"/>
    <w:rsid w:val="0078527E"/>
    <w:rsid w:val="007A520A"/>
    <w:rsid w:val="007B09E8"/>
    <w:rsid w:val="007D4D45"/>
    <w:rsid w:val="007E1FF7"/>
    <w:rsid w:val="00826B22"/>
    <w:rsid w:val="008A3341"/>
    <w:rsid w:val="008B56E5"/>
    <w:rsid w:val="008C06FE"/>
    <w:rsid w:val="008D69F5"/>
    <w:rsid w:val="009430D5"/>
    <w:rsid w:val="00951E56"/>
    <w:rsid w:val="0097211C"/>
    <w:rsid w:val="00980253"/>
    <w:rsid w:val="00982EB8"/>
    <w:rsid w:val="009B3690"/>
    <w:rsid w:val="009D1739"/>
    <w:rsid w:val="009E2E1B"/>
    <w:rsid w:val="00A218B9"/>
    <w:rsid w:val="00A43207"/>
    <w:rsid w:val="00A64151"/>
    <w:rsid w:val="00AD702C"/>
    <w:rsid w:val="00AE6C88"/>
    <w:rsid w:val="00B55168"/>
    <w:rsid w:val="00B70FE0"/>
    <w:rsid w:val="00B95DB6"/>
    <w:rsid w:val="00BA192B"/>
    <w:rsid w:val="00BA2749"/>
    <w:rsid w:val="00BE20FF"/>
    <w:rsid w:val="00C11AE3"/>
    <w:rsid w:val="00C50850"/>
    <w:rsid w:val="00C875E7"/>
    <w:rsid w:val="00C918F3"/>
    <w:rsid w:val="00CA0F28"/>
    <w:rsid w:val="00CB52DC"/>
    <w:rsid w:val="00CC064D"/>
    <w:rsid w:val="00CC1B1B"/>
    <w:rsid w:val="00CE7964"/>
    <w:rsid w:val="00CF2207"/>
    <w:rsid w:val="00D022D0"/>
    <w:rsid w:val="00D340A1"/>
    <w:rsid w:val="00D967AB"/>
    <w:rsid w:val="00DD5E4A"/>
    <w:rsid w:val="00DF126D"/>
    <w:rsid w:val="00E75ED8"/>
    <w:rsid w:val="00E846C8"/>
    <w:rsid w:val="00E86BA1"/>
    <w:rsid w:val="00F8512F"/>
    <w:rsid w:val="00FD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E65C9"/>
  <w15:chartTrackingRefBased/>
  <w15:docId w15:val="{A098F685-81E0-4830-83A5-9E7BAC84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47AF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36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36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369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hyperlink" Target="mailto:ccreamer@usgs.gov" TargetMode="Externa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Creamer, Courtney A</dc:creator>
  <cp:keywords/>
  <dc:description/>
  <cp:lastModifiedBy>Creamer, Courtney A</cp:lastModifiedBy>
  <cp:revision>5</cp:revision>
  <dcterms:created xsi:type="dcterms:W3CDTF">2023-04-12T00:34:00Z</dcterms:created>
  <dcterms:modified xsi:type="dcterms:W3CDTF">2023-04-19T22:23:00Z</dcterms:modified>
</cp:coreProperties>
</file>