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rPr>
      </w:pPr>
      <w:r w:rsidDel="00000000" w:rsidR="00000000" w:rsidRPr="00000000">
        <w:rPr>
          <w:b w:val="1"/>
          <w:rtl w:val="0"/>
        </w:rPr>
        <w:t xml:space="preserve">North Bay site 4.1</w:t>
      </w:r>
    </w:p>
    <w:p w:rsidR="00000000" w:rsidDel="00000000" w:rsidP="00000000" w:rsidRDefault="00000000" w:rsidRPr="00000000" w14:paraId="00000002">
      <w:pPr>
        <w:ind w:left="0" w:firstLine="0"/>
        <w:jc w:val="both"/>
        <w:rPr/>
      </w:pPr>
      <w:r w:rsidDel="00000000" w:rsidR="00000000" w:rsidRPr="00000000">
        <w:rPr>
          <w:rtl w:val="0"/>
        </w:rPr>
        <w:t xml:space="preserve">Comammox </w:t>
      </w:r>
      <w:r w:rsidDel="00000000" w:rsidR="00000000" w:rsidRPr="00000000">
        <w:rPr>
          <w:rtl w:val="0"/>
        </w:rPr>
        <w:t xml:space="preserve">Nitrospirota</w:t>
      </w:r>
      <w:r w:rsidDel="00000000" w:rsidR="00000000" w:rsidRPr="00000000">
        <w:rPr>
          <w:rtl w:val="0"/>
        </w:rPr>
        <w:t xml:space="preserve"> also </w:t>
      </w:r>
      <w:r w:rsidDel="00000000" w:rsidR="00000000" w:rsidRPr="00000000">
        <w:rPr>
          <w:rtl w:val="0"/>
        </w:rPr>
        <w:t xml:space="preserve">have</w:t>
      </w:r>
      <w:r w:rsidDel="00000000" w:rsidR="00000000" w:rsidRPr="00000000">
        <w:rPr>
          <w:rtl w:val="0"/>
        </w:rPr>
        <w:t xml:space="preserve"> genes for the second step of denitrification to reduce nitrite to nitric oxide, where 9/9 code </w:t>
      </w:r>
      <w:r w:rsidDel="00000000" w:rsidR="00000000" w:rsidRPr="00000000">
        <w:rPr>
          <w:i w:val="1"/>
          <w:rtl w:val="0"/>
        </w:rPr>
        <w:t xml:space="preserve">nirS</w:t>
      </w:r>
      <w:r w:rsidDel="00000000" w:rsidR="00000000" w:rsidRPr="00000000">
        <w:rPr>
          <w:rtl w:val="0"/>
        </w:rPr>
        <w:t xml:space="preserve"> and 6/9 code </w:t>
      </w:r>
      <w:r w:rsidDel="00000000" w:rsidR="00000000" w:rsidRPr="00000000">
        <w:rPr>
          <w:i w:val="1"/>
          <w:rtl w:val="0"/>
        </w:rPr>
        <w:t xml:space="preserve">nirK</w:t>
      </w:r>
      <w:r w:rsidDel="00000000" w:rsidR="00000000" w:rsidRPr="00000000">
        <w:rPr>
          <w:rtl w:val="0"/>
        </w:rPr>
        <w:t xml:space="preserve">. Some non-comammox Nitrospirota are solely nitrite oxidizers, or catalyze only the second step of </w:t>
      </w:r>
      <w:r w:rsidDel="00000000" w:rsidR="00000000" w:rsidRPr="00000000">
        <w:rPr>
          <w:rtl w:val="0"/>
        </w:rPr>
        <w:t xml:space="preserve">comammox</w:t>
      </w:r>
      <w:r w:rsidDel="00000000" w:rsidR="00000000" w:rsidRPr="00000000">
        <w:rPr>
          <w:rtl w:val="0"/>
        </w:rPr>
        <w:t xml:space="preserve"> (7/19 code </w:t>
      </w:r>
      <w:r w:rsidDel="00000000" w:rsidR="00000000" w:rsidRPr="00000000">
        <w:rPr>
          <w:i w:val="1"/>
          <w:rtl w:val="0"/>
        </w:rPr>
        <w:t xml:space="preserve">nxrAB</w:t>
      </w:r>
      <w:r w:rsidDel="00000000" w:rsidR="00000000" w:rsidRPr="00000000">
        <w:rPr>
          <w:rtl w:val="0"/>
        </w:rPr>
        <w:t xml:space="preserve">, class Nitrospiria) and 2/19 </w:t>
      </w:r>
      <w:r w:rsidDel="00000000" w:rsidR="00000000" w:rsidRPr="00000000">
        <w:rPr>
          <w:rtl w:val="0"/>
        </w:rPr>
        <w:t xml:space="preserve">Nitrospirota</w:t>
      </w:r>
      <w:r w:rsidDel="00000000" w:rsidR="00000000" w:rsidRPr="00000000">
        <w:rPr>
          <w:rtl w:val="0"/>
        </w:rPr>
        <w:t xml:space="preserve"> (class JACRHL01) code </w:t>
      </w:r>
      <w:r w:rsidDel="00000000" w:rsidR="00000000" w:rsidRPr="00000000">
        <w:rPr>
          <w:i w:val="1"/>
          <w:rtl w:val="0"/>
        </w:rPr>
        <w:t xml:space="preserve">narGH</w:t>
      </w:r>
      <w:r w:rsidDel="00000000" w:rsidR="00000000" w:rsidRPr="00000000">
        <w:rPr>
          <w:rtl w:val="0"/>
        </w:rPr>
        <w:t xml:space="preserve"> to catalyze this reaction in the reductive direction, reducing nitrate to nitrite. These non-comammox Nitrospirota also encode </w:t>
      </w:r>
      <w:r w:rsidDel="00000000" w:rsidR="00000000" w:rsidRPr="00000000">
        <w:rPr>
          <w:i w:val="1"/>
          <w:rtl w:val="0"/>
        </w:rPr>
        <w:t xml:space="preserve">nirK</w:t>
      </w:r>
      <w:r w:rsidDel="00000000" w:rsidR="00000000" w:rsidRPr="00000000">
        <w:rPr>
          <w:rtl w:val="0"/>
        </w:rPr>
        <w:t xml:space="preserve"> (10/19 MAGs) and </w:t>
      </w:r>
      <w:r w:rsidDel="00000000" w:rsidR="00000000" w:rsidRPr="00000000">
        <w:rPr>
          <w:i w:val="1"/>
          <w:rtl w:val="0"/>
        </w:rPr>
        <w:t xml:space="preserve">nirS </w:t>
      </w:r>
      <w:r w:rsidDel="00000000" w:rsidR="00000000" w:rsidRPr="00000000">
        <w:rPr>
          <w:rtl w:val="0"/>
        </w:rPr>
        <w:t xml:space="preserve">(5/19 MAGs). In addition to </w:t>
      </w:r>
      <w:r w:rsidDel="00000000" w:rsidR="00000000" w:rsidRPr="00000000">
        <w:rPr>
          <w:rtl w:val="0"/>
        </w:rPr>
        <w:t xml:space="preserve">Nitrospirota</w:t>
      </w:r>
      <w:r w:rsidDel="00000000" w:rsidR="00000000" w:rsidRPr="00000000">
        <w:rPr>
          <w:rtl w:val="0"/>
        </w:rPr>
        <w:t xml:space="preserve">, 6/23 Actinobacteriota (</w:t>
      </w:r>
      <w:r w:rsidDel="00000000" w:rsidR="00000000" w:rsidRPr="00000000">
        <w:rPr>
          <w:i w:val="1"/>
          <w:rtl w:val="0"/>
        </w:rPr>
        <w:t xml:space="preserve">Gaiellaceae</w:t>
      </w:r>
      <w:r w:rsidDel="00000000" w:rsidR="00000000" w:rsidRPr="00000000">
        <w:rPr>
          <w:rtl w:val="0"/>
        </w:rPr>
        <w:t xml:space="preserve">) and one Acidobacteriota MAG code </w:t>
      </w:r>
      <w:r w:rsidDel="00000000" w:rsidR="00000000" w:rsidRPr="00000000">
        <w:rPr>
          <w:i w:val="1"/>
          <w:rtl w:val="0"/>
        </w:rPr>
        <w:t xml:space="preserve">nxrAB </w:t>
      </w:r>
      <w:r w:rsidDel="00000000" w:rsidR="00000000" w:rsidRPr="00000000">
        <w:rPr>
          <w:rtl w:val="0"/>
        </w:rPr>
        <w:t xml:space="preserve">for nitrite oxidation, while 6/23 Actinobacteriota (classes Acidimicrobiia and Actinomycetia), 2/7 Desulfobacterota, and 12/54 Gammaproteobacteria code </w:t>
      </w:r>
      <w:r w:rsidDel="00000000" w:rsidR="00000000" w:rsidRPr="00000000">
        <w:rPr>
          <w:i w:val="1"/>
          <w:rtl w:val="0"/>
        </w:rPr>
        <w:t xml:space="preserve">narGH</w:t>
      </w:r>
      <w:r w:rsidDel="00000000" w:rsidR="00000000" w:rsidRPr="00000000">
        <w:rPr>
          <w:rtl w:val="0"/>
        </w:rPr>
        <w:t xml:space="preserve"> for nitrate reduction. Very few </w:t>
      </w:r>
      <w:r w:rsidDel="00000000" w:rsidR="00000000" w:rsidRPr="00000000">
        <w:rPr>
          <w:rtl w:val="0"/>
        </w:rPr>
        <w:t xml:space="preserve">Nitrospirota</w:t>
      </w:r>
      <w:r w:rsidDel="00000000" w:rsidR="00000000" w:rsidRPr="00000000">
        <w:rPr>
          <w:rtl w:val="0"/>
        </w:rPr>
        <w:t xml:space="preserve"> appear capable of the final two steps of denitrification, catalyzed by </w:t>
      </w:r>
      <w:r w:rsidDel="00000000" w:rsidR="00000000" w:rsidRPr="00000000">
        <w:rPr>
          <w:i w:val="1"/>
          <w:rtl w:val="0"/>
        </w:rPr>
        <w:t xml:space="preserve">norBC</w:t>
      </w:r>
      <w:r w:rsidDel="00000000" w:rsidR="00000000" w:rsidRPr="00000000">
        <w:rPr>
          <w:rtl w:val="0"/>
        </w:rPr>
        <w:t xml:space="preserve"> and </w:t>
      </w:r>
      <w:r w:rsidDel="00000000" w:rsidR="00000000" w:rsidRPr="00000000">
        <w:rPr>
          <w:i w:val="1"/>
          <w:rtl w:val="0"/>
        </w:rPr>
        <w:t xml:space="preserve">nosZ</w:t>
      </w:r>
      <w:r w:rsidDel="00000000" w:rsidR="00000000" w:rsidRPr="00000000">
        <w:rPr>
          <w:rtl w:val="0"/>
        </w:rPr>
        <w:t xml:space="preserve">. </w:t>
      </w:r>
      <w:r w:rsidDel="00000000" w:rsidR="00000000" w:rsidRPr="00000000">
        <w:rPr>
          <w:i w:val="1"/>
          <w:rtl w:val="0"/>
        </w:rPr>
        <w:t xml:space="preserve">NorBC </w:t>
      </w:r>
      <w:r w:rsidDel="00000000" w:rsidR="00000000" w:rsidRPr="00000000">
        <w:rPr>
          <w:rtl w:val="0"/>
        </w:rPr>
        <w:t xml:space="preserve">is mainly present in Gammaproteobacteria at site 4.1 (6 MAGs, </w:t>
      </w:r>
      <w:r w:rsidDel="00000000" w:rsidR="00000000" w:rsidRPr="00000000">
        <w:rPr>
          <w:i w:val="1"/>
          <w:rtl w:val="0"/>
        </w:rPr>
        <w:t xml:space="preserve">Woeseiaceae</w:t>
      </w:r>
      <w:r w:rsidDel="00000000" w:rsidR="00000000" w:rsidRPr="00000000">
        <w:rPr>
          <w:rtl w:val="0"/>
        </w:rPr>
        <w:t xml:space="preserve">), while </w:t>
      </w:r>
      <w:r w:rsidDel="00000000" w:rsidR="00000000" w:rsidRPr="00000000">
        <w:rPr>
          <w:i w:val="1"/>
          <w:rtl w:val="0"/>
        </w:rPr>
        <w:t xml:space="preserve">nosZ</w:t>
      </w:r>
      <w:r w:rsidDel="00000000" w:rsidR="00000000" w:rsidRPr="00000000">
        <w:rPr>
          <w:rtl w:val="0"/>
        </w:rPr>
        <w:t xml:space="preserve"> is predominantly encoded by Krumholzibacteriota (3/3 MAGs), Bacteroidota (4/5 MAGs), Actinobacteriota (3/3 class UBA4738 MAGs), and Gemmatimonadota (2/8 MAGs). Since there are large inputs of agricultural runoff at this station, nitrogen fixation genes were uncommon in the sediments, where 1 </w:t>
      </w:r>
      <w:r w:rsidDel="00000000" w:rsidR="00000000" w:rsidRPr="00000000">
        <w:rPr>
          <w:rtl w:val="0"/>
        </w:rPr>
        <w:t xml:space="preserve">Nitrospirota</w:t>
      </w:r>
      <w:r w:rsidDel="00000000" w:rsidR="00000000" w:rsidRPr="00000000">
        <w:rPr>
          <w:rtl w:val="0"/>
        </w:rPr>
        <w:t xml:space="preserve"> (class UBA9217), 1 Spirochaetota (class Leptospirae), and 3 Desulfobacterota (class Desulfobulbia) MAGs encode </w:t>
      </w:r>
      <w:r w:rsidDel="00000000" w:rsidR="00000000" w:rsidRPr="00000000">
        <w:rPr>
          <w:i w:val="1"/>
          <w:rtl w:val="0"/>
        </w:rPr>
        <w:t xml:space="preserve">nifDHK</w:t>
      </w:r>
      <w:r w:rsidDel="00000000" w:rsidR="00000000" w:rsidRPr="00000000">
        <w:rPr>
          <w:rtl w:val="0"/>
        </w:rPr>
        <w:t xml:space="preserve"> to fix nitrogen. All Desulfobulbia MAGs were reconstructed during the month of May, and this may correspond to high levels of nitrate, where bottom water dissolved nitrate was measured at 20.8 mM, compared to 10.43-13.91 mM in other months. In support of this, all of these organisms (4/4 MAGs) code </w:t>
      </w:r>
      <w:r w:rsidDel="00000000" w:rsidR="00000000" w:rsidRPr="00000000">
        <w:rPr>
          <w:i w:val="1"/>
          <w:rtl w:val="0"/>
        </w:rPr>
        <w:t xml:space="preserve">napAB</w:t>
      </w:r>
      <w:r w:rsidDel="00000000" w:rsidR="00000000" w:rsidRPr="00000000">
        <w:rPr>
          <w:rtl w:val="0"/>
        </w:rPr>
        <w:t xml:space="preserve"> for nitrate reduction.</w:t>
      </w:r>
    </w:p>
    <w:p w:rsidR="00000000" w:rsidDel="00000000" w:rsidP="00000000" w:rsidRDefault="00000000" w:rsidRPr="00000000" w14:paraId="00000003">
      <w:pPr>
        <w:ind w:firstLine="720"/>
        <w:jc w:val="both"/>
        <w:rPr/>
      </w:pPr>
      <w:r w:rsidDel="00000000" w:rsidR="00000000" w:rsidRPr="00000000">
        <w:rPr>
          <w:rtl w:val="0"/>
        </w:rPr>
        <w:t xml:space="preserve">SAR324 and Chloroflexota are uniquely abundant at site 4.1. The abundance of SAR324 is largely attributable to one MAG (4_1_July_SF_Bin22), which is over 5 times more abundant than the second most abundant SAR324. This organism is distinct from other SFB SAR324 in that it encodes two RuBisCO forms, form IA and II (Extended Data Figure 10, Supplementary Table 5), and a type II sulfide:quinone oxidoreductase (</w:t>
      </w:r>
      <w:r w:rsidDel="00000000" w:rsidR="00000000" w:rsidRPr="00000000">
        <w:rPr>
          <w:i w:val="1"/>
          <w:rtl w:val="0"/>
        </w:rPr>
        <w:t xml:space="preserve">sqr</w:t>
      </w:r>
      <w:r w:rsidDel="00000000" w:rsidR="00000000" w:rsidRPr="00000000">
        <w:rPr>
          <w:rtl w:val="0"/>
        </w:rPr>
        <w:t xml:space="preserve">, Extended Data Figure 8). Both RuBisCO forms have previously been identified in SAR324, where form II is thought to be adapted for low-oxygen conditions and IA is known to be involved in carboxylation reactions</w:t>
      </w:r>
      <w:hyperlink r:id="rId6">
        <w:r w:rsidDel="00000000" w:rsidR="00000000" w:rsidRPr="00000000">
          <w:rPr>
            <w:vertAlign w:val="superscript"/>
            <w:rtl w:val="0"/>
          </w:rPr>
          <w:t xml:space="preserve">22,23</w:t>
        </w:r>
      </w:hyperlink>
      <w:r w:rsidDel="00000000" w:rsidR="00000000" w:rsidRPr="00000000">
        <w:rPr>
          <w:rtl w:val="0"/>
        </w:rPr>
        <w:t xml:space="preserve">. Type II SQRs have been shown to play a role in sulfide homeostasis in </w:t>
      </w:r>
      <w:r w:rsidDel="00000000" w:rsidR="00000000" w:rsidRPr="00000000">
        <w:rPr>
          <w:i w:val="1"/>
          <w:rtl w:val="0"/>
        </w:rPr>
        <w:t xml:space="preserve">Staphylococcus aureus</w:t>
      </w:r>
      <w:hyperlink r:id="rId7">
        <w:r w:rsidDel="00000000" w:rsidR="00000000" w:rsidRPr="00000000">
          <w:rPr>
            <w:i w:val="1"/>
            <w:vertAlign w:val="superscript"/>
            <w:rtl w:val="0"/>
          </w:rPr>
          <w:t xml:space="preserve">24</w:t>
        </w:r>
      </w:hyperlink>
      <w:r w:rsidDel="00000000" w:rsidR="00000000" w:rsidRPr="00000000">
        <w:rPr>
          <w:rtl w:val="0"/>
        </w:rPr>
        <w:t xml:space="preserve">. In Chloroflextoa, class Limnocylindria was only identified at site 4.1, and in line with previous findings</w:t>
      </w:r>
      <w:hyperlink r:id="rId8">
        <w:r w:rsidDel="00000000" w:rsidR="00000000" w:rsidRPr="00000000">
          <w:rPr>
            <w:vertAlign w:val="superscript"/>
            <w:rtl w:val="0"/>
          </w:rPr>
          <w:t xml:space="preserve">25</w:t>
        </w:r>
      </w:hyperlink>
      <w:r w:rsidDel="00000000" w:rsidR="00000000" w:rsidRPr="00000000">
        <w:rPr>
          <w:rtl w:val="0"/>
        </w:rPr>
        <w:t xml:space="preserve">, one MAG appears capable of reducing nitrous oxide to nitrogen (1/3 Limnocylindria MAGs codes </w:t>
      </w:r>
      <w:r w:rsidDel="00000000" w:rsidR="00000000" w:rsidRPr="00000000">
        <w:rPr>
          <w:i w:val="1"/>
          <w:rtl w:val="0"/>
        </w:rPr>
        <w:t xml:space="preserve">nosZ</w:t>
      </w:r>
      <w:r w:rsidDel="00000000" w:rsidR="00000000" w:rsidRPr="00000000">
        <w:rPr>
          <w:rtl w:val="0"/>
        </w:rPr>
        <w:t xml:space="preserve">).</w:t>
      </w:r>
    </w:p>
    <w:p w:rsidR="00000000" w:rsidDel="00000000" w:rsidP="00000000" w:rsidRDefault="00000000" w:rsidRPr="00000000" w14:paraId="00000004">
      <w:pPr>
        <w:ind w:left="0" w:firstLine="0"/>
        <w:jc w:val="both"/>
        <w:rPr/>
      </w:pPr>
      <w:r w:rsidDel="00000000" w:rsidR="00000000" w:rsidRPr="00000000">
        <w:rPr>
          <w:rtl w:val="0"/>
        </w:rPr>
        <w:tab/>
        <w:t xml:space="preserve">In contrast to previous studies of CSP1-4 </w:t>
      </w:r>
      <w:r w:rsidDel="00000000" w:rsidR="00000000" w:rsidRPr="00000000">
        <w:rPr>
          <w:i w:val="1"/>
          <w:rtl w:val="0"/>
        </w:rPr>
        <w:t xml:space="preserve">Chloroflexi</w:t>
      </w:r>
      <w:hyperlink r:id="rId9">
        <w:r w:rsidDel="00000000" w:rsidR="00000000" w:rsidRPr="00000000">
          <w:rPr>
            <w:i w:val="1"/>
            <w:vertAlign w:val="superscript"/>
            <w:rtl w:val="0"/>
          </w:rPr>
          <w:t xml:space="preserve">25</w:t>
        </w:r>
      </w:hyperlink>
      <w:r w:rsidDel="00000000" w:rsidR="00000000" w:rsidRPr="00000000">
        <w:rPr>
          <w:rtl w:val="0"/>
        </w:rPr>
        <w:t xml:space="preserve">, SFB Limnocylindria MAGs in family CSP1-4 have form ID RuBisCO (Extended Data Figure 10), rather than form IC, and these organisms lack sulfite oxidation pathways. The most abundant Chloroflexota class at site 4.1 is Dehalococcoidia, some of which are known to dehalogenate aromatic compounds catalyzed via reductive dehalogenases</w:t>
      </w:r>
      <w:hyperlink r:id="rId10">
        <w:r w:rsidDel="00000000" w:rsidR="00000000" w:rsidRPr="00000000">
          <w:rPr>
            <w:vertAlign w:val="superscript"/>
            <w:rtl w:val="0"/>
          </w:rPr>
          <w:t xml:space="preserve">26</w:t>
        </w:r>
      </w:hyperlink>
      <w:r w:rsidDel="00000000" w:rsidR="00000000" w:rsidRPr="00000000">
        <w:rPr>
          <w:rtl w:val="0"/>
        </w:rPr>
        <w:t xml:space="preserve">. However, with the exception of one haloalkane dehalogenase in a Dehalococcoidia MAG (4_1_Jan_SF_Bin38), we were not able to identify reductive dehalogenases in these MAGs.</w:t>
      </w:r>
    </w:p>
    <w:p w:rsidR="00000000" w:rsidDel="00000000" w:rsidP="00000000" w:rsidRDefault="00000000" w:rsidRPr="00000000" w14:paraId="00000005">
      <w:pPr>
        <w:jc w:val="both"/>
        <w:rPr>
          <w:b w:val="1"/>
        </w:rPr>
      </w:pPr>
      <w:r w:rsidDel="00000000" w:rsidR="00000000" w:rsidRPr="00000000">
        <w:rPr>
          <w:rtl w:val="0"/>
        </w:rPr>
      </w:r>
    </w:p>
    <w:p w:rsidR="00000000" w:rsidDel="00000000" w:rsidP="00000000" w:rsidRDefault="00000000" w:rsidRPr="00000000" w14:paraId="00000006">
      <w:pPr>
        <w:jc w:val="both"/>
        <w:rPr>
          <w:b w:val="1"/>
        </w:rPr>
      </w:pPr>
      <w:r w:rsidDel="00000000" w:rsidR="00000000" w:rsidRPr="00000000">
        <w:rPr>
          <w:b w:val="1"/>
          <w:rtl w:val="0"/>
        </w:rPr>
        <w:t xml:space="preserve">Northern station 8.1</w:t>
      </w:r>
    </w:p>
    <w:p w:rsidR="00000000" w:rsidDel="00000000" w:rsidP="00000000" w:rsidRDefault="00000000" w:rsidRPr="00000000" w14:paraId="00000007">
      <w:pPr>
        <w:jc w:val="both"/>
        <w:rPr/>
      </w:pPr>
      <w:r w:rsidDel="00000000" w:rsidR="00000000" w:rsidRPr="00000000">
        <w:rPr>
          <w:rtl w:val="0"/>
        </w:rPr>
        <w:t xml:space="preserve">To verify the presence of </w:t>
      </w:r>
      <w:r w:rsidDel="00000000" w:rsidR="00000000" w:rsidRPr="00000000">
        <w:rPr>
          <w:i w:val="1"/>
          <w:rtl w:val="0"/>
        </w:rPr>
        <w:t xml:space="preserve">nirK</w:t>
      </w:r>
      <w:r w:rsidDel="00000000" w:rsidR="00000000" w:rsidRPr="00000000">
        <w:rPr>
          <w:rtl w:val="0"/>
        </w:rPr>
        <w:t xml:space="preserve"> in the Heimdall MAGs</w:t>
      </w:r>
      <w:r w:rsidDel="00000000" w:rsidR="00000000" w:rsidRPr="00000000">
        <w:rPr>
          <w:rtl w:val="0"/>
        </w:rPr>
        <w:t xml:space="preserve">, we examined the conserved active site residues and sequence coverage. The MAG 8_1_May_SF_Bin13 nirK has both active site residues Asp and His required for nitrite reducing activity</w:t>
      </w:r>
      <w:hyperlink r:id="rId11">
        <w:r w:rsidDel="00000000" w:rsidR="00000000" w:rsidRPr="00000000">
          <w:rPr>
            <w:vertAlign w:val="superscript"/>
            <w:rtl w:val="0"/>
          </w:rPr>
          <w:t xml:space="preserve">23</w:t>
        </w:r>
      </w:hyperlink>
      <w:r w:rsidDel="00000000" w:rsidR="00000000" w:rsidRPr="00000000">
        <w:rPr>
          <w:rtl w:val="0"/>
        </w:rPr>
        <w:t xml:space="preserve">. The two </w:t>
      </w:r>
      <w:r w:rsidDel="00000000" w:rsidR="00000000" w:rsidRPr="00000000">
        <w:rPr>
          <w:i w:val="1"/>
          <w:rtl w:val="0"/>
        </w:rPr>
        <w:t xml:space="preserve">nirK</w:t>
      </w:r>
      <w:r w:rsidDel="00000000" w:rsidR="00000000" w:rsidRPr="00000000">
        <w:rPr>
          <w:rtl w:val="0"/>
        </w:rPr>
        <w:t xml:space="preserve"> sequences in 8_1_Jan_SF_Bin58 are partial (198 bp and 101 bp), and thus one has the Asp active site, while the other has the His. The coverage values of the </w:t>
      </w:r>
      <w:r w:rsidDel="00000000" w:rsidR="00000000" w:rsidRPr="00000000">
        <w:rPr>
          <w:i w:val="1"/>
          <w:rtl w:val="0"/>
        </w:rPr>
        <w:t xml:space="preserve">nirK</w:t>
      </w:r>
      <w:r w:rsidDel="00000000" w:rsidR="00000000" w:rsidRPr="00000000">
        <w:rPr>
          <w:rtl w:val="0"/>
        </w:rPr>
        <w:t xml:space="preserve">-encoding Heimdall contigs (8_1_May_SF_Bin13: 9.8; 8_1_Jan_SF_Bin58: 20.78 &amp; 17.9465) are within the standard deviation of the mean value of coverage across all contigs in the Heimdallarchaeota MAGs (8_1_May_SF_Bin13: 8.6 ± 1.9; 8_1_Jan_SF_Bin58: 21.06 ± 3.6). </w:t>
      </w:r>
    </w:p>
    <w:p w:rsidR="00000000" w:rsidDel="00000000" w:rsidP="00000000" w:rsidRDefault="00000000" w:rsidRPr="00000000" w14:paraId="00000008">
      <w:pPr>
        <w:jc w:val="both"/>
        <w:rPr/>
      </w:pPr>
      <w:r w:rsidDel="00000000" w:rsidR="00000000" w:rsidRPr="00000000">
        <w:rPr>
          <w:rtl w:val="0"/>
        </w:rPr>
        <w:tab/>
        <w:t xml:space="preserve">Nitrospirota more often code </w:t>
      </w:r>
      <w:r w:rsidDel="00000000" w:rsidR="00000000" w:rsidRPr="00000000">
        <w:rPr>
          <w:i w:val="1"/>
          <w:rtl w:val="0"/>
        </w:rPr>
        <w:t xml:space="preserve">nirK </w:t>
      </w:r>
      <w:r w:rsidDel="00000000" w:rsidR="00000000" w:rsidRPr="00000000">
        <w:rPr>
          <w:rtl w:val="0"/>
        </w:rPr>
        <w:t xml:space="preserve">for nitrite reduction (11/15 MAGs) compared to </w:t>
      </w:r>
      <w:r w:rsidDel="00000000" w:rsidR="00000000" w:rsidRPr="00000000">
        <w:rPr>
          <w:i w:val="1"/>
          <w:rtl w:val="0"/>
        </w:rPr>
        <w:t xml:space="preserve">nirS</w:t>
      </w:r>
      <w:r w:rsidDel="00000000" w:rsidR="00000000" w:rsidRPr="00000000">
        <w:rPr>
          <w:rtl w:val="0"/>
        </w:rPr>
        <w:t xml:space="preserve"> (3/15 MAGs), while most Nitrospinota code </w:t>
      </w:r>
      <w:r w:rsidDel="00000000" w:rsidR="00000000" w:rsidRPr="00000000">
        <w:rPr>
          <w:i w:val="1"/>
          <w:rtl w:val="0"/>
        </w:rPr>
        <w:t xml:space="preserve">nirS</w:t>
      </w:r>
      <w:r w:rsidDel="00000000" w:rsidR="00000000" w:rsidRPr="00000000">
        <w:rPr>
          <w:rtl w:val="0"/>
        </w:rPr>
        <w:t xml:space="preserve"> (6/9 MAGs). In Alphaproteobacteria, 5/11 MAGs encode oxidative dsrs and 5 encode at least 5/6 of SoxXA, SoxYZ, SoxB, and SoxCD. Three Alphaproteobacteria MAGs (2 family Rhodobacteraceae and 1 order UBA8366) encode dimethylsulfoniopropionate demethylase (</w:t>
      </w:r>
      <w:r w:rsidDel="00000000" w:rsidR="00000000" w:rsidRPr="00000000">
        <w:rPr>
          <w:i w:val="1"/>
          <w:rtl w:val="0"/>
        </w:rPr>
        <w:t xml:space="preserve">dmdA</w:t>
      </w:r>
      <w:r w:rsidDel="00000000" w:rsidR="00000000" w:rsidRPr="00000000">
        <w:rPr>
          <w:rtl w:val="0"/>
        </w:rPr>
        <w:t xml:space="preserve">) to catalyze the demethylation of dimethylsulfoniopropionate (DMSP). DMSP is an abundant organic sulfur metabolite produced by phytoplankton, and the degradation of DMSP has important implications for global sulfur cycling</w:t>
      </w:r>
      <w:hyperlink r:id="rId12">
        <w:r w:rsidDel="00000000" w:rsidR="00000000" w:rsidRPr="00000000">
          <w:rPr>
            <w:vertAlign w:val="superscript"/>
            <w:rtl w:val="0"/>
          </w:rPr>
          <w:t xml:space="preserve">30</w:t>
        </w:r>
      </w:hyperlink>
      <w:r w:rsidDel="00000000" w:rsidR="00000000" w:rsidRPr="00000000">
        <w:rPr>
          <w:vertAlign w:val="superscript"/>
          <w:rtl w:val="0"/>
        </w:rPr>
        <w:t xml:space="preserve">,</w:t>
      </w:r>
      <w:hyperlink r:id="rId13">
        <w:r w:rsidDel="00000000" w:rsidR="00000000" w:rsidRPr="00000000">
          <w:rPr>
            <w:vertAlign w:val="superscript"/>
            <w:rtl w:val="0"/>
          </w:rPr>
          <w:t xml:space="preserve">31</w:t>
        </w:r>
      </w:hyperlink>
      <w:r w:rsidDel="00000000" w:rsidR="00000000" w:rsidRPr="00000000">
        <w:rPr>
          <w:vertAlign w:val="superscript"/>
          <w:rtl w:val="0"/>
        </w:rPr>
        <w:t xml:space="preserve">,</w:t>
      </w:r>
      <w:hyperlink r:id="rId14">
        <w:r w:rsidDel="00000000" w:rsidR="00000000" w:rsidRPr="00000000">
          <w:rPr>
            <w:vertAlign w:val="superscript"/>
            <w:rtl w:val="0"/>
          </w:rPr>
          <w:t xml:space="preserve">32</w:t>
        </w:r>
      </w:hyperlink>
      <w:r w:rsidDel="00000000" w:rsidR="00000000" w:rsidRPr="00000000">
        <w:rPr>
          <w:rtl w:val="0"/>
        </w:rPr>
        <w:t xml:space="preserve">. Across all sites and MAGs, </w:t>
      </w:r>
      <w:r w:rsidDel="00000000" w:rsidR="00000000" w:rsidRPr="00000000">
        <w:rPr>
          <w:i w:val="1"/>
          <w:rtl w:val="0"/>
        </w:rPr>
        <w:t xml:space="preserve">dmdA</w:t>
      </w:r>
      <w:r w:rsidDel="00000000" w:rsidR="00000000" w:rsidRPr="00000000">
        <w:rPr>
          <w:rtl w:val="0"/>
        </w:rPr>
        <w:t xml:space="preserve"> is present in 25 MAGs (sites 4.1, 8.1, 13, and 21) and is predominantly encoded by Gammaproteobacteria and Alphaproteobacteria.</w:t>
      </w:r>
    </w:p>
    <w:p w:rsidR="00000000" w:rsidDel="00000000" w:rsidP="00000000" w:rsidRDefault="00000000" w:rsidRPr="00000000" w14:paraId="00000009">
      <w:pPr>
        <w:jc w:val="both"/>
        <w:rPr>
          <w:b w:val="1"/>
        </w:rPr>
      </w:pPr>
      <w:r w:rsidDel="00000000" w:rsidR="00000000" w:rsidRPr="00000000">
        <w:rPr>
          <w:b w:val="1"/>
          <w:rtl w:val="0"/>
        </w:rPr>
        <w:t xml:space="preserve">NarG/NxrA</w:t>
      </w:r>
    </w:p>
    <w:p w:rsidR="00000000" w:rsidDel="00000000" w:rsidP="00000000" w:rsidRDefault="00000000" w:rsidRPr="00000000" w14:paraId="0000000A">
      <w:pPr>
        <w:jc w:val="both"/>
        <w:rPr/>
      </w:pPr>
      <w:r w:rsidDel="00000000" w:rsidR="00000000" w:rsidRPr="00000000">
        <w:rPr>
          <w:rtl w:val="0"/>
        </w:rPr>
        <w:t xml:space="preserve">In addition to </w:t>
      </w:r>
      <w:r w:rsidDel="00000000" w:rsidR="00000000" w:rsidRPr="00000000">
        <w:rPr>
          <w:i w:val="1"/>
          <w:rtl w:val="0"/>
        </w:rPr>
        <w:t xml:space="preserve">nxrAB</w:t>
      </w:r>
      <w:r w:rsidDel="00000000" w:rsidR="00000000" w:rsidRPr="00000000">
        <w:rPr>
          <w:rtl w:val="0"/>
        </w:rPr>
        <w:t xml:space="preserve"> sequences from relatives of known NOB and comammox bacteria, we identified 17 genes with homology to </w:t>
      </w:r>
      <w:r w:rsidDel="00000000" w:rsidR="00000000" w:rsidRPr="00000000">
        <w:rPr>
          <w:i w:val="1"/>
          <w:rtl w:val="0"/>
        </w:rPr>
        <w:t xml:space="preserve">nxrA</w:t>
      </w:r>
      <w:r w:rsidDel="00000000" w:rsidR="00000000" w:rsidRPr="00000000">
        <w:rPr>
          <w:rtl w:val="0"/>
        </w:rPr>
        <w:t xml:space="preserve"> from 11 SFB MAGs in phyla not known to oxidize nitrite, including Acidobacteriota, Actinobacteriota, Desulfobacterota_B (Binatia), and Gemmatimonadota (Figure 4, Supplementary Tables 5 and 6). Due to the difficulties associated with distinguishing NarG from NxrA, we analyzed these sequences from a phylogenetic, protein structure, sequence alignment, and genomic perspective. Most of the </w:t>
      </w:r>
      <w:r w:rsidDel="00000000" w:rsidR="00000000" w:rsidRPr="00000000">
        <w:rPr>
          <w:i w:val="1"/>
          <w:rtl w:val="0"/>
        </w:rPr>
        <w:t xml:space="preserve">narG</w:t>
      </w:r>
      <w:r w:rsidDel="00000000" w:rsidR="00000000" w:rsidRPr="00000000">
        <w:rPr>
          <w:rtl w:val="0"/>
        </w:rPr>
        <w:t xml:space="preserve"> and </w:t>
      </w:r>
      <w:r w:rsidDel="00000000" w:rsidR="00000000" w:rsidRPr="00000000">
        <w:rPr>
          <w:i w:val="1"/>
          <w:rtl w:val="0"/>
        </w:rPr>
        <w:t xml:space="preserve">nxrA</w:t>
      </w:r>
      <w:r w:rsidDel="00000000" w:rsidR="00000000" w:rsidRPr="00000000">
        <w:rPr>
          <w:rtl w:val="0"/>
        </w:rPr>
        <w:t xml:space="preserve"> (14 sequences) appear to be part of a new clade that was proposed after the characterization of </w:t>
      </w:r>
      <w:r w:rsidDel="00000000" w:rsidR="00000000" w:rsidRPr="00000000">
        <w:rPr>
          <w:i w:val="1"/>
          <w:rtl w:val="0"/>
        </w:rPr>
        <w:t xml:space="preserve">nxrA</w:t>
      </w:r>
      <w:r w:rsidDel="00000000" w:rsidR="00000000" w:rsidRPr="00000000">
        <w:rPr>
          <w:rtl w:val="0"/>
        </w:rPr>
        <w:t xml:space="preserve"> from Nitrotoga fabula, a cultured nitrite oxidizer</w:t>
      </w:r>
      <w:hyperlink r:id="rId15">
        <w:r w:rsidDel="00000000" w:rsidR="00000000" w:rsidRPr="00000000">
          <w:rPr>
            <w:vertAlign w:val="superscript"/>
            <w:rtl w:val="0"/>
          </w:rPr>
          <w:t xml:space="preserve">37</w:t>
        </w:r>
      </w:hyperlink>
      <w:r w:rsidDel="00000000" w:rsidR="00000000" w:rsidRPr="00000000">
        <w:rPr>
          <w:rtl w:val="0"/>
        </w:rPr>
        <w:t xml:space="preserve">. Three of these are phylogenetically related to Brocadaceae anammox bacteria, as well as Nitrospirota and Nitrospinota NOB. Representatives from all 4 phyla have conserved residues present in NxrA and NarG, including nitrite/nitrate binding residues (Figure 4)</w:t>
      </w:r>
      <w:hyperlink r:id="rId16">
        <w:r w:rsidDel="00000000" w:rsidR="00000000" w:rsidRPr="00000000">
          <w:rPr>
            <w:vertAlign w:val="superscript"/>
            <w:rtl w:val="0"/>
          </w:rPr>
          <w:t xml:space="preserve">38</w:t>
        </w:r>
      </w:hyperlink>
      <w:r w:rsidDel="00000000" w:rsidR="00000000" w:rsidRPr="00000000">
        <w:rPr>
          <w:rtl w:val="0"/>
        </w:rPr>
        <w:t xml:space="preserve">. Protein modeling using SWISS-PROT characterized all 17 genes as NxrA (Supplementary Data 1). Protein modeling with FoldSeek provided the strongest support for NxrA in Gemmatimonadota (8_1_May_SF_Bin5), which has the highest quality match to a protein structure of NxrA in Nitrospirota (e-value 4.57e-56; Supplementary Data 2). Desulfobacterota_B and Actinobacteriota in the clade more closely related to anammox, Nitrospinota, and Nitrospirota NxrA (13_July_SF_Bin2 and 21_Jan_SF_Bin67), have top protein structure hits to NxrA in Rokubacteria, though these organisms are uncultured and have not been experimentally verified. All other sequences have highest quality structural hits to molybdopterin oxidoreductases from uncultured organisms, and a mix of NarG and NxrA structures from cultured and uncultured organisms in the top 20 alignments, making it difficult to discern whether they are oxidative or reductive. </w:t>
      </w:r>
    </w:p>
    <w:p w:rsidR="00000000" w:rsidDel="00000000" w:rsidP="00000000" w:rsidRDefault="00000000" w:rsidRPr="00000000" w14:paraId="0000000B">
      <w:pPr>
        <w:ind w:firstLine="720"/>
        <w:jc w:val="both"/>
        <w:rPr/>
      </w:pPr>
      <w:r w:rsidDel="00000000" w:rsidR="00000000" w:rsidRPr="00000000">
        <w:rPr>
          <w:rtl w:val="0"/>
        </w:rPr>
        <w:t xml:space="preserve">Detailed characterization of these </w:t>
      </w:r>
      <w:r w:rsidDel="00000000" w:rsidR="00000000" w:rsidRPr="00000000">
        <w:rPr>
          <w:i w:val="1"/>
          <w:rtl w:val="0"/>
        </w:rPr>
        <w:t xml:space="preserve">nar</w:t>
      </w:r>
      <w:r w:rsidDel="00000000" w:rsidR="00000000" w:rsidRPr="00000000">
        <w:rPr>
          <w:rtl w:val="0"/>
        </w:rPr>
        <w:t xml:space="preserve">/</w:t>
      </w:r>
      <w:r w:rsidDel="00000000" w:rsidR="00000000" w:rsidRPr="00000000">
        <w:rPr>
          <w:i w:val="1"/>
          <w:rtl w:val="0"/>
        </w:rPr>
        <w:t xml:space="preserve">nxr</w:t>
      </w:r>
      <w:r w:rsidDel="00000000" w:rsidR="00000000" w:rsidRPr="00000000">
        <w:rPr>
          <w:rtl w:val="0"/>
        </w:rPr>
        <w:t xml:space="preserve">-encoding SFB MAGs indicate that most also contain the beta subunit of nitrate/nitrite reductase (10/11; Supplementary Table 6). Of the 11 SFB MAGs, two Actinobacteria in class Thermoleophilia (4_1_Jan_SF_Bin18 and 4_1_May_SF_Bin55) have the most complete genomic context to support potential nitrite oxidation. These organisms encode the nitrate/nitrite reductase gamma subunit that can act as an electron shuttle in the electron transport chain (ETC) and also code </w:t>
      </w:r>
      <w:r w:rsidDel="00000000" w:rsidR="00000000" w:rsidRPr="00000000">
        <w:rPr>
          <w:i w:val="1"/>
          <w:rtl w:val="0"/>
        </w:rPr>
        <w:t xml:space="preserve">nirK</w:t>
      </w:r>
      <w:r w:rsidDel="00000000" w:rsidR="00000000" w:rsidRPr="00000000">
        <w:rPr>
          <w:rtl w:val="0"/>
        </w:rPr>
        <w:t xml:space="preserve"> and chlorite dismutase (</w:t>
      </w:r>
      <w:r w:rsidDel="00000000" w:rsidR="00000000" w:rsidRPr="00000000">
        <w:rPr>
          <w:i w:val="1"/>
          <w:rtl w:val="0"/>
        </w:rPr>
        <w:t xml:space="preserve">cld</w:t>
      </w:r>
      <w:r w:rsidDel="00000000" w:rsidR="00000000" w:rsidRPr="00000000">
        <w:rPr>
          <w:rtl w:val="0"/>
        </w:rPr>
        <w:t xml:space="preserve">) which are present in most NOB</w:t>
      </w:r>
      <w:hyperlink r:id="rId17">
        <w:r w:rsidDel="00000000" w:rsidR="00000000" w:rsidRPr="00000000">
          <w:rPr>
            <w:vertAlign w:val="superscript"/>
            <w:rtl w:val="0"/>
          </w:rPr>
          <w:t xml:space="preserve">39,40</w:t>
        </w:r>
      </w:hyperlink>
      <w:r w:rsidDel="00000000" w:rsidR="00000000" w:rsidRPr="00000000">
        <w:rPr>
          <w:rtl w:val="0"/>
        </w:rPr>
        <w:t xml:space="preserve">. The ETC appears to be complete, including NADH dehydrogenase (complex I), succinate dehydrogenase (complex II), cytochrome </w:t>
      </w:r>
      <w:r w:rsidDel="00000000" w:rsidR="00000000" w:rsidRPr="00000000">
        <w:rPr>
          <w:i w:val="1"/>
          <w:rtl w:val="0"/>
        </w:rPr>
        <w:t xml:space="preserve">bc</w:t>
      </w:r>
      <w:r w:rsidDel="00000000" w:rsidR="00000000" w:rsidRPr="00000000">
        <w:rPr>
          <w:i w:val="1"/>
          <w:vertAlign w:val="subscript"/>
          <w:rtl w:val="0"/>
        </w:rPr>
        <w:t xml:space="preserve">1</w:t>
      </w:r>
      <w:r w:rsidDel="00000000" w:rsidR="00000000" w:rsidRPr="00000000">
        <w:rPr>
          <w:rtl w:val="0"/>
        </w:rPr>
        <w:t xml:space="preserve">, cytochrome </w:t>
      </w:r>
      <w:r w:rsidDel="00000000" w:rsidR="00000000" w:rsidRPr="00000000">
        <w:rPr>
          <w:i w:val="1"/>
          <w:rtl w:val="0"/>
        </w:rPr>
        <w:t xml:space="preserve">c</w:t>
      </w:r>
      <w:r w:rsidDel="00000000" w:rsidR="00000000" w:rsidRPr="00000000">
        <w:rPr>
          <w:rtl w:val="0"/>
        </w:rPr>
        <w:t xml:space="preserve"> oxidase (complex IV), and an F-type ATPase (complex V). These results suggest Thermoleophilia have a fully functional membrane-bound Nar/Nxr complex. NOB in </w:t>
      </w:r>
      <w:r w:rsidDel="00000000" w:rsidR="00000000" w:rsidRPr="00000000">
        <w:rPr>
          <w:i w:val="1"/>
          <w:rtl w:val="0"/>
        </w:rPr>
        <w:t xml:space="preserve">Nitrococcus</w:t>
      </w:r>
      <w:r w:rsidDel="00000000" w:rsidR="00000000" w:rsidRPr="00000000">
        <w:rPr>
          <w:rtl w:val="0"/>
        </w:rPr>
        <w:t xml:space="preserve">, </w:t>
      </w:r>
      <w:r w:rsidDel="00000000" w:rsidR="00000000" w:rsidRPr="00000000">
        <w:rPr>
          <w:i w:val="1"/>
          <w:rtl w:val="0"/>
        </w:rPr>
        <w:t xml:space="preserve">Nitrobacter, Nitrolancea, </w:t>
      </w:r>
      <w:r w:rsidDel="00000000" w:rsidR="00000000" w:rsidRPr="00000000">
        <w:rPr>
          <w:rtl w:val="0"/>
        </w:rPr>
        <w:t xml:space="preserve">and</w:t>
      </w:r>
      <w:r w:rsidDel="00000000" w:rsidR="00000000" w:rsidRPr="00000000">
        <w:rPr>
          <w:i w:val="1"/>
          <w:rtl w:val="0"/>
        </w:rPr>
        <w:t xml:space="preserve"> Nitrotoga</w:t>
      </w:r>
      <w:r w:rsidDel="00000000" w:rsidR="00000000" w:rsidRPr="00000000">
        <w:rPr>
          <w:rtl w:val="0"/>
        </w:rPr>
        <w:t xml:space="preserve"> utilize the Calvin-Benson-Bassham (CBB) cycle for carbon fixation</w:t>
      </w:r>
      <w:hyperlink r:id="rId18">
        <w:r w:rsidDel="00000000" w:rsidR="00000000" w:rsidRPr="00000000">
          <w:rPr>
            <w:vertAlign w:val="superscript"/>
            <w:rtl w:val="0"/>
          </w:rPr>
          <w:t xml:space="preserve">37</w:t>
        </w:r>
      </w:hyperlink>
      <w:r w:rsidDel="00000000" w:rsidR="00000000" w:rsidRPr="00000000">
        <w:rPr>
          <w:rtl w:val="0"/>
        </w:rPr>
        <w:t xml:space="preserve"> while </w:t>
      </w:r>
      <w:r w:rsidDel="00000000" w:rsidR="00000000" w:rsidRPr="00000000">
        <w:rPr>
          <w:i w:val="1"/>
          <w:rtl w:val="0"/>
        </w:rPr>
        <w:t xml:space="preserve">Nitrospira</w:t>
      </w:r>
      <w:r w:rsidDel="00000000" w:rsidR="00000000" w:rsidRPr="00000000">
        <w:rPr>
          <w:rtl w:val="0"/>
        </w:rPr>
        <w:t xml:space="preserve"> and </w:t>
      </w:r>
      <w:r w:rsidDel="00000000" w:rsidR="00000000" w:rsidRPr="00000000">
        <w:rPr>
          <w:i w:val="1"/>
          <w:rtl w:val="0"/>
        </w:rPr>
        <w:t xml:space="preserve">Nitrospina</w:t>
      </w:r>
      <w:r w:rsidDel="00000000" w:rsidR="00000000" w:rsidRPr="00000000">
        <w:rPr>
          <w:rtl w:val="0"/>
        </w:rPr>
        <w:t xml:space="preserve"> assimilate CO</w:t>
      </w:r>
      <w:r w:rsidDel="00000000" w:rsidR="00000000" w:rsidRPr="00000000">
        <w:rPr>
          <w:vertAlign w:val="subscript"/>
          <w:rtl w:val="0"/>
        </w:rPr>
        <w:t xml:space="preserve">2</w:t>
      </w:r>
      <w:r w:rsidDel="00000000" w:rsidR="00000000" w:rsidRPr="00000000">
        <w:rPr>
          <w:rtl w:val="0"/>
        </w:rPr>
        <w:t xml:space="preserve"> via the reverse TCA cycle (rTCA)</w:t>
      </w:r>
      <w:hyperlink r:id="rId19">
        <w:r w:rsidDel="00000000" w:rsidR="00000000" w:rsidRPr="00000000">
          <w:rPr>
            <w:vertAlign w:val="superscript"/>
            <w:rtl w:val="0"/>
          </w:rPr>
          <w:t xml:space="preserve">41,42</w:t>
        </w:r>
      </w:hyperlink>
      <w:r w:rsidDel="00000000" w:rsidR="00000000" w:rsidRPr="00000000">
        <w:rPr>
          <w:rtl w:val="0"/>
        </w:rPr>
        <w:t xml:space="preserve">. Thermoleophilia MAGs do not have core genes for CBB, and code 2-oxoglutarate ferredoxin oxidoreductase (OGOR) but lack ATP citrate lyase (ACL) for rTCA. Interestingly, these MAGs have a highly complete reductive glycine pathway (rGlyP), a recently proposed seventh CO</w:t>
      </w:r>
      <w:r w:rsidDel="00000000" w:rsidR="00000000" w:rsidRPr="00000000">
        <w:rPr>
          <w:vertAlign w:val="subscript"/>
          <w:rtl w:val="0"/>
        </w:rPr>
        <w:t xml:space="preserve">2</w:t>
      </w:r>
      <w:r w:rsidDel="00000000" w:rsidR="00000000" w:rsidRPr="00000000">
        <w:rPr>
          <w:rtl w:val="0"/>
        </w:rPr>
        <w:t xml:space="preserve"> fixation pathway</w:t>
      </w:r>
      <w:hyperlink r:id="rId20">
        <w:r w:rsidDel="00000000" w:rsidR="00000000" w:rsidRPr="00000000">
          <w:rPr>
            <w:vertAlign w:val="superscript"/>
            <w:rtl w:val="0"/>
          </w:rPr>
          <w:t xml:space="preserve">43</w:t>
        </w:r>
      </w:hyperlink>
      <w:r w:rsidDel="00000000" w:rsidR="00000000" w:rsidRPr="00000000">
        <w:rPr>
          <w:rtl w:val="0"/>
        </w:rPr>
        <w:t xml:space="preserve">. The two Thermoleophilia MAGs have top structural hits to molybdopterin oxidoreductases, as well as NxrA from uncultured organisms and NxrA from Nitrotoga fabula in the top 15 hits.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b w:val="1"/>
          <w:rtl w:val="0"/>
        </w:rPr>
        <w:t xml:space="preserve">Southernmost Station</w:t>
      </w: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Among the site 24 Desulfobacterota, Desulfuromonadia have the ability to fix nitrogen (</w:t>
      </w:r>
      <w:r w:rsidDel="00000000" w:rsidR="00000000" w:rsidRPr="00000000">
        <w:rPr>
          <w:i w:val="1"/>
          <w:rtl w:val="0"/>
        </w:rPr>
        <w:t xml:space="preserve">nifDHK</w:t>
      </w:r>
      <w:r w:rsidDel="00000000" w:rsidR="00000000" w:rsidRPr="00000000">
        <w:rPr>
          <w:rtl w:val="0"/>
        </w:rPr>
        <w:t xml:space="preserve"> present in 4/6 MAGs), and this class is only found at sites 13-24, suggesting conditions here are more favorable for their growth. Desulfuromonadia</w:t>
      </w:r>
      <w:r w:rsidDel="00000000" w:rsidR="00000000" w:rsidRPr="00000000">
        <w:rPr>
          <w:rtl w:val="0"/>
        </w:rPr>
        <w:t xml:space="preserve"> organisms here largely lack sulfur cycling genes, which are present in other Desulfobacterota classes, Alphaproteobacteria (order Kiloniellales), and Gammaproteobacteria (orders Thiohalobacterales, Thiohalomonadales, and Xanthomonadales). Many Desulfobacterota classes are sulfate reducers (7/11 MAGs encode </w:t>
      </w:r>
      <w:r w:rsidDel="00000000" w:rsidR="00000000" w:rsidRPr="00000000">
        <w:rPr>
          <w:i w:val="1"/>
          <w:rtl w:val="0"/>
        </w:rPr>
        <w:t xml:space="preserve">dsrA</w:t>
      </w:r>
      <w:r w:rsidDel="00000000" w:rsidR="00000000" w:rsidRPr="00000000">
        <w:rPr>
          <w:rtl w:val="0"/>
        </w:rPr>
        <w:t xml:space="preserve">), while Alpha- and Gammaproteobacteria are sulfur compound oxidizers (3/3 Alphaproteobacteria and 11/26 Gammaproteobacteria encode at least 5/6 SoxXA, SoxYZ, SoxB, and SoxCD, 3/3 Alphaproteobacteria and 7/26 Gammaproteobacteria encode </w:t>
      </w:r>
      <w:r w:rsidDel="00000000" w:rsidR="00000000" w:rsidRPr="00000000">
        <w:rPr>
          <w:i w:val="1"/>
          <w:rtl w:val="0"/>
        </w:rPr>
        <w:t xml:space="preserve">rdsrA</w:t>
      </w:r>
      <w:r w:rsidDel="00000000" w:rsidR="00000000" w:rsidRPr="00000000">
        <w:rPr>
          <w:rtl w:val="0"/>
        </w:rPr>
        <w:t xml:space="preserve">).</w:t>
      </w:r>
    </w:p>
    <w:p w:rsidR="00000000" w:rsidDel="00000000" w:rsidP="00000000" w:rsidRDefault="00000000" w:rsidRPr="00000000" w14:paraId="0000000F">
      <w:pPr>
        <w:jc w:val="both"/>
        <w:rPr/>
      </w:pPr>
      <w:r w:rsidDel="00000000" w:rsidR="00000000" w:rsidRPr="00000000">
        <w:rPr>
          <w:rtl w:val="0"/>
        </w:rPr>
        <w:tab/>
        <w:t xml:space="preserve">Site 24 also has three of the most abundant Zixibacteria in SFB. The two other abundant Zixibacteria were reconstructed from site 4.1, and all five of these MAGs are within class MSB-5A5. Zixibacteria from site 24 encode nitrate reductase (</w:t>
      </w:r>
      <w:r w:rsidDel="00000000" w:rsidR="00000000" w:rsidRPr="00000000">
        <w:rPr>
          <w:i w:val="1"/>
          <w:rtl w:val="0"/>
        </w:rPr>
        <w:t xml:space="preserve">narGH</w:t>
      </w:r>
      <w:r w:rsidDel="00000000" w:rsidR="00000000" w:rsidRPr="00000000">
        <w:rPr>
          <w:rtl w:val="0"/>
        </w:rPr>
        <w:t xml:space="preserve">, present in 3/3 MAGs) and in contrast to previous studies</w:t>
      </w:r>
      <w:hyperlink r:id="rId21">
        <w:r w:rsidDel="00000000" w:rsidR="00000000" w:rsidRPr="00000000">
          <w:rPr>
            <w:vertAlign w:val="superscript"/>
            <w:rtl w:val="0"/>
          </w:rPr>
          <w:t xml:space="preserve">35</w:t>
        </w:r>
      </w:hyperlink>
      <w:r w:rsidDel="00000000" w:rsidR="00000000" w:rsidRPr="00000000">
        <w:rPr>
          <w:rtl w:val="0"/>
        </w:rPr>
        <w:t xml:space="preserve">, we do not find evidence that this gene is an oxidoreductase that functions in nitrification. In addition, Zixibacteria </w:t>
      </w:r>
      <w:r w:rsidDel="00000000" w:rsidR="00000000" w:rsidRPr="00000000">
        <w:rPr>
          <w:rtl w:val="0"/>
        </w:rPr>
        <w:t xml:space="preserve">encode</w:t>
      </w:r>
      <w:r w:rsidDel="00000000" w:rsidR="00000000" w:rsidRPr="00000000">
        <w:rPr>
          <w:rtl w:val="0"/>
        </w:rPr>
        <w:t xml:space="preserve"> benzoyl-CoA reductase (</w:t>
      </w:r>
      <w:r w:rsidDel="00000000" w:rsidR="00000000" w:rsidRPr="00000000">
        <w:rPr>
          <w:i w:val="1"/>
          <w:rtl w:val="0"/>
        </w:rPr>
        <w:t xml:space="preserve">bcrAB</w:t>
      </w:r>
      <w:r w:rsidDel="00000000" w:rsidR="00000000" w:rsidRPr="00000000">
        <w:rPr>
          <w:rtl w:val="0"/>
        </w:rPr>
        <w:t xml:space="preserve">, present in 2/3 MAGs), a key enzyme for anaerobic aromatic metabolism. </w:t>
      </w:r>
    </w:p>
    <w:p w:rsidR="00000000" w:rsidDel="00000000" w:rsidP="00000000" w:rsidRDefault="00000000" w:rsidRPr="00000000" w14:paraId="00000010">
      <w:pPr>
        <w:jc w:val="both"/>
        <w:rPr/>
      </w:pPr>
      <w:r w:rsidDel="00000000" w:rsidR="00000000" w:rsidRPr="00000000">
        <w:rPr>
          <w:rtl w:val="0"/>
        </w:rPr>
        <w:tab/>
        <w:t xml:space="preserve">Surprisingly, station 24 also contains Nanopelagicales (2 MAGs), an order of Actinobacteriota, which is known as an abundant freshwater chemoheterotroph</w:t>
      </w:r>
      <w:hyperlink r:id="rId22">
        <w:r w:rsidDel="00000000" w:rsidR="00000000" w:rsidRPr="00000000">
          <w:rPr>
            <w:vertAlign w:val="superscript"/>
            <w:rtl w:val="0"/>
          </w:rPr>
          <w:t xml:space="preserve">37</w:t>
        </w:r>
      </w:hyperlink>
      <w:r w:rsidDel="00000000" w:rsidR="00000000" w:rsidRPr="00000000">
        <w:rPr>
          <w:rtl w:val="0"/>
        </w:rPr>
        <w:t xml:space="preserve"> with small, streamlined genome sizes</w:t>
      </w:r>
      <w:hyperlink r:id="rId23">
        <w:r w:rsidDel="00000000" w:rsidR="00000000" w:rsidRPr="00000000">
          <w:rPr>
            <w:vertAlign w:val="superscript"/>
            <w:rtl w:val="0"/>
          </w:rPr>
          <w:t xml:space="preserve">37</w:t>
        </w:r>
      </w:hyperlink>
      <w:r w:rsidDel="00000000" w:rsidR="00000000" w:rsidRPr="00000000">
        <w:rPr>
          <w:rtl w:val="0"/>
        </w:rPr>
        <w:t xml:space="preserve">. SFB Nanopelagicales have an average genome size of 1.9 MB and some N-cycling abilities, including </w:t>
      </w:r>
      <w:r w:rsidDel="00000000" w:rsidR="00000000" w:rsidRPr="00000000">
        <w:rPr>
          <w:i w:val="1"/>
          <w:rtl w:val="0"/>
        </w:rPr>
        <w:t xml:space="preserve">narGH</w:t>
      </w:r>
      <w:r w:rsidDel="00000000" w:rsidR="00000000" w:rsidRPr="00000000">
        <w:rPr>
          <w:rtl w:val="0"/>
        </w:rPr>
        <w:t xml:space="preserve">-mediated nitrate reduction (present in 1/2 site 24 MAGs, 3/3 site 4.1 MAGs). Cultured Nanopelagicales are also known to have various amino acid auxotrophies, including histidine and ornithine biosynthesis. One SFB Nanopelagicales MAG encodes genes for histidine biosynthesis (24_Oct_SF_Bin4, </w:t>
      </w:r>
      <w:r w:rsidDel="00000000" w:rsidR="00000000" w:rsidRPr="00000000">
        <w:rPr>
          <w:i w:val="1"/>
          <w:rtl w:val="0"/>
        </w:rPr>
        <w:t xml:space="preserve">hisD</w:t>
      </w:r>
      <w:r w:rsidDel="00000000" w:rsidR="00000000" w:rsidRPr="00000000">
        <w:rPr>
          <w:rtl w:val="0"/>
        </w:rPr>
        <w:t xml:space="preserve">, K00013) and another encodes genes for ornithine biosynthesis (24_May_SF_Bin5, </w:t>
      </w:r>
      <w:r w:rsidDel="00000000" w:rsidR="00000000" w:rsidRPr="00000000">
        <w:rPr>
          <w:i w:val="1"/>
          <w:rtl w:val="0"/>
        </w:rPr>
        <w:t xml:space="preserve">argJ</w:t>
      </w:r>
      <w:r w:rsidDel="00000000" w:rsidR="00000000" w:rsidRPr="00000000">
        <w:rPr>
          <w:rtl w:val="0"/>
        </w:rPr>
        <w:t xml:space="preserve">, K00620). This suggests these amino acid auxotrophies may not be universal among this order.</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paperpile.com/c/UgXsul/AncW" TargetMode="External"/><Relationship Id="rId11" Type="http://schemas.openxmlformats.org/officeDocument/2006/relationships/hyperlink" Target="https://paperpile.com/c/UgXsul/yYGD" TargetMode="External"/><Relationship Id="rId22" Type="http://schemas.openxmlformats.org/officeDocument/2006/relationships/hyperlink" Target="https://paperpile.com/c/UgXsul/46dx" TargetMode="External"/><Relationship Id="rId10" Type="http://schemas.openxmlformats.org/officeDocument/2006/relationships/hyperlink" Target="https://paperpile.com/c/UgXsul/lyPn" TargetMode="External"/><Relationship Id="rId21" Type="http://schemas.openxmlformats.org/officeDocument/2006/relationships/hyperlink" Target="https://paperpile.com/c/UgXsul/Yzo2" TargetMode="External"/><Relationship Id="rId13" Type="http://schemas.openxmlformats.org/officeDocument/2006/relationships/hyperlink" Target="https://paperpile.com/c/UgXsul/Bnv4" TargetMode="External"/><Relationship Id="rId12" Type="http://schemas.openxmlformats.org/officeDocument/2006/relationships/hyperlink" Target="https://paperpile.com/c/UgXsul/MmJS" TargetMode="External"/><Relationship Id="rId23" Type="http://schemas.openxmlformats.org/officeDocument/2006/relationships/hyperlink" Target="https://paperpile.com/c/UgXsul/46d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UgXsul/LxmS" TargetMode="External"/><Relationship Id="rId15" Type="http://schemas.openxmlformats.org/officeDocument/2006/relationships/hyperlink" Target="https://paperpile.com/c/UgXsul/XYt8" TargetMode="External"/><Relationship Id="rId14" Type="http://schemas.openxmlformats.org/officeDocument/2006/relationships/hyperlink" Target="https://paperpile.com/c/UgXsul/uVZR" TargetMode="External"/><Relationship Id="rId17" Type="http://schemas.openxmlformats.org/officeDocument/2006/relationships/hyperlink" Target="https://paperpile.com/c/UgXsul/PeWm+LgxT" TargetMode="External"/><Relationship Id="rId16" Type="http://schemas.openxmlformats.org/officeDocument/2006/relationships/hyperlink" Target="https://paperpile.com/c/UgXsul/BthF" TargetMode="External"/><Relationship Id="rId5" Type="http://schemas.openxmlformats.org/officeDocument/2006/relationships/styles" Target="styles.xml"/><Relationship Id="rId19" Type="http://schemas.openxmlformats.org/officeDocument/2006/relationships/hyperlink" Target="https://paperpile.com/c/UgXsul/UmpC+ni3G" TargetMode="External"/><Relationship Id="rId6" Type="http://schemas.openxmlformats.org/officeDocument/2006/relationships/hyperlink" Target="https://paperpile.com/c/UgXsul/TAmB+REGd" TargetMode="External"/><Relationship Id="rId18" Type="http://schemas.openxmlformats.org/officeDocument/2006/relationships/hyperlink" Target="https://paperpile.com/c/UgXsul/XYt8" TargetMode="External"/><Relationship Id="rId7" Type="http://schemas.openxmlformats.org/officeDocument/2006/relationships/hyperlink" Target="https://paperpile.com/c/UgXsul/jrbk" TargetMode="External"/><Relationship Id="rId8" Type="http://schemas.openxmlformats.org/officeDocument/2006/relationships/hyperlink" Target="https://paperpile.com/c/UgXsul/Lx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