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A8FB6" w14:textId="77777777" w:rsidR="00C40492" w:rsidRDefault="00C40492" w:rsidP="00C40492">
      <w:pPr>
        <w:spacing w:line="480" w:lineRule="auto"/>
        <w:jc w:val="both"/>
        <w:rPr>
          <w:rFonts w:cstheme="minorHAnsi"/>
          <w:b/>
          <w:bCs/>
        </w:rPr>
      </w:pPr>
      <w:bookmarkStart w:id="0" w:name="_GoBack"/>
      <w:bookmarkEnd w:id="0"/>
      <w:r w:rsidRPr="002D0BB0">
        <w:rPr>
          <w:rFonts w:cstheme="minorHAnsi"/>
          <w:b/>
          <w:bCs/>
        </w:rPr>
        <w:t>SUPPLEMENTAL</w:t>
      </w:r>
      <w:r>
        <w:rPr>
          <w:rFonts w:cstheme="minorHAnsi"/>
          <w:b/>
          <w:bCs/>
        </w:rPr>
        <w:t xml:space="preserve"> </w:t>
      </w:r>
      <w:r w:rsidRPr="002D0BB0">
        <w:rPr>
          <w:rFonts w:cstheme="minorHAnsi"/>
          <w:b/>
          <w:bCs/>
        </w:rPr>
        <w:t>DATA</w:t>
      </w:r>
    </w:p>
    <w:p w14:paraId="0747F656" w14:textId="77777777" w:rsidR="00C40492" w:rsidRPr="002D0BB0" w:rsidRDefault="00C40492" w:rsidP="00C40492">
      <w:pPr>
        <w:spacing w:line="480" w:lineRule="auto"/>
        <w:jc w:val="both"/>
        <w:rPr>
          <w:rFonts w:cstheme="minorHAnsi"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653EDF94" wp14:editId="3814237B">
            <wp:extent cx="5943600" cy="5965190"/>
            <wp:effectExtent l="0" t="0" r="0" b="3810"/>
            <wp:docPr id="18" name="Picture 1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6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D0BB0">
        <w:rPr>
          <w:rFonts w:cstheme="minorHAnsi"/>
          <w:b/>
          <w:bCs/>
        </w:rPr>
        <w:t xml:space="preserve">Figure S1: Metabolomic and stable isotope data for glycolysis. </w:t>
      </w:r>
      <w:r w:rsidRPr="002D0BB0">
        <w:rPr>
          <w:rFonts w:cstheme="minorHAnsi"/>
        </w:rPr>
        <w:t xml:space="preserve">A) Metabolomic data for glycolytic intermediates. T cells were activated for 24 hours as indicated above. Cell pellets were collected and sent for metabolomic analysis. Metabolites were normalized to protein levels. N = 10 mice/condition. B) Metabolomic data for pentose phosphate pathway intermediates. T cells were activated for 24 hours as indicated above. Cell pellets were collected and sent for </w:t>
      </w:r>
      <w:r w:rsidRPr="002D0BB0">
        <w:rPr>
          <w:rFonts w:cstheme="minorHAnsi"/>
        </w:rPr>
        <w:lastRenderedPageBreak/>
        <w:t xml:space="preserve">metabolomic analysis. Metabolites were normalized to protein levels. N = 10 mice/condition. </w:t>
      </w:r>
      <w:r>
        <w:rPr>
          <w:rFonts w:cstheme="minorHAnsi"/>
        </w:rPr>
        <w:t>C</w:t>
      </w:r>
      <w:r w:rsidRPr="002D0BB0">
        <w:rPr>
          <w:rFonts w:cstheme="minorHAnsi"/>
        </w:rPr>
        <w:t xml:space="preserve">) TCA cycle isotopologues following </w:t>
      </w:r>
      <w:r w:rsidRPr="002D0BB0">
        <w:rPr>
          <w:rFonts w:cstheme="minorHAnsi"/>
          <w:vertAlign w:val="superscript"/>
        </w:rPr>
        <w:t>13</w:t>
      </w:r>
      <w:r w:rsidRPr="002D0BB0">
        <w:rPr>
          <w:rFonts w:cstheme="minorHAnsi"/>
        </w:rPr>
        <w:t>C-glucose in activated T cells for 24 hours. N = 3 mice/condition.  Central line = mean, error bars = standard error of the mean.</w:t>
      </w:r>
    </w:p>
    <w:p w14:paraId="6EC20413" w14:textId="77777777" w:rsidR="00C40492" w:rsidRPr="002D0BB0" w:rsidRDefault="00C40492" w:rsidP="00C40492">
      <w:pPr>
        <w:spacing w:line="480" w:lineRule="auto"/>
        <w:jc w:val="both"/>
        <w:rPr>
          <w:rFonts w:cstheme="minorHAnsi"/>
        </w:rPr>
      </w:pPr>
    </w:p>
    <w:p w14:paraId="24234E01" w14:textId="77777777" w:rsidR="00C40492" w:rsidRPr="002D0BB0" w:rsidRDefault="00C40492" w:rsidP="00C40492">
      <w:pPr>
        <w:spacing w:line="480" w:lineRule="auto"/>
        <w:jc w:val="both"/>
        <w:rPr>
          <w:rFonts w:cstheme="minorHAnsi"/>
          <w:b/>
          <w:bCs/>
        </w:rPr>
      </w:pPr>
      <w:r w:rsidRPr="002D0BB0">
        <w:rPr>
          <w:rFonts w:cstheme="minorHAnsi"/>
          <w:b/>
          <w:bCs/>
        </w:rPr>
        <w:br w:type="page"/>
      </w:r>
    </w:p>
    <w:p w14:paraId="79745500" w14:textId="77777777" w:rsidR="00C40492" w:rsidRPr="002D0BB0" w:rsidRDefault="00C40492" w:rsidP="00C40492">
      <w:pPr>
        <w:spacing w:line="480" w:lineRule="auto"/>
        <w:jc w:val="both"/>
        <w:rPr>
          <w:rFonts w:cstheme="minorHAnsi"/>
        </w:rPr>
      </w:pPr>
      <w:r>
        <w:rPr>
          <w:rFonts w:cstheme="minorHAnsi"/>
          <w:b/>
          <w:bCs/>
          <w:noProof/>
        </w:rPr>
        <w:lastRenderedPageBreak/>
        <w:drawing>
          <wp:inline distT="0" distB="0" distL="0" distR="0" wp14:anchorId="77A2030B" wp14:editId="1D5BA347">
            <wp:extent cx="5943600" cy="6041390"/>
            <wp:effectExtent l="0" t="0" r="0" b="3810"/>
            <wp:docPr id="1605029070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029070" name="Picture 1" descr="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4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D0BB0">
        <w:rPr>
          <w:rFonts w:cstheme="minorHAnsi"/>
          <w:b/>
          <w:bCs/>
        </w:rPr>
        <w:t xml:space="preserve">Figure S2: Metabolomic and stable isotope data for TCA cycle. </w:t>
      </w:r>
      <w:r w:rsidRPr="002D0BB0">
        <w:rPr>
          <w:rFonts w:cstheme="minorHAnsi"/>
        </w:rPr>
        <w:t xml:space="preserve">A) Metabolomic data for TCA cycle intermediates. T cells were activated for 24 hours as indicated above. Cell pellets were collected and sent for metabolomic analysis. Metabolites were normalized to protein levels. N = 10 mice/condition. B) Cartoon of anaplerotic amino acids in the TCA cycle. </w:t>
      </w:r>
      <w:r>
        <w:rPr>
          <w:rFonts w:cstheme="minorHAnsi"/>
        </w:rPr>
        <w:t>C</w:t>
      </w:r>
      <w:r w:rsidRPr="002D0BB0">
        <w:rPr>
          <w:rFonts w:cstheme="minorHAnsi"/>
        </w:rPr>
        <w:t xml:space="preserve">) TCA cycle isotopologues following </w:t>
      </w:r>
      <w:r w:rsidRPr="002D0BB0">
        <w:rPr>
          <w:rFonts w:cstheme="minorHAnsi"/>
          <w:vertAlign w:val="superscript"/>
        </w:rPr>
        <w:t>13</w:t>
      </w:r>
      <w:r w:rsidRPr="002D0BB0">
        <w:rPr>
          <w:rFonts w:cstheme="minorHAnsi"/>
        </w:rPr>
        <w:t xml:space="preserve">C-glutamine in activated T cells for 24 hours. N = 3 mice/condition. </w:t>
      </w:r>
      <w:r>
        <w:rPr>
          <w:rFonts w:cstheme="minorHAnsi"/>
        </w:rPr>
        <w:t>D</w:t>
      </w:r>
      <w:r w:rsidRPr="002D0BB0">
        <w:rPr>
          <w:rFonts w:cstheme="minorHAnsi"/>
        </w:rPr>
        <w:t xml:space="preserve">) </w:t>
      </w:r>
      <w:r w:rsidRPr="002D0BB0">
        <w:rPr>
          <w:rFonts w:cstheme="minorHAnsi"/>
        </w:rPr>
        <w:lastRenderedPageBreak/>
        <w:t xml:space="preserve">Metabolomics for cellular amino acids. </w:t>
      </w:r>
      <w:r w:rsidRPr="002D0BB0">
        <w:rPr>
          <w:rFonts w:cstheme="minorHAnsi"/>
          <w:i/>
          <w:iCs/>
        </w:rPr>
        <w:t>TPdh</w:t>
      </w:r>
      <w:r w:rsidRPr="002D0BB0">
        <w:rPr>
          <w:rFonts w:cstheme="minorHAnsi"/>
          <w:i/>
          <w:iCs/>
          <w:vertAlign w:val="superscript"/>
        </w:rPr>
        <w:t>-/-</w:t>
      </w:r>
      <w:r w:rsidRPr="002D0BB0">
        <w:rPr>
          <w:rFonts w:cstheme="minorHAnsi"/>
        </w:rPr>
        <w:t xml:space="preserve"> amino acids were normalized to WT and represented as Z-scores due to diverse ranges of amino acid concentrations. N = 10 mice/condition. E) Extracellular flux analysis of WT and </w:t>
      </w:r>
      <w:r w:rsidRPr="002D0BB0">
        <w:rPr>
          <w:rFonts w:cstheme="minorHAnsi"/>
          <w:i/>
          <w:iCs/>
        </w:rPr>
        <w:t>TPdh</w:t>
      </w:r>
      <w:r w:rsidRPr="002D0BB0">
        <w:rPr>
          <w:rFonts w:cstheme="minorHAnsi"/>
          <w:i/>
          <w:iCs/>
          <w:vertAlign w:val="superscript"/>
        </w:rPr>
        <w:t xml:space="preserve">-/- </w:t>
      </w:r>
      <w:r w:rsidRPr="002D0BB0">
        <w:rPr>
          <w:rFonts w:cstheme="minorHAnsi"/>
        </w:rPr>
        <w:t>T cells using palmitate as a substrate.  N = 4 mice/condition. Error bars = SEM. * P &lt; 0.05. Central line = mean, error bars = standard error of the mean.</w:t>
      </w:r>
    </w:p>
    <w:p w14:paraId="7EEDDCA1" w14:textId="77777777" w:rsidR="00C40492" w:rsidRPr="002D0BB0" w:rsidRDefault="00C40492" w:rsidP="00C40492">
      <w:pPr>
        <w:spacing w:line="480" w:lineRule="auto"/>
        <w:jc w:val="both"/>
        <w:rPr>
          <w:rFonts w:cstheme="minorHAnsi"/>
        </w:rPr>
      </w:pPr>
    </w:p>
    <w:p w14:paraId="0636019B" w14:textId="77777777" w:rsidR="00C40492" w:rsidRPr="002D0BB0" w:rsidRDefault="00C40492" w:rsidP="00C40492">
      <w:pPr>
        <w:spacing w:line="480" w:lineRule="auto"/>
        <w:jc w:val="both"/>
        <w:rPr>
          <w:rFonts w:cstheme="minorHAnsi"/>
          <w:b/>
          <w:bCs/>
        </w:rPr>
      </w:pPr>
      <w:r w:rsidRPr="002D0BB0">
        <w:rPr>
          <w:rFonts w:cstheme="minorHAnsi"/>
          <w:b/>
          <w:bCs/>
        </w:rPr>
        <w:br w:type="page"/>
      </w:r>
    </w:p>
    <w:p w14:paraId="60E84730" w14:textId="77777777" w:rsidR="00C40492" w:rsidRDefault="00C40492" w:rsidP="00C40492">
      <w:pPr>
        <w:spacing w:line="48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lastRenderedPageBreak/>
        <w:drawing>
          <wp:inline distT="0" distB="0" distL="0" distR="0" wp14:anchorId="5F938C05" wp14:editId="3A6F829E">
            <wp:extent cx="3692525" cy="4097867"/>
            <wp:effectExtent l="0" t="0" r="3175" b="4445"/>
            <wp:docPr id="2" name="Picture 2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, engineering drawing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206"/>
                    <a:stretch/>
                  </pic:blipFill>
                  <pic:spPr bwMode="auto">
                    <a:xfrm>
                      <a:off x="0" y="0"/>
                      <a:ext cx="3692525" cy="40978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FFD8E6" w14:textId="77777777" w:rsidR="00C40492" w:rsidRDefault="00C40492" w:rsidP="00C40492">
      <w:pPr>
        <w:spacing w:line="480" w:lineRule="auto"/>
        <w:jc w:val="both"/>
        <w:rPr>
          <w:rFonts w:cstheme="minorHAnsi"/>
          <w:b/>
          <w:bCs/>
        </w:rPr>
      </w:pPr>
    </w:p>
    <w:p w14:paraId="7730CEEF" w14:textId="77777777" w:rsidR="00C40492" w:rsidRPr="002D0BB0" w:rsidRDefault="00C40492" w:rsidP="00C40492">
      <w:pPr>
        <w:spacing w:line="480" w:lineRule="auto"/>
        <w:jc w:val="both"/>
        <w:rPr>
          <w:rFonts w:cstheme="minorHAnsi"/>
        </w:rPr>
      </w:pPr>
      <w:r w:rsidRPr="002D0BB0">
        <w:rPr>
          <w:rFonts w:cstheme="minorHAnsi"/>
          <w:b/>
          <w:bCs/>
        </w:rPr>
        <w:t xml:space="preserve">Figure S3: </w:t>
      </w:r>
      <w:r w:rsidRPr="002D0BB0">
        <w:rPr>
          <w:rFonts w:cstheme="minorHAnsi"/>
          <w:b/>
          <w:bCs/>
          <w:i/>
          <w:iCs/>
        </w:rPr>
        <w:t>TPdh</w:t>
      </w:r>
      <w:r w:rsidRPr="002D0BB0">
        <w:rPr>
          <w:rFonts w:cstheme="minorHAnsi"/>
          <w:b/>
          <w:bCs/>
          <w:i/>
          <w:iCs/>
          <w:vertAlign w:val="superscript"/>
        </w:rPr>
        <w:t>-/-</w:t>
      </w:r>
      <w:r w:rsidRPr="002D0BB0">
        <w:rPr>
          <w:rFonts w:cstheme="minorHAnsi"/>
          <w:b/>
          <w:bCs/>
        </w:rPr>
        <w:t xml:space="preserve"> T cell differentiation.</w:t>
      </w:r>
      <w:r w:rsidRPr="002D0BB0">
        <w:rPr>
          <w:rFonts w:cstheme="minorHAnsi"/>
        </w:rPr>
        <w:t xml:space="preserve"> </w:t>
      </w:r>
      <w:r>
        <w:rPr>
          <w:rFonts w:cstheme="minorHAnsi"/>
        </w:rPr>
        <w:t>A</w:t>
      </w:r>
      <w:r w:rsidRPr="002D0BB0">
        <w:rPr>
          <w:rFonts w:cstheme="minorHAnsi"/>
        </w:rPr>
        <w:t>) T</w:t>
      </w:r>
      <w:r w:rsidRPr="002D0BB0">
        <w:rPr>
          <w:rFonts w:cstheme="minorHAnsi"/>
          <w:vertAlign w:val="subscript"/>
        </w:rPr>
        <w:t>E</w:t>
      </w:r>
      <w:r w:rsidRPr="002D0BB0">
        <w:rPr>
          <w:rFonts w:cstheme="minorHAnsi"/>
        </w:rPr>
        <w:t xml:space="preserve"> and T</w:t>
      </w:r>
      <w:r w:rsidRPr="002D0BB0">
        <w:rPr>
          <w:rFonts w:cstheme="minorHAnsi"/>
          <w:vertAlign w:val="subscript"/>
        </w:rPr>
        <w:t>M</w:t>
      </w:r>
      <w:r w:rsidRPr="002D0BB0">
        <w:rPr>
          <w:rFonts w:cstheme="minorHAnsi"/>
        </w:rPr>
        <w:t xml:space="preserve"> differentiation protocol. C) Granzyme B expression in T</w:t>
      </w:r>
      <w:r w:rsidRPr="002D0BB0">
        <w:rPr>
          <w:rFonts w:cstheme="minorHAnsi"/>
          <w:vertAlign w:val="subscript"/>
        </w:rPr>
        <w:t>M</w:t>
      </w:r>
      <w:r w:rsidRPr="002D0BB0">
        <w:rPr>
          <w:rFonts w:cstheme="minorHAnsi"/>
        </w:rPr>
        <w:t xml:space="preserve"> cells. TM cells were differentiated as </w:t>
      </w:r>
      <w:proofErr w:type="gramStart"/>
      <w:r w:rsidRPr="002D0BB0">
        <w:rPr>
          <w:rFonts w:cstheme="minorHAnsi"/>
        </w:rPr>
        <w:t>above</w:t>
      </w:r>
      <w:proofErr w:type="gramEnd"/>
      <w:r w:rsidRPr="002D0BB0">
        <w:rPr>
          <w:rFonts w:cstheme="minorHAnsi"/>
        </w:rPr>
        <w:t xml:space="preserve"> and Genzyme B (GZMB) expression was determined by flow cytometry. N = 4 mice/condition. **** P &lt; 0.0001. Central line = mean, error bars = standard error of the mean.</w:t>
      </w:r>
    </w:p>
    <w:p w14:paraId="267FAFCC" w14:textId="77777777" w:rsidR="00C40492" w:rsidRPr="002D0BB0" w:rsidRDefault="00C40492" w:rsidP="00C40492">
      <w:pPr>
        <w:spacing w:line="480" w:lineRule="auto"/>
        <w:jc w:val="both"/>
        <w:rPr>
          <w:rFonts w:cstheme="minorHAnsi"/>
        </w:rPr>
      </w:pPr>
    </w:p>
    <w:p w14:paraId="0B87DA16" w14:textId="77777777" w:rsidR="00C40492" w:rsidRPr="002D0BB0" w:rsidRDefault="00C40492" w:rsidP="00C40492">
      <w:pPr>
        <w:spacing w:line="480" w:lineRule="auto"/>
        <w:jc w:val="both"/>
        <w:rPr>
          <w:rFonts w:cstheme="minorHAnsi"/>
        </w:rPr>
      </w:pPr>
      <w:r w:rsidRPr="002D0BB0">
        <w:rPr>
          <w:rFonts w:cstheme="minorHAnsi"/>
        </w:rPr>
        <w:br w:type="page"/>
      </w:r>
    </w:p>
    <w:p w14:paraId="75C64193" w14:textId="77777777" w:rsidR="00C40492" w:rsidRDefault="00C40492" w:rsidP="00C40492">
      <w:pPr>
        <w:spacing w:line="480" w:lineRule="auto"/>
        <w:jc w:val="both"/>
        <w:rPr>
          <w:rFonts w:cstheme="minorHAnsi"/>
        </w:rPr>
      </w:pPr>
    </w:p>
    <w:p w14:paraId="51CE9E76" w14:textId="77777777" w:rsidR="00C40492" w:rsidRDefault="00C40492" w:rsidP="00C40492">
      <w:pPr>
        <w:spacing w:line="48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62F2C954" wp14:editId="172284DE">
            <wp:extent cx="5943600" cy="5633720"/>
            <wp:effectExtent l="0" t="0" r="0" b="5080"/>
            <wp:docPr id="3" name="Picture 3" descr="Chart, pi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pie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3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1EAA8" w14:textId="77777777" w:rsidR="00C40492" w:rsidRDefault="00C40492" w:rsidP="00C40492">
      <w:pPr>
        <w:spacing w:line="480" w:lineRule="auto"/>
        <w:jc w:val="both"/>
        <w:rPr>
          <w:rFonts w:cstheme="minorHAnsi"/>
          <w:b/>
          <w:bCs/>
        </w:rPr>
      </w:pPr>
    </w:p>
    <w:p w14:paraId="24B42E69" w14:textId="77777777" w:rsidR="00C40492" w:rsidRDefault="00C40492" w:rsidP="00C40492">
      <w:pPr>
        <w:spacing w:line="480" w:lineRule="auto"/>
        <w:jc w:val="both"/>
        <w:rPr>
          <w:rFonts w:cstheme="minorHAnsi"/>
        </w:rPr>
      </w:pPr>
      <w:r w:rsidRPr="009777B6">
        <w:rPr>
          <w:rFonts w:cstheme="minorHAnsi"/>
          <w:b/>
          <w:bCs/>
        </w:rPr>
        <w:t>Figure S</w:t>
      </w:r>
      <w:r>
        <w:rPr>
          <w:rFonts w:cstheme="minorHAnsi"/>
          <w:b/>
          <w:bCs/>
        </w:rPr>
        <w:t>4</w:t>
      </w:r>
      <w:r w:rsidRPr="009777B6">
        <w:rPr>
          <w:rFonts w:cstheme="minorHAnsi"/>
          <w:b/>
          <w:bCs/>
        </w:rPr>
        <w:t>: Genomic data for T</w:t>
      </w:r>
      <w:r w:rsidRPr="009777B6">
        <w:rPr>
          <w:rFonts w:cstheme="minorHAnsi"/>
          <w:b/>
          <w:bCs/>
          <w:vertAlign w:val="subscript"/>
        </w:rPr>
        <w:t>M</w:t>
      </w:r>
      <w:r w:rsidRPr="009777B6">
        <w:rPr>
          <w:rFonts w:cstheme="minorHAnsi"/>
          <w:b/>
          <w:bCs/>
        </w:rPr>
        <w:t xml:space="preserve"> cells</w:t>
      </w:r>
      <w:r>
        <w:rPr>
          <w:rFonts w:cstheme="minorHAnsi"/>
          <w:b/>
          <w:bCs/>
        </w:rPr>
        <w:t xml:space="preserve">. </w:t>
      </w:r>
      <w:r>
        <w:rPr>
          <w:rFonts w:cstheme="minorHAnsi"/>
        </w:rPr>
        <w:t>Splenic T cells were differentiated into T</w:t>
      </w:r>
      <w:r w:rsidRPr="006832D6">
        <w:rPr>
          <w:rFonts w:cstheme="minorHAnsi"/>
          <w:vertAlign w:val="subscript"/>
        </w:rPr>
        <w:t>M</w:t>
      </w:r>
      <w:r>
        <w:rPr>
          <w:rFonts w:cstheme="minorHAnsi"/>
        </w:rPr>
        <w:t xml:space="preserve"> cells using established protocols. RNA/DNA was extracted/immoprecipitated and submitted for analyses. A) MA plot for ChIPseq analyses. </w:t>
      </w:r>
      <w:r w:rsidRPr="002C269A">
        <w:rPr>
          <w:rFonts w:cstheme="minorHAnsi"/>
        </w:rPr>
        <w:t>Each point in MA</w:t>
      </w:r>
      <w:r>
        <w:rPr>
          <w:rFonts w:cstheme="minorHAnsi"/>
        </w:rPr>
        <w:t xml:space="preserve"> </w:t>
      </w:r>
      <w:r w:rsidRPr="002C269A">
        <w:rPr>
          <w:rFonts w:cstheme="minorHAnsi"/>
        </w:rPr>
        <w:t xml:space="preserve">plot represents a binding site. Points in pink </w:t>
      </w:r>
      <w:r w:rsidRPr="002C269A">
        <w:rPr>
          <w:rFonts w:cstheme="minorHAnsi"/>
        </w:rPr>
        <w:lastRenderedPageBreak/>
        <w:t>represent sites identified by DESeq2 as differentially bound with FDR &lt; 0.05</w:t>
      </w:r>
      <w:r>
        <w:rPr>
          <w:rFonts w:cstheme="minorHAnsi"/>
        </w:rPr>
        <w:t>.</w:t>
      </w:r>
      <w:r w:rsidRPr="002C269A">
        <w:rPr>
          <w:rFonts w:cstheme="minorHAnsi"/>
        </w:rPr>
        <w:t xml:space="preserve"> </w:t>
      </w:r>
      <w:r>
        <w:rPr>
          <w:rFonts w:cstheme="minorHAnsi"/>
        </w:rPr>
        <w:t xml:space="preserve">B) Locations of open regions of chromatin for ATACseq. </w:t>
      </w:r>
    </w:p>
    <w:p w14:paraId="2E520A8D" w14:textId="191FE20C" w:rsidR="005A7AA4" w:rsidRPr="00C40492" w:rsidRDefault="005A7AA4" w:rsidP="00C40492">
      <w:pPr>
        <w:spacing w:line="480" w:lineRule="auto"/>
        <w:jc w:val="both"/>
        <w:rPr>
          <w:rFonts w:cstheme="minorHAnsi"/>
        </w:rPr>
      </w:pPr>
    </w:p>
    <w:sectPr w:rsidR="005A7AA4" w:rsidRPr="00C40492" w:rsidSect="00CE0CBC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43608494"/>
      <w:docPartObj>
        <w:docPartGallery w:val="Page Numbers (Bottom of Page)"/>
        <w:docPartUnique/>
      </w:docPartObj>
    </w:sdtPr>
    <w:sdtContent>
      <w:p w14:paraId="224FFAF6" w14:textId="77777777" w:rsidR="001D5A09" w:rsidRDefault="00000000" w:rsidP="00E343C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15B7FB0" w14:textId="77777777" w:rsidR="001D5A09" w:rsidRDefault="00000000" w:rsidP="001D5A0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2052841"/>
      <w:docPartObj>
        <w:docPartGallery w:val="Page Numbers (Bottom of Page)"/>
        <w:docPartUnique/>
      </w:docPartObj>
    </w:sdtPr>
    <w:sdtContent>
      <w:p w14:paraId="1D9BE073" w14:textId="77777777" w:rsidR="001D5A09" w:rsidRDefault="00000000" w:rsidP="00E343C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FFE67C0" w14:textId="77777777" w:rsidR="001D5A09" w:rsidRDefault="00000000" w:rsidP="001D5A09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7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492"/>
    <w:rsid w:val="00007407"/>
    <w:rsid w:val="000253EF"/>
    <w:rsid w:val="00033526"/>
    <w:rsid w:val="00062030"/>
    <w:rsid w:val="00063DEB"/>
    <w:rsid w:val="00094557"/>
    <w:rsid w:val="001054E2"/>
    <w:rsid w:val="00110CD9"/>
    <w:rsid w:val="00122781"/>
    <w:rsid w:val="00180CD6"/>
    <w:rsid w:val="001F3D35"/>
    <w:rsid w:val="001F5BDA"/>
    <w:rsid w:val="00247214"/>
    <w:rsid w:val="0029438D"/>
    <w:rsid w:val="00297F9A"/>
    <w:rsid w:val="002B58B2"/>
    <w:rsid w:val="002C5025"/>
    <w:rsid w:val="002E463E"/>
    <w:rsid w:val="002F3945"/>
    <w:rsid w:val="00335A67"/>
    <w:rsid w:val="00353307"/>
    <w:rsid w:val="00371FA7"/>
    <w:rsid w:val="00374652"/>
    <w:rsid w:val="00402BA9"/>
    <w:rsid w:val="00420A96"/>
    <w:rsid w:val="004353B3"/>
    <w:rsid w:val="00465B32"/>
    <w:rsid w:val="00476BDD"/>
    <w:rsid w:val="0048413B"/>
    <w:rsid w:val="0050793B"/>
    <w:rsid w:val="00523FAA"/>
    <w:rsid w:val="0052780A"/>
    <w:rsid w:val="00567173"/>
    <w:rsid w:val="005A7AA4"/>
    <w:rsid w:val="005E260C"/>
    <w:rsid w:val="006115A6"/>
    <w:rsid w:val="00615CB1"/>
    <w:rsid w:val="006206D3"/>
    <w:rsid w:val="00620C7A"/>
    <w:rsid w:val="00624873"/>
    <w:rsid w:val="00662546"/>
    <w:rsid w:val="00694A58"/>
    <w:rsid w:val="006A064E"/>
    <w:rsid w:val="006A6853"/>
    <w:rsid w:val="006C2F09"/>
    <w:rsid w:val="00707128"/>
    <w:rsid w:val="00713997"/>
    <w:rsid w:val="0077614B"/>
    <w:rsid w:val="007B6063"/>
    <w:rsid w:val="00862DC1"/>
    <w:rsid w:val="00897797"/>
    <w:rsid w:val="008A2A5D"/>
    <w:rsid w:val="008A4863"/>
    <w:rsid w:val="008B0554"/>
    <w:rsid w:val="008B145F"/>
    <w:rsid w:val="008B43DB"/>
    <w:rsid w:val="008C0B63"/>
    <w:rsid w:val="008F4068"/>
    <w:rsid w:val="00925DF7"/>
    <w:rsid w:val="009278DF"/>
    <w:rsid w:val="009377C9"/>
    <w:rsid w:val="00973129"/>
    <w:rsid w:val="00976259"/>
    <w:rsid w:val="00992340"/>
    <w:rsid w:val="009D7EB0"/>
    <w:rsid w:val="009E6230"/>
    <w:rsid w:val="00A2386A"/>
    <w:rsid w:val="00A54286"/>
    <w:rsid w:val="00AF2E39"/>
    <w:rsid w:val="00B03AE8"/>
    <w:rsid w:val="00B0653C"/>
    <w:rsid w:val="00B1253C"/>
    <w:rsid w:val="00BC0BA7"/>
    <w:rsid w:val="00BC7AE9"/>
    <w:rsid w:val="00C104E4"/>
    <w:rsid w:val="00C12E2A"/>
    <w:rsid w:val="00C133A0"/>
    <w:rsid w:val="00C249CB"/>
    <w:rsid w:val="00C40492"/>
    <w:rsid w:val="00C772EE"/>
    <w:rsid w:val="00C83636"/>
    <w:rsid w:val="00CC28D9"/>
    <w:rsid w:val="00CC37F7"/>
    <w:rsid w:val="00CC6423"/>
    <w:rsid w:val="00D00223"/>
    <w:rsid w:val="00D71360"/>
    <w:rsid w:val="00D84081"/>
    <w:rsid w:val="00DC1858"/>
    <w:rsid w:val="00E4219E"/>
    <w:rsid w:val="00E44C64"/>
    <w:rsid w:val="00E94231"/>
    <w:rsid w:val="00EB4A8C"/>
    <w:rsid w:val="00EC5297"/>
    <w:rsid w:val="00ED5694"/>
    <w:rsid w:val="00ED6A45"/>
    <w:rsid w:val="00EF1771"/>
    <w:rsid w:val="00EF5714"/>
    <w:rsid w:val="00F21C68"/>
    <w:rsid w:val="00F51BFE"/>
    <w:rsid w:val="00F8264B"/>
    <w:rsid w:val="00FA66F9"/>
    <w:rsid w:val="00FB03CC"/>
    <w:rsid w:val="00FD081A"/>
    <w:rsid w:val="00FD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1432EB"/>
  <w15:chartTrackingRefBased/>
  <w15:docId w15:val="{9F00C58A-2222-AC47-ACA2-983824C52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492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C40492"/>
  </w:style>
  <w:style w:type="paragraph" w:styleId="Footer">
    <w:name w:val="footer"/>
    <w:basedOn w:val="Normal"/>
    <w:link w:val="FooterChar"/>
    <w:uiPriority w:val="99"/>
    <w:unhideWhenUsed/>
    <w:rsid w:val="00C404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0492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C404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McGuire, Peter (NIH/NHGRI) [E]</dc:creator>
  <cp:keywords/>
  <dc:description/>
  <cp:lastModifiedBy>McGuire, Peter (NIH/NHGRI) [E]</cp:lastModifiedBy>
  <cp:revision>1</cp:revision>
  <dcterms:created xsi:type="dcterms:W3CDTF">2023-05-03T13:39:00Z</dcterms:created>
  <dcterms:modified xsi:type="dcterms:W3CDTF">2023-05-03T13:40:00Z</dcterms:modified>
</cp:coreProperties>
</file>