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677CB7" w14:textId="001D57B8" w:rsidR="00597167" w:rsidRPr="001C3DEE" w:rsidRDefault="00597167">
      <w:pPr>
        <w:rPr>
          <w:b/>
          <w:bCs/>
        </w:rPr>
      </w:pPr>
      <w:bookmarkStart w:id="0" w:name="_GoBack"/>
      <w:bookmarkEnd w:id="0"/>
      <w:r w:rsidRPr="001C3DEE">
        <w:rPr>
          <w:b/>
          <w:bCs/>
        </w:rPr>
        <w:t>Figure legends</w:t>
      </w:r>
    </w:p>
    <w:p w14:paraId="55C29474" w14:textId="01E7322E" w:rsidR="001C3DEE" w:rsidRDefault="001C3DEE" w:rsidP="001C3DEE">
      <w:pPr>
        <w:jc w:val="both"/>
      </w:pPr>
      <w:r w:rsidRPr="00342062">
        <w:rPr>
          <w:b/>
          <w:bCs/>
        </w:rPr>
        <w:t>Fig.</w:t>
      </w:r>
      <w:r w:rsidRPr="00342062">
        <w:rPr>
          <w:b/>
          <w:bCs/>
          <w:cs/>
        </w:rPr>
        <w:t xml:space="preserve"> 1:</w:t>
      </w:r>
      <w:r w:rsidRPr="00342062">
        <w:rPr>
          <w:b/>
          <w:bCs/>
        </w:rPr>
        <w:t xml:space="preserve"> LCB</w:t>
      </w:r>
      <w:r w:rsidRPr="00342062">
        <w:rPr>
          <w:b/>
          <w:bCs/>
          <w:cs/>
        </w:rPr>
        <w:t xml:space="preserve"> </w:t>
      </w:r>
      <w:r w:rsidRPr="00342062">
        <w:rPr>
          <w:b/>
          <w:bCs/>
        </w:rPr>
        <w:t>inhibit</w:t>
      </w:r>
      <w:r>
        <w:rPr>
          <w:b/>
          <w:bCs/>
        </w:rPr>
        <w:t xml:space="preserve">s adipogenesis </w:t>
      </w:r>
      <w:r w:rsidRPr="004800C0">
        <w:rPr>
          <w:b/>
          <w:bCs/>
        </w:rPr>
        <w:t>in a dose-dependent manner</w:t>
      </w:r>
      <w:r w:rsidRPr="00342062">
        <w:rPr>
          <w:b/>
          <w:bCs/>
        </w:rPr>
        <w:t xml:space="preserve">. </w:t>
      </w:r>
      <w:r>
        <w:t xml:space="preserve"> Pre-adipocytes </w:t>
      </w:r>
      <w:r w:rsidRPr="00C51866">
        <w:rPr>
          <w:b/>
          <w:bCs/>
        </w:rPr>
        <w:t>(A)</w:t>
      </w:r>
      <w:r>
        <w:t xml:space="preserve">, fully differentiated adipocytes </w:t>
      </w:r>
      <w:r w:rsidRPr="00C51866">
        <w:rPr>
          <w:b/>
          <w:bCs/>
        </w:rPr>
        <w:t>(B)</w:t>
      </w:r>
      <w:r>
        <w:t xml:space="preserve">, differentiating adipocytes treated with uncoated beads </w:t>
      </w:r>
      <w:r w:rsidR="00B9096A">
        <w:t xml:space="preserve">(1:150 cells:UC) </w:t>
      </w:r>
      <w:r w:rsidRPr="00C51866">
        <w:rPr>
          <w:b/>
          <w:bCs/>
        </w:rPr>
        <w:t>(C)</w:t>
      </w:r>
      <w:r>
        <w:t>, 100 ng/mL LPS</w:t>
      </w:r>
      <w:r w:rsidRPr="00C51866">
        <w:rPr>
          <w:b/>
          <w:bCs/>
        </w:rPr>
        <w:t xml:space="preserve"> (D)</w:t>
      </w:r>
      <w:r>
        <w:t xml:space="preserve">, and an increasing amount of LCB (1:50, 1:100, and 1:150 cells:LCB ratios in </w:t>
      </w:r>
      <w:r w:rsidRPr="00C51866">
        <w:rPr>
          <w:b/>
          <w:bCs/>
        </w:rPr>
        <w:t>E-</w:t>
      </w:r>
      <w:r w:rsidR="00C322CD">
        <w:rPr>
          <w:b/>
          <w:bCs/>
        </w:rPr>
        <w:t>G</w:t>
      </w:r>
      <w:r>
        <w:t>) were stained with Oil Red O dye, which binds to triglycerides in the cells.  LPS, a known adipogenic inhibitor</w:t>
      </w:r>
      <w:r w:rsidR="009815C1">
        <w:t>,</w:t>
      </w:r>
      <w:r>
        <w:t xml:space="preserve"> and LCB were added to the cells from the beginning of differentiation and maintained throughout adipogenesis.  </w:t>
      </w:r>
      <w:r w:rsidRPr="006064DF">
        <w:rPr>
          <w:b/>
          <w:bCs/>
        </w:rPr>
        <w:t>(</w:t>
      </w:r>
      <w:r w:rsidR="00C322CD">
        <w:rPr>
          <w:b/>
          <w:bCs/>
        </w:rPr>
        <w:t>H</w:t>
      </w:r>
      <w:r w:rsidRPr="006064DF">
        <w:rPr>
          <w:b/>
          <w:bCs/>
        </w:rPr>
        <w:t>)</w:t>
      </w:r>
      <w:r>
        <w:t xml:space="preserve"> shows the spectrophotometric absorbance at 520 nm for the Oil Red O dye that binds to triglycerides in the cells.  The results are presented as the relative lipid accumulation percentages in respect to the PA set.  </w:t>
      </w:r>
      <w:r w:rsidRPr="004A2C9A">
        <w:rPr>
          <w:b/>
          <w:bCs/>
        </w:rPr>
        <w:t>(</w:t>
      </w:r>
      <w:r w:rsidR="00C322CD">
        <w:rPr>
          <w:b/>
          <w:bCs/>
        </w:rPr>
        <w:t>I</w:t>
      </w:r>
      <w:r w:rsidRPr="004A2C9A">
        <w:rPr>
          <w:b/>
          <w:bCs/>
        </w:rPr>
        <w:t>)</w:t>
      </w:r>
      <w:r>
        <w:t xml:space="preserve"> shows the quantitative measurement of the total triglycerides in the cells using the total triglyceride assay.  </w:t>
      </w:r>
      <w:r w:rsidRPr="00AC122C">
        <w:t>PA, UT, and UC are abbreviated for pre-adipocytes, unt</w:t>
      </w:r>
      <w:r>
        <w:t xml:space="preserve">reated, and uncoated beads, </w:t>
      </w:r>
      <w:r w:rsidRPr="00AC122C">
        <w:t>respectively</w:t>
      </w:r>
      <w:r>
        <w:t>.</w:t>
      </w:r>
    </w:p>
    <w:p w14:paraId="24C5FD5C" w14:textId="77777777" w:rsidR="001C3DEE" w:rsidRPr="00C27531" w:rsidRDefault="001C3DEE" w:rsidP="001C3DEE">
      <w:pPr>
        <w:jc w:val="both"/>
      </w:pPr>
    </w:p>
    <w:p w14:paraId="5A957661" w14:textId="28BC6B97" w:rsidR="001C3DEE" w:rsidRDefault="001C3DEE" w:rsidP="001C3DEE">
      <w:pPr>
        <w:jc w:val="both"/>
      </w:pPr>
      <w:r w:rsidRPr="00C27531">
        <w:rPr>
          <w:b/>
          <w:bCs/>
        </w:rPr>
        <w:t>Fig.</w:t>
      </w:r>
      <w:r w:rsidRPr="00C27531">
        <w:rPr>
          <w:b/>
          <w:bCs/>
          <w:cs/>
        </w:rPr>
        <w:t xml:space="preserve"> </w:t>
      </w:r>
      <w:r w:rsidRPr="00C27531">
        <w:rPr>
          <w:b/>
          <w:bCs/>
        </w:rPr>
        <w:t>2</w:t>
      </w:r>
      <w:r w:rsidRPr="00C27531">
        <w:rPr>
          <w:b/>
          <w:bCs/>
          <w:cs/>
        </w:rPr>
        <w:t xml:space="preserve">: </w:t>
      </w:r>
      <w:r w:rsidRPr="00C27531">
        <w:rPr>
          <w:b/>
          <w:bCs/>
        </w:rPr>
        <w:t>LCB</w:t>
      </w:r>
      <w:r w:rsidRPr="00C27531">
        <w:rPr>
          <w:b/>
          <w:bCs/>
          <w:cs/>
        </w:rPr>
        <w:t xml:space="preserve"> </w:t>
      </w:r>
      <w:r>
        <w:rPr>
          <w:b/>
          <w:bCs/>
        </w:rPr>
        <w:t>inhibits</w:t>
      </w:r>
      <w:r w:rsidRPr="00C27531">
        <w:rPr>
          <w:b/>
          <w:bCs/>
        </w:rPr>
        <w:t xml:space="preserve"> the expression of </w:t>
      </w:r>
      <w:r>
        <w:rPr>
          <w:b/>
          <w:bCs/>
        </w:rPr>
        <w:t xml:space="preserve">key </w:t>
      </w:r>
      <w:r w:rsidRPr="00C27531">
        <w:rPr>
          <w:b/>
          <w:bCs/>
        </w:rPr>
        <w:t xml:space="preserve">adipogenic </w:t>
      </w:r>
      <w:r>
        <w:rPr>
          <w:b/>
          <w:bCs/>
        </w:rPr>
        <w:t xml:space="preserve">transcription factors and enzymes in the differentiating 3T3-L1 adipocytes in a time-dependent manner. </w:t>
      </w:r>
      <w:r w:rsidRPr="00C27531">
        <w:rPr>
          <w:b/>
          <w:bCs/>
        </w:rPr>
        <w:t xml:space="preserve"> </w:t>
      </w:r>
      <w:r>
        <w:rPr>
          <w:b/>
          <w:bCs/>
        </w:rPr>
        <w:t>(</w:t>
      </w:r>
      <w:r w:rsidRPr="00C27531">
        <w:rPr>
          <w:b/>
          <w:bCs/>
        </w:rPr>
        <w:t>A</w:t>
      </w:r>
      <w:r>
        <w:rPr>
          <w:b/>
          <w:bCs/>
        </w:rPr>
        <w:t>)</w:t>
      </w:r>
      <w:r w:rsidR="002058AB">
        <w:rPr>
          <w:b/>
          <w:bCs/>
        </w:rPr>
        <w:t xml:space="preserve"> </w:t>
      </w:r>
      <w:r w:rsidR="002058AB">
        <w:t>shows</w:t>
      </w:r>
      <w:r>
        <w:rPr>
          <w:b/>
          <w:bCs/>
        </w:rPr>
        <w:t xml:space="preserve"> </w:t>
      </w:r>
      <w:r>
        <w:t xml:space="preserve">a </w:t>
      </w:r>
      <w:r w:rsidRPr="002B70CF">
        <w:t xml:space="preserve">representative Western blot </w:t>
      </w:r>
      <w:r>
        <w:t>data set performed using anti-C/EBP</w:t>
      </w:r>
      <w:r>
        <w:sym w:font="Symbol" w:char="F062"/>
      </w:r>
      <w:r>
        <w:t>, anti-C/EBP</w:t>
      </w:r>
      <w:r>
        <w:sym w:font="Symbol" w:char="F061"/>
      </w:r>
      <w:r>
        <w:t>, anti-PPAR</w:t>
      </w:r>
      <w:r>
        <w:sym w:font="Symbol" w:char="F067"/>
      </w:r>
      <w:r>
        <w:t>, anti-FAS, anti-FABP4, anti-ACC, and anti-</w:t>
      </w:r>
      <w:r>
        <w:sym w:font="Symbol" w:char="F062"/>
      </w:r>
      <w:r>
        <w:t>-actin antibodies.  The D/A medium, which initiates the differentiation, was added to the cells without or with LCB (1:150 cells:LCB).  Cells were collected on day</w:t>
      </w:r>
      <w:r w:rsidR="009815C1">
        <w:t>s</w:t>
      </w:r>
      <w:r>
        <w:t xml:space="preserve"> 0, 1, 3, 5, and 8 for the Western blot analysis.  </w:t>
      </w:r>
      <w:r>
        <w:sym w:font="Symbol" w:char="F062"/>
      </w:r>
      <w:r>
        <w:t xml:space="preserve">-actin serves as a loading control.  </w:t>
      </w:r>
      <w:r w:rsidRPr="00BE4932">
        <w:rPr>
          <w:b/>
          <w:bCs/>
        </w:rPr>
        <w:t>(B)</w:t>
      </w:r>
      <w:r>
        <w:t xml:space="preserve">, </w:t>
      </w:r>
      <w:r w:rsidRPr="00BE4932">
        <w:rPr>
          <w:b/>
          <w:bCs/>
        </w:rPr>
        <w:t>(C)</w:t>
      </w:r>
      <w:r>
        <w:t xml:space="preserve">, </w:t>
      </w:r>
      <w:r w:rsidRPr="00BE4932">
        <w:rPr>
          <w:b/>
          <w:bCs/>
        </w:rPr>
        <w:t>(D)</w:t>
      </w:r>
      <w:r>
        <w:t xml:space="preserve">, </w:t>
      </w:r>
      <w:r w:rsidRPr="00BE4932">
        <w:rPr>
          <w:b/>
          <w:bCs/>
        </w:rPr>
        <w:t>(E)</w:t>
      </w:r>
      <w:r>
        <w:t xml:space="preserve">, </w:t>
      </w:r>
      <w:r w:rsidRPr="00BE4932">
        <w:rPr>
          <w:b/>
          <w:bCs/>
        </w:rPr>
        <w:t>(F)</w:t>
      </w:r>
      <w:r>
        <w:t xml:space="preserve">, and </w:t>
      </w:r>
      <w:r w:rsidRPr="00BE4932">
        <w:rPr>
          <w:b/>
          <w:bCs/>
        </w:rPr>
        <w:t>(G)</w:t>
      </w:r>
      <w:r>
        <w:t xml:space="preserve"> show the expression of C/EBP</w:t>
      </w:r>
      <w:r>
        <w:sym w:font="Symbol" w:char="F062"/>
      </w:r>
      <w:r>
        <w:t>, C/EBP</w:t>
      </w:r>
      <w:r>
        <w:sym w:font="Symbol" w:char="F061"/>
      </w:r>
      <w:r>
        <w:t>, PPAR</w:t>
      </w:r>
      <w:r>
        <w:sym w:font="Symbol" w:char="F067"/>
      </w:r>
      <w:r>
        <w:t>, FAS, FABP4, and ACC proteins, respectively.  The protein expression is calculated from the protein:</w:t>
      </w:r>
      <w:r>
        <w:sym w:font="Symbol" w:char="F062"/>
      </w:r>
      <w:r>
        <w:t xml:space="preserve">-actin ratio from each time point and expressed as the relative ratio in respect to the ratio from day 0 of differentiation shown in lane 1 in </w:t>
      </w:r>
      <w:r w:rsidRPr="00BE4932">
        <w:rPr>
          <w:b/>
          <w:bCs/>
        </w:rPr>
        <w:t>(A)</w:t>
      </w:r>
      <w:r>
        <w:t>.</w:t>
      </w:r>
    </w:p>
    <w:p w14:paraId="32EB5DC7" w14:textId="77777777" w:rsidR="001C3DEE" w:rsidRPr="00E30118" w:rsidRDefault="001C3DEE" w:rsidP="001C3DEE">
      <w:pPr>
        <w:jc w:val="both"/>
        <w:rPr>
          <w:b/>
          <w:bCs/>
        </w:rPr>
      </w:pPr>
    </w:p>
    <w:p w14:paraId="0A795C69" w14:textId="19B047A3" w:rsidR="001C3DEE" w:rsidRDefault="001C3DEE" w:rsidP="001C3DEE">
      <w:pPr>
        <w:jc w:val="both"/>
      </w:pPr>
      <w:r w:rsidRPr="00DF0E85">
        <w:rPr>
          <w:b/>
          <w:bCs/>
        </w:rPr>
        <w:t xml:space="preserve">Fig. 3: </w:t>
      </w:r>
      <w:r>
        <w:rPr>
          <w:b/>
          <w:bCs/>
        </w:rPr>
        <w:t>LCB</w:t>
      </w:r>
      <w:r w:rsidRPr="00DF0E85">
        <w:rPr>
          <w:b/>
          <w:bCs/>
          <w:cs/>
        </w:rPr>
        <w:t xml:space="preserve"> </w:t>
      </w:r>
      <w:r w:rsidRPr="00DF0E85">
        <w:rPr>
          <w:b/>
          <w:bCs/>
        </w:rPr>
        <w:t>inhibit</w:t>
      </w:r>
      <w:r>
        <w:rPr>
          <w:b/>
          <w:bCs/>
        </w:rPr>
        <w:t>s</w:t>
      </w:r>
      <w:r w:rsidRPr="00DF0E85">
        <w:rPr>
          <w:b/>
          <w:bCs/>
        </w:rPr>
        <w:t xml:space="preserve"> the expression </w:t>
      </w:r>
      <w:r w:rsidRPr="00C27531">
        <w:rPr>
          <w:b/>
          <w:bCs/>
        </w:rPr>
        <w:t xml:space="preserve">of </w:t>
      </w:r>
      <w:r>
        <w:rPr>
          <w:b/>
          <w:bCs/>
        </w:rPr>
        <w:t xml:space="preserve">key </w:t>
      </w:r>
      <w:r w:rsidRPr="00C27531">
        <w:rPr>
          <w:b/>
          <w:bCs/>
        </w:rPr>
        <w:t xml:space="preserve">adipogenic </w:t>
      </w:r>
      <w:r>
        <w:rPr>
          <w:b/>
          <w:bCs/>
        </w:rPr>
        <w:t xml:space="preserve">transcription factors and enzymes in the differentiating 3T3-L1 adipocytes in a dose-dependent manner. </w:t>
      </w:r>
      <w:r w:rsidRPr="00C27531">
        <w:rPr>
          <w:b/>
          <w:bCs/>
        </w:rPr>
        <w:t xml:space="preserve"> </w:t>
      </w:r>
      <w:r>
        <w:rPr>
          <w:b/>
          <w:bCs/>
        </w:rPr>
        <w:t>(</w:t>
      </w:r>
      <w:r w:rsidRPr="00DF0E85">
        <w:rPr>
          <w:b/>
          <w:bCs/>
        </w:rPr>
        <w:t>A</w:t>
      </w:r>
      <w:r>
        <w:rPr>
          <w:b/>
          <w:bCs/>
        </w:rPr>
        <w:t>)</w:t>
      </w:r>
      <w:r w:rsidR="00DD071E">
        <w:rPr>
          <w:b/>
          <w:bCs/>
        </w:rPr>
        <w:t xml:space="preserve"> </w:t>
      </w:r>
      <w:r w:rsidR="00DD071E">
        <w:t>shows</w:t>
      </w:r>
      <w:r>
        <w:rPr>
          <w:b/>
          <w:bCs/>
        </w:rPr>
        <w:t xml:space="preserve"> </w:t>
      </w:r>
      <w:r w:rsidRPr="003D7798">
        <w:t>a</w:t>
      </w:r>
      <w:r w:rsidRPr="00DF0E85">
        <w:rPr>
          <w:b/>
          <w:bCs/>
        </w:rPr>
        <w:t xml:space="preserve"> </w:t>
      </w:r>
      <w:r w:rsidRPr="002A59CF">
        <w:t>representative Western blot</w:t>
      </w:r>
      <w:r>
        <w:t xml:space="preserve"> data set performed using anti-C/EBP</w:t>
      </w:r>
      <w:r>
        <w:sym w:font="Symbol" w:char="F062"/>
      </w:r>
      <w:r>
        <w:t>, anti-C/EBP</w:t>
      </w:r>
      <w:r>
        <w:sym w:font="Symbol" w:char="F061"/>
      </w:r>
      <w:r>
        <w:t>, anti-PPAR</w:t>
      </w:r>
      <w:r>
        <w:sym w:font="Symbol" w:char="F067"/>
      </w:r>
      <w:r>
        <w:t>, anti-FAS, and anti-</w:t>
      </w:r>
      <w:r>
        <w:sym w:font="Symbol" w:char="F062"/>
      </w:r>
      <w:r>
        <w:t xml:space="preserve">-actin.  The D/A medium, which starts adipogenesis, was added to 3T3-L1 pre-adipocytes without or with uncoated beads (UC) at the ratio of 1:150 cells:UC, 100 ng/mL LPS, soluble laminarin at 0.1 and 1 mg/mL, and an increasing amount of LCB (1:50, 1:100, and 1:150 cells:LCB).  UC and LPS serve as a negative and positive control for the inhibition of adipogenesis.  The treatment was performed for 2 days before harvesting the cells for the Western blot assays.  </w:t>
      </w:r>
      <w:r w:rsidRPr="00BE4932">
        <w:rPr>
          <w:b/>
          <w:bCs/>
        </w:rPr>
        <w:t>(B)</w:t>
      </w:r>
      <w:r>
        <w:t xml:space="preserve">, </w:t>
      </w:r>
      <w:r w:rsidRPr="00BE4932">
        <w:rPr>
          <w:b/>
          <w:bCs/>
        </w:rPr>
        <w:t>(C)</w:t>
      </w:r>
      <w:r>
        <w:t xml:space="preserve">, </w:t>
      </w:r>
      <w:r w:rsidRPr="00BE4932">
        <w:rPr>
          <w:b/>
          <w:bCs/>
        </w:rPr>
        <w:t>(D)</w:t>
      </w:r>
      <w:r>
        <w:t xml:space="preserve">, and </w:t>
      </w:r>
      <w:r w:rsidRPr="00BE4932">
        <w:rPr>
          <w:b/>
          <w:bCs/>
        </w:rPr>
        <w:t>(E)</w:t>
      </w:r>
      <w:r>
        <w:t xml:space="preserve"> show the expression of C/EBP</w:t>
      </w:r>
      <w:r>
        <w:sym w:font="Symbol" w:char="F062"/>
      </w:r>
      <w:r>
        <w:t>, C/EBP</w:t>
      </w:r>
      <w:r>
        <w:sym w:font="Symbol" w:char="F061"/>
      </w:r>
      <w:r>
        <w:t>, PPAR</w:t>
      </w:r>
      <w:r>
        <w:sym w:font="Symbol" w:char="F067"/>
      </w:r>
      <w:r>
        <w:t>, and FAS proteins, respectively.  The protein expression is calculated from the protein:</w:t>
      </w:r>
      <w:r>
        <w:sym w:font="Symbol" w:char="F062"/>
      </w:r>
      <w:r>
        <w:t xml:space="preserve">-actin ratio from each treatment and expressed as the relative ratio in respect to the ratio from pre-adipocytes data shown in lane 1 in </w:t>
      </w:r>
      <w:r w:rsidRPr="00BE4932">
        <w:rPr>
          <w:b/>
          <w:bCs/>
        </w:rPr>
        <w:t>(A)</w:t>
      </w:r>
      <w:r>
        <w:t xml:space="preserve">.  </w:t>
      </w:r>
    </w:p>
    <w:p w14:paraId="6CDAD5B3" w14:textId="77777777" w:rsidR="001C3DEE" w:rsidRDefault="001C3DEE" w:rsidP="001C3DEE">
      <w:pPr>
        <w:jc w:val="both"/>
      </w:pPr>
    </w:p>
    <w:p w14:paraId="22451EA7" w14:textId="3A510C98" w:rsidR="001C3DEE" w:rsidRDefault="001C3DEE" w:rsidP="001C3DEE">
      <w:pPr>
        <w:jc w:val="both"/>
      </w:pPr>
      <w:r w:rsidRPr="00BE04B1">
        <w:rPr>
          <w:b/>
          <w:bCs/>
          <w:color w:val="000000" w:themeColor="text1"/>
        </w:rPr>
        <w:t>Fig.</w:t>
      </w:r>
      <w:r w:rsidRPr="00BE04B1">
        <w:rPr>
          <w:b/>
          <w:bCs/>
          <w:color w:val="000000" w:themeColor="text1"/>
          <w:cs/>
        </w:rPr>
        <w:t xml:space="preserve"> </w:t>
      </w:r>
      <w:r w:rsidRPr="00BE04B1">
        <w:rPr>
          <w:b/>
          <w:bCs/>
          <w:color w:val="000000" w:themeColor="text1"/>
        </w:rPr>
        <w:t>4</w:t>
      </w:r>
      <w:r w:rsidRPr="00BE04B1">
        <w:rPr>
          <w:b/>
          <w:bCs/>
          <w:color w:val="000000" w:themeColor="text1"/>
          <w:cs/>
        </w:rPr>
        <w:t xml:space="preserve">: </w:t>
      </w:r>
      <w:r>
        <w:rPr>
          <w:b/>
          <w:bCs/>
          <w:color w:val="000000" w:themeColor="text1"/>
        </w:rPr>
        <w:t>LCB effectively inhibits adipogenesis during the early stage of adipogenic differentiation.  (</w:t>
      </w:r>
      <w:r w:rsidRPr="00BE04B1">
        <w:rPr>
          <w:b/>
          <w:bCs/>
          <w:color w:val="000000" w:themeColor="text1"/>
          <w:lang w:val="en-GB"/>
        </w:rPr>
        <w:t>A</w:t>
      </w:r>
      <w:r>
        <w:rPr>
          <w:b/>
          <w:bCs/>
          <w:color w:val="000000" w:themeColor="text1"/>
          <w:lang w:val="en-GB"/>
        </w:rPr>
        <w:t xml:space="preserve">) </w:t>
      </w:r>
      <w:r>
        <w:rPr>
          <w:color w:val="000000" w:themeColor="text1"/>
          <w:lang w:val="en-GB"/>
        </w:rPr>
        <w:t>shows</w:t>
      </w:r>
      <w:r>
        <w:rPr>
          <w:color w:val="000000" w:themeColor="text1"/>
        </w:rPr>
        <w:t xml:space="preserve"> the </w:t>
      </w:r>
      <w:r w:rsidRPr="00BE04B1">
        <w:rPr>
          <w:color w:val="000000" w:themeColor="text1"/>
        </w:rPr>
        <w:t>treatment</w:t>
      </w:r>
      <w:r>
        <w:rPr>
          <w:color w:val="000000" w:themeColor="text1"/>
        </w:rPr>
        <w:t>s</w:t>
      </w:r>
      <w:r w:rsidRPr="00BE04B1">
        <w:rPr>
          <w:color w:val="000000" w:themeColor="text1"/>
        </w:rPr>
        <w:t xml:space="preserve"> of </w:t>
      </w:r>
      <w:r>
        <w:rPr>
          <w:color w:val="000000" w:themeColor="text1"/>
        </w:rPr>
        <w:t xml:space="preserve">differentiating </w:t>
      </w:r>
      <w:r w:rsidRPr="00BE04B1">
        <w:rPr>
          <w:color w:val="000000" w:themeColor="text1"/>
        </w:rPr>
        <w:t>3T3-L1</w:t>
      </w:r>
      <w:r>
        <w:rPr>
          <w:color w:val="000000" w:themeColor="text1"/>
        </w:rPr>
        <w:t xml:space="preserve"> adipocytes</w:t>
      </w:r>
      <w:r w:rsidRPr="00BE04B1">
        <w:rPr>
          <w:color w:val="000000" w:themeColor="text1"/>
        </w:rPr>
        <w:t xml:space="preserve"> with LCB </w:t>
      </w:r>
      <w:r>
        <w:rPr>
          <w:color w:val="000000" w:themeColor="text1"/>
        </w:rPr>
        <w:t>at the ratio of 1:150 cells:LCB at different stages of adipogenic differentiation</w:t>
      </w:r>
      <w:r w:rsidRPr="00BE04B1">
        <w:rPr>
          <w:color w:val="000000" w:themeColor="text1"/>
        </w:rPr>
        <w:t xml:space="preserve">. </w:t>
      </w:r>
      <w:r>
        <w:rPr>
          <w:color w:val="000000" w:themeColor="text1"/>
        </w:rPr>
        <w:t xml:space="preserve"> </w:t>
      </w:r>
      <w:r w:rsidRPr="00AC35BB">
        <w:rPr>
          <w:b/>
          <w:bCs/>
          <w:color w:val="000000" w:themeColor="text1"/>
        </w:rPr>
        <w:t>(B)</w:t>
      </w:r>
      <w:r>
        <w:rPr>
          <w:color w:val="000000" w:themeColor="text1"/>
        </w:rPr>
        <w:t xml:space="preserve"> shows the relative lipid accumulation of the treated cells in </w:t>
      </w:r>
      <w:r w:rsidRPr="00534FE2">
        <w:rPr>
          <w:b/>
          <w:bCs/>
          <w:color w:val="000000" w:themeColor="text1"/>
        </w:rPr>
        <w:t>(A)</w:t>
      </w:r>
      <w:r>
        <w:rPr>
          <w:color w:val="000000" w:themeColor="text1"/>
        </w:rPr>
        <w:t xml:space="preserve"> at the end of the differentiation (day 8), using the Oil Red O staining.  The set with LPS, performed by treating the cells with LPS throughout the differentiation period (8 days), serves as a positive control for adipogenic differentiation.  PA and UT are abbreviated for pre-adipocytes and untreated, respectively.  </w:t>
      </w:r>
      <w:r w:rsidRPr="001B4046">
        <w:rPr>
          <w:b/>
          <w:bCs/>
          <w:color w:val="000000" w:themeColor="text1"/>
        </w:rPr>
        <w:t>(C)</w:t>
      </w:r>
      <w:r>
        <w:rPr>
          <w:color w:val="000000" w:themeColor="text1"/>
        </w:rPr>
        <w:t xml:space="preserve">, </w:t>
      </w:r>
      <w:r w:rsidRPr="001B4046">
        <w:rPr>
          <w:b/>
          <w:bCs/>
          <w:color w:val="000000" w:themeColor="text1"/>
        </w:rPr>
        <w:t>(D)</w:t>
      </w:r>
      <w:r>
        <w:rPr>
          <w:color w:val="000000" w:themeColor="text1"/>
        </w:rPr>
        <w:t xml:space="preserve">, </w:t>
      </w:r>
      <w:r w:rsidRPr="001B4046">
        <w:rPr>
          <w:b/>
          <w:bCs/>
          <w:color w:val="000000" w:themeColor="text1"/>
        </w:rPr>
        <w:t>(E)</w:t>
      </w:r>
      <w:r>
        <w:rPr>
          <w:color w:val="000000" w:themeColor="text1"/>
        </w:rPr>
        <w:t xml:space="preserve">, and </w:t>
      </w:r>
      <w:r w:rsidRPr="001B4046">
        <w:rPr>
          <w:b/>
          <w:bCs/>
          <w:color w:val="000000" w:themeColor="text1"/>
        </w:rPr>
        <w:t>(F)</w:t>
      </w:r>
      <w:r>
        <w:rPr>
          <w:color w:val="000000" w:themeColor="text1"/>
        </w:rPr>
        <w:t xml:space="preserve"> show qPCR results for expression of </w:t>
      </w:r>
      <w:r w:rsidRPr="00303ED1">
        <w:rPr>
          <w:i/>
          <w:iCs/>
          <w:color w:val="000000" w:themeColor="text1"/>
        </w:rPr>
        <w:t>P</w:t>
      </w:r>
      <w:r w:rsidR="00303ED1" w:rsidRPr="00303ED1">
        <w:rPr>
          <w:i/>
          <w:iCs/>
          <w:color w:val="000000" w:themeColor="text1"/>
        </w:rPr>
        <w:t>par</w:t>
      </w:r>
      <w:r w:rsidRPr="00303ED1">
        <w:rPr>
          <w:i/>
          <w:iCs/>
          <w:color w:val="000000" w:themeColor="text1"/>
        </w:rPr>
        <w:sym w:font="Symbol" w:char="F067"/>
      </w:r>
      <w:r>
        <w:rPr>
          <w:color w:val="000000" w:themeColor="text1"/>
        </w:rPr>
        <w:t xml:space="preserve">, </w:t>
      </w:r>
      <w:r w:rsidRPr="00303ED1">
        <w:rPr>
          <w:i/>
          <w:iCs/>
          <w:color w:val="000000" w:themeColor="text1"/>
        </w:rPr>
        <w:t>C/</w:t>
      </w:r>
      <w:r w:rsidR="00303ED1" w:rsidRPr="00303ED1">
        <w:rPr>
          <w:i/>
          <w:iCs/>
          <w:color w:val="000000" w:themeColor="text1"/>
        </w:rPr>
        <w:t>ebp</w:t>
      </w:r>
      <w:r w:rsidRPr="00303ED1">
        <w:rPr>
          <w:i/>
          <w:iCs/>
          <w:color w:val="000000" w:themeColor="text1"/>
        </w:rPr>
        <w:sym w:font="Symbol" w:char="F061"/>
      </w:r>
      <w:r>
        <w:rPr>
          <w:color w:val="000000" w:themeColor="text1"/>
        </w:rPr>
        <w:t xml:space="preserve">, </w:t>
      </w:r>
      <w:r w:rsidRPr="00303ED1">
        <w:rPr>
          <w:i/>
          <w:iCs/>
          <w:color w:val="000000" w:themeColor="text1"/>
        </w:rPr>
        <w:t>I</w:t>
      </w:r>
      <w:r w:rsidR="00303ED1" w:rsidRPr="00303ED1">
        <w:rPr>
          <w:i/>
          <w:iCs/>
          <w:color w:val="000000" w:themeColor="text1"/>
        </w:rPr>
        <w:t>l</w:t>
      </w:r>
      <w:r w:rsidRPr="00303ED1">
        <w:rPr>
          <w:i/>
          <w:iCs/>
          <w:color w:val="000000" w:themeColor="text1"/>
        </w:rPr>
        <w:t>-6</w:t>
      </w:r>
      <w:r>
        <w:rPr>
          <w:color w:val="000000" w:themeColor="text1"/>
        </w:rPr>
        <w:t xml:space="preserve">, and </w:t>
      </w:r>
      <w:r w:rsidRPr="00303ED1">
        <w:rPr>
          <w:i/>
          <w:iCs/>
          <w:color w:val="000000" w:themeColor="text1"/>
        </w:rPr>
        <w:t>M</w:t>
      </w:r>
      <w:r w:rsidR="00303ED1" w:rsidRPr="00303ED1">
        <w:rPr>
          <w:i/>
          <w:iCs/>
          <w:color w:val="000000" w:themeColor="text1"/>
        </w:rPr>
        <w:t>cp</w:t>
      </w:r>
      <w:r w:rsidRPr="00303ED1">
        <w:rPr>
          <w:i/>
          <w:iCs/>
          <w:color w:val="000000" w:themeColor="text1"/>
        </w:rPr>
        <w:t>-1</w:t>
      </w:r>
      <w:r>
        <w:rPr>
          <w:color w:val="000000" w:themeColor="text1"/>
        </w:rPr>
        <w:t xml:space="preserve"> genes, respectively, in differentiating 3T3-L1 adipocytes treated with LCB during the different period of adipogenesis shown in </w:t>
      </w:r>
      <w:r w:rsidRPr="00BD5EED">
        <w:rPr>
          <w:b/>
          <w:bCs/>
          <w:color w:val="000000" w:themeColor="text1"/>
        </w:rPr>
        <w:t>(A)</w:t>
      </w:r>
      <w:r>
        <w:rPr>
          <w:color w:val="000000" w:themeColor="text1"/>
        </w:rPr>
        <w:t xml:space="preserve">.  </w:t>
      </w:r>
      <w:r w:rsidR="00C322CD">
        <w:rPr>
          <w:color w:val="000000" w:themeColor="text1"/>
        </w:rPr>
        <w:t xml:space="preserve">The gene expression of both </w:t>
      </w:r>
      <w:r w:rsidR="00C322CD" w:rsidRPr="00303ED1">
        <w:rPr>
          <w:i/>
          <w:iCs/>
          <w:color w:val="000000" w:themeColor="text1"/>
        </w:rPr>
        <w:t>Ppar</w:t>
      </w:r>
      <w:r w:rsidR="00C322CD" w:rsidRPr="00303ED1">
        <w:rPr>
          <w:i/>
          <w:iCs/>
          <w:color w:val="000000" w:themeColor="text1"/>
        </w:rPr>
        <w:sym w:font="Symbol" w:char="F067"/>
      </w:r>
      <w:r w:rsidR="00C322CD">
        <w:rPr>
          <w:color w:val="000000" w:themeColor="text1"/>
        </w:rPr>
        <w:t xml:space="preserve"> and </w:t>
      </w:r>
      <w:r w:rsidR="00C322CD" w:rsidRPr="00303ED1">
        <w:rPr>
          <w:i/>
          <w:iCs/>
          <w:color w:val="000000" w:themeColor="text1"/>
        </w:rPr>
        <w:t>C/ebp</w:t>
      </w:r>
      <w:r w:rsidR="00C322CD" w:rsidRPr="00303ED1">
        <w:rPr>
          <w:i/>
          <w:iCs/>
          <w:color w:val="000000" w:themeColor="text1"/>
        </w:rPr>
        <w:sym w:font="Symbol" w:char="F061"/>
      </w:r>
      <w:r w:rsidR="00C322CD">
        <w:rPr>
          <w:i/>
          <w:iCs/>
          <w:color w:val="000000" w:themeColor="text1"/>
        </w:rPr>
        <w:t xml:space="preserve"> </w:t>
      </w:r>
      <w:r w:rsidR="00C322CD">
        <w:rPr>
          <w:color w:val="000000" w:themeColor="text1"/>
        </w:rPr>
        <w:t>genes were analyzed on day 8</w:t>
      </w:r>
      <w:r w:rsidR="00C322CD" w:rsidRPr="00C322CD">
        <w:rPr>
          <w:color w:val="000000" w:themeColor="text1"/>
          <w:vertAlign w:val="superscript"/>
        </w:rPr>
        <w:t>th</w:t>
      </w:r>
      <w:r w:rsidR="00C322CD">
        <w:rPr>
          <w:color w:val="000000" w:themeColor="text1"/>
        </w:rPr>
        <w:t xml:space="preserve">, </w:t>
      </w:r>
      <w:r w:rsidR="00C322CD">
        <w:rPr>
          <w:color w:val="000000" w:themeColor="text1"/>
        </w:rPr>
        <w:lastRenderedPageBreak/>
        <w:t xml:space="preserve">whereas both </w:t>
      </w:r>
      <w:r w:rsidR="00C322CD" w:rsidRPr="00303ED1">
        <w:rPr>
          <w:i/>
          <w:iCs/>
          <w:color w:val="000000" w:themeColor="text1"/>
        </w:rPr>
        <w:t>Il-6</w:t>
      </w:r>
      <w:r w:rsidR="00C322CD">
        <w:rPr>
          <w:color w:val="000000" w:themeColor="text1"/>
        </w:rPr>
        <w:t xml:space="preserve"> and </w:t>
      </w:r>
      <w:r w:rsidR="00C322CD" w:rsidRPr="00303ED1">
        <w:rPr>
          <w:i/>
          <w:iCs/>
          <w:color w:val="000000" w:themeColor="text1"/>
        </w:rPr>
        <w:t>Mcp-1</w:t>
      </w:r>
      <w:r w:rsidR="00C322CD">
        <w:rPr>
          <w:color w:val="000000" w:themeColor="text1"/>
        </w:rPr>
        <w:t xml:space="preserve"> gene expression was obtained 3 hours after the treatment.  </w:t>
      </w:r>
      <w:r>
        <w:rPr>
          <w:color w:val="000000" w:themeColor="text1"/>
        </w:rPr>
        <w:t>UT is the untreated set.</w:t>
      </w:r>
    </w:p>
    <w:p w14:paraId="50B5B26D" w14:textId="77777777" w:rsidR="001C3DEE" w:rsidRPr="00A44A05" w:rsidRDefault="001C3DEE" w:rsidP="001C3DEE">
      <w:pPr>
        <w:jc w:val="both"/>
        <w:rPr>
          <w:color w:val="000000" w:themeColor="text1"/>
        </w:rPr>
      </w:pPr>
    </w:p>
    <w:p w14:paraId="658ADD8E" w14:textId="22810B70" w:rsidR="001C3DEE" w:rsidRPr="00FB4225" w:rsidRDefault="001C3DEE" w:rsidP="001C3DEE">
      <w:pPr>
        <w:jc w:val="both"/>
        <w:rPr>
          <w:color w:val="000000" w:themeColor="text1"/>
        </w:rPr>
      </w:pPr>
      <w:r w:rsidRPr="00E2089A">
        <w:rPr>
          <w:b/>
          <w:bCs/>
          <w:color w:val="000000" w:themeColor="text1"/>
        </w:rPr>
        <w:t>Fig.</w:t>
      </w:r>
      <w:r w:rsidRPr="00E2089A">
        <w:rPr>
          <w:b/>
          <w:bCs/>
          <w:color w:val="000000" w:themeColor="text1"/>
          <w:cs/>
        </w:rPr>
        <w:t xml:space="preserve"> </w:t>
      </w:r>
      <w:r w:rsidRPr="00E2089A">
        <w:rPr>
          <w:b/>
          <w:bCs/>
          <w:color w:val="000000" w:themeColor="text1"/>
        </w:rPr>
        <w:t>5</w:t>
      </w:r>
      <w:r w:rsidRPr="00E2089A">
        <w:rPr>
          <w:b/>
          <w:bCs/>
          <w:color w:val="000000" w:themeColor="text1"/>
          <w:cs/>
        </w:rPr>
        <w:t xml:space="preserve">: </w:t>
      </w:r>
      <w:r w:rsidRPr="00E2089A">
        <w:rPr>
          <w:b/>
          <w:bCs/>
          <w:color w:val="000000" w:themeColor="text1"/>
        </w:rPr>
        <w:t xml:space="preserve">LCB </w:t>
      </w:r>
      <w:r>
        <w:rPr>
          <w:b/>
          <w:bCs/>
          <w:color w:val="000000" w:themeColor="text1"/>
        </w:rPr>
        <w:t>blocks cell cycle progression and inhibits proliferation of differentiating 3T3-L1 adipocytes</w:t>
      </w:r>
      <w:r w:rsidRPr="00E2089A">
        <w:rPr>
          <w:b/>
          <w:bCs/>
          <w:color w:val="000000" w:themeColor="text1"/>
        </w:rPr>
        <w:t>.</w:t>
      </w:r>
      <w:r w:rsidRPr="00E2089A">
        <w:rPr>
          <w:color w:val="000000" w:themeColor="text1"/>
        </w:rPr>
        <w:t xml:space="preserve"> </w:t>
      </w:r>
      <w:r>
        <w:rPr>
          <w:color w:val="000000" w:themeColor="text1"/>
        </w:rPr>
        <w:t xml:space="preserve"> </w:t>
      </w:r>
      <w:r w:rsidRPr="00BF5512">
        <w:rPr>
          <w:b/>
          <w:bCs/>
          <w:color w:val="000000" w:themeColor="text1"/>
        </w:rPr>
        <w:t>(A)</w:t>
      </w:r>
      <w:r>
        <w:rPr>
          <w:color w:val="000000" w:themeColor="text1"/>
        </w:rPr>
        <w:t xml:space="preserve">, </w:t>
      </w:r>
      <w:r w:rsidRPr="00BF5512">
        <w:rPr>
          <w:b/>
          <w:bCs/>
          <w:color w:val="000000" w:themeColor="text1"/>
        </w:rPr>
        <w:t>(B)</w:t>
      </w:r>
      <w:r>
        <w:rPr>
          <w:color w:val="000000" w:themeColor="text1"/>
        </w:rPr>
        <w:t xml:space="preserve">, </w:t>
      </w:r>
      <w:r w:rsidRPr="00BF5512">
        <w:rPr>
          <w:b/>
          <w:bCs/>
          <w:color w:val="000000" w:themeColor="text1"/>
        </w:rPr>
        <w:t>(C)</w:t>
      </w:r>
      <w:r>
        <w:rPr>
          <w:color w:val="000000" w:themeColor="text1"/>
        </w:rPr>
        <w:t xml:space="preserve">, </w:t>
      </w:r>
      <w:r w:rsidRPr="00BF5512">
        <w:rPr>
          <w:b/>
          <w:bCs/>
          <w:color w:val="000000" w:themeColor="text1"/>
        </w:rPr>
        <w:t>(D)</w:t>
      </w:r>
      <w:r>
        <w:rPr>
          <w:color w:val="000000" w:themeColor="text1"/>
        </w:rPr>
        <w:t xml:space="preserve">, </w:t>
      </w:r>
      <w:r w:rsidRPr="00BF5512">
        <w:rPr>
          <w:b/>
          <w:bCs/>
          <w:color w:val="000000" w:themeColor="text1"/>
        </w:rPr>
        <w:t>(E)</w:t>
      </w:r>
      <w:r>
        <w:rPr>
          <w:color w:val="000000" w:themeColor="text1"/>
        </w:rPr>
        <w:t xml:space="preserve">, and </w:t>
      </w:r>
      <w:r w:rsidRPr="00BF5512">
        <w:rPr>
          <w:b/>
          <w:bCs/>
          <w:color w:val="000000" w:themeColor="text1"/>
        </w:rPr>
        <w:t>(F)</w:t>
      </w:r>
      <w:r>
        <w:rPr>
          <w:color w:val="000000" w:themeColor="text1"/>
        </w:rPr>
        <w:t xml:space="preserve"> show the flow-cytometry, cell cycle analysis of pre-adipocytes, untreated (UT) adipocytes, uncoated beads (UC)-treated adipocytes, LCB-treated (1:50 cells:LCB) adipocytes, LCB-treated (1:100 cells:LCB) adipocytes, and LCB-treated (1:150 cells:LCB) adipocytes, respectively.  Cells were treated without or with LCB from the beginning of adipogenesis induced by the D/A medium as indicated for 18 hours, subsequently fixed and stained with Guava cell cycle reagent, and analyzed using a flow cytometer.  </w:t>
      </w:r>
      <w:r w:rsidRPr="00381B6B">
        <w:rPr>
          <w:b/>
          <w:bCs/>
          <w:color w:val="000000" w:themeColor="text1"/>
        </w:rPr>
        <w:t>(G)</w:t>
      </w:r>
      <w:r>
        <w:rPr>
          <w:color w:val="000000" w:themeColor="text1"/>
        </w:rPr>
        <w:t xml:space="preserve"> shows the </w:t>
      </w:r>
      <w:r w:rsidRPr="00E2089A">
        <w:rPr>
          <w:color w:val="000000" w:themeColor="text1"/>
        </w:rPr>
        <w:t xml:space="preserve">percentage of </w:t>
      </w:r>
      <w:r w:rsidR="00CE3093">
        <w:rPr>
          <w:color w:val="000000" w:themeColor="text1"/>
        </w:rPr>
        <w:t xml:space="preserve">a </w:t>
      </w:r>
      <w:r w:rsidRPr="00E2089A">
        <w:rPr>
          <w:color w:val="000000" w:themeColor="text1"/>
        </w:rPr>
        <w:t>cell population in each phase of the cell cycle</w:t>
      </w:r>
      <w:r>
        <w:rPr>
          <w:color w:val="000000" w:themeColor="text1"/>
        </w:rPr>
        <w:t xml:space="preserve"> of the cells analyzed in </w:t>
      </w:r>
      <w:r w:rsidRPr="00381B6B">
        <w:rPr>
          <w:b/>
          <w:bCs/>
          <w:color w:val="000000" w:themeColor="text1"/>
        </w:rPr>
        <w:t>(A)</w:t>
      </w:r>
      <w:r>
        <w:rPr>
          <w:color w:val="000000" w:themeColor="text1"/>
        </w:rPr>
        <w:t>-</w:t>
      </w:r>
      <w:r w:rsidRPr="00381B6B">
        <w:rPr>
          <w:b/>
          <w:bCs/>
          <w:color w:val="000000" w:themeColor="text1"/>
        </w:rPr>
        <w:t>(F)</w:t>
      </w:r>
      <w:r w:rsidRPr="00E2089A">
        <w:rPr>
          <w:b/>
          <w:bCs/>
          <w:color w:val="000000" w:themeColor="text1"/>
        </w:rPr>
        <w:t xml:space="preserve">. </w:t>
      </w:r>
      <w:r>
        <w:rPr>
          <w:b/>
          <w:bCs/>
          <w:color w:val="000000" w:themeColor="text1"/>
        </w:rPr>
        <w:t xml:space="preserve"> (</w:t>
      </w:r>
      <w:r w:rsidRPr="00E2089A">
        <w:rPr>
          <w:b/>
          <w:bCs/>
          <w:color w:val="000000" w:themeColor="text1"/>
        </w:rPr>
        <w:t>H</w:t>
      </w:r>
      <w:r>
        <w:rPr>
          <w:b/>
          <w:bCs/>
          <w:color w:val="000000" w:themeColor="text1"/>
        </w:rPr>
        <w:t xml:space="preserve">) </w:t>
      </w:r>
      <w:r w:rsidRPr="004C56E1">
        <w:rPr>
          <w:color w:val="000000" w:themeColor="text1"/>
        </w:rPr>
        <w:t>shows</w:t>
      </w:r>
      <w:r w:rsidRPr="00E2089A">
        <w:rPr>
          <w:b/>
          <w:bCs/>
          <w:color w:val="000000" w:themeColor="text1"/>
        </w:rPr>
        <w:t xml:space="preserve"> </w:t>
      </w:r>
      <w:r w:rsidRPr="00E2089A">
        <w:rPr>
          <w:color w:val="000000" w:themeColor="text1"/>
        </w:rPr>
        <w:t>a</w:t>
      </w:r>
      <w:r w:rsidRPr="00E2089A">
        <w:rPr>
          <w:b/>
          <w:bCs/>
          <w:color w:val="000000" w:themeColor="text1"/>
        </w:rPr>
        <w:t xml:space="preserve"> </w:t>
      </w:r>
      <w:r w:rsidRPr="00E2089A">
        <w:rPr>
          <w:color w:val="000000" w:themeColor="text1"/>
        </w:rPr>
        <w:t xml:space="preserve">representative Western blot </w:t>
      </w:r>
      <w:r>
        <w:rPr>
          <w:rFonts w:cs="Angsana New"/>
          <w:color w:val="000000" w:themeColor="text1"/>
        </w:rPr>
        <w:t>data set</w:t>
      </w:r>
      <w:r w:rsidRPr="00E2089A">
        <w:rPr>
          <w:color w:val="000000" w:themeColor="text1"/>
        </w:rPr>
        <w:t xml:space="preserve"> </w:t>
      </w:r>
      <w:r>
        <w:rPr>
          <w:color w:val="000000" w:themeColor="text1"/>
        </w:rPr>
        <w:t>performed using anti-cyclin D1 and anti</w:t>
      </w:r>
      <w:r w:rsidR="00CE3093">
        <w:rPr>
          <w:color w:val="000000" w:themeColor="text1"/>
        </w:rPr>
        <w:t>-</w:t>
      </w:r>
      <w:r>
        <w:rPr>
          <w:color w:val="000000" w:themeColor="text1"/>
        </w:rPr>
        <w:sym w:font="Symbol" w:char="F062"/>
      </w:r>
      <w:r>
        <w:rPr>
          <w:color w:val="000000" w:themeColor="text1"/>
        </w:rPr>
        <w:t xml:space="preserve">-actin antibodies.  Differentiation of 3T3-L1 adipocytes was induced by adding the D/A medium.  The medium was added to the cells without or </w:t>
      </w:r>
      <w:r w:rsidRPr="00E2089A">
        <w:rPr>
          <w:color w:val="000000" w:themeColor="text1"/>
        </w:rPr>
        <w:t xml:space="preserve">with LCB </w:t>
      </w:r>
      <w:r>
        <w:rPr>
          <w:color w:val="000000" w:themeColor="text1"/>
        </w:rPr>
        <w:t>at the ratio of 1:150 cells:LCB</w:t>
      </w:r>
      <w:r w:rsidRPr="00E2089A">
        <w:rPr>
          <w:color w:val="000000" w:themeColor="text1"/>
        </w:rPr>
        <w:t xml:space="preserve"> for </w:t>
      </w:r>
      <w:r>
        <w:rPr>
          <w:color w:val="000000" w:themeColor="text1"/>
        </w:rPr>
        <w:t xml:space="preserve">0, </w:t>
      </w:r>
      <w:r w:rsidRPr="00E2089A">
        <w:rPr>
          <w:color w:val="000000" w:themeColor="text1"/>
        </w:rPr>
        <w:t>6, 12, and 24 hours</w:t>
      </w:r>
      <w:r>
        <w:rPr>
          <w:color w:val="000000" w:themeColor="text1"/>
        </w:rPr>
        <w:t xml:space="preserve"> before being harvested for Western blotting</w:t>
      </w:r>
      <w:r w:rsidRPr="00E2089A">
        <w:rPr>
          <w:color w:val="000000" w:themeColor="text1"/>
        </w:rPr>
        <w:t xml:space="preserve">. </w:t>
      </w:r>
      <w:r>
        <w:rPr>
          <w:color w:val="000000" w:themeColor="text1"/>
        </w:rPr>
        <w:t xml:space="preserve"> Western blotting with anti-</w:t>
      </w:r>
      <w:r>
        <w:rPr>
          <w:color w:val="000000" w:themeColor="text1"/>
        </w:rPr>
        <w:sym w:font="Symbol" w:char="F062"/>
      </w:r>
      <w:r>
        <w:rPr>
          <w:color w:val="000000" w:themeColor="text1"/>
        </w:rPr>
        <w:t>-actin antibodies was used as a loading control.  The cyclin D1:</w:t>
      </w:r>
      <w:r>
        <w:rPr>
          <w:color w:val="000000" w:themeColor="text1"/>
        </w:rPr>
        <w:sym w:font="Symbol" w:char="F062"/>
      </w:r>
      <w:r>
        <w:rPr>
          <w:color w:val="000000" w:themeColor="text1"/>
        </w:rPr>
        <w:t xml:space="preserve">-actin protein intensity ratio at each time point was calculated and expressed as the relative ratio in respect to the value from the time 0 (lane 1).  </w:t>
      </w:r>
      <w:r w:rsidRPr="00381B6B">
        <w:rPr>
          <w:b/>
          <w:bCs/>
          <w:color w:val="000000" w:themeColor="text1"/>
        </w:rPr>
        <w:t>(I)</w:t>
      </w:r>
      <w:r>
        <w:rPr>
          <w:color w:val="000000" w:themeColor="text1"/>
        </w:rPr>
        <w:t xml:space="preserve"> shows the average cell count in pre-adipocytes (PA), differentiating 3T3-L1 adipocytes (untreated/UT), differentiating 3T3-L1 adipocytes treated with uncoated beads (UC) at the ratio of 1:150 cells:UC, and differentiating 3T3-L1 adipocytes treated with an increasing amount of LCB at the ratios of 1:50, 1:100, and 1:150 cells:LCB.  UC or LCB was added together with the D/A medium at the beginning of differentiation and the cell count was performed at 24 and 48 hours after the treatment.  </w:t>
      </w:r>
      <w:r w:rsidRPr="00381B6B">
        <w:rPr>
          <w:b/>
          <w:bCs/>
          <w:color w:val="000000" w:themeColor="text1"/>
        </w:rPr>
        <w:t>(J)</w:t>
      </w:r>
      <w:r>
        <w:rPr>
          <w:color w:val="000000" w:themeColor="text1"/>
        </w:rPr>
        <w:t xml:space="preserve"> shows the relative concentration of double</w:t>
      </w:r>
      <w:r w:rsidR="00CE3093">
        <w:rPr>
          <w:color w:val="000000" w:themeColor="text1"/>
        </w:rPr>
        <w:t>-</w:t>
      </w:r>
      <w:r>
        <w:rPr>
          <w:color w:val="000000" w:themeColor="text1"/>
        </w:rPr>
        <w:t xml:space="preserve">stranded DNA (dsDNA) of pre-adipocytes (PA) grown for 2 days, differentiating 3T3-L1 adipocytes (untreated/UT), differentiating 3T3-L1 adipocytes treated with uncoated beads (UC) at the ratio of 1:150 cells:UC, and differentiating 3T3-L1 adipocytes treated with an increasing amount of LCB at the ratios of 1:50, 1:100, and 1:150 cells:LCB to the dsDNA from PA at day 0.  UC or LCB was added together with the D/A medium, which starts adipogenesis, and the relative amount of dsDNA was determined with 48-hour treated cells.  </w:t>
      </w:r>
      <w:r w:rsidRPr="00381B6B">
        <w:rPr>
          <w:b/>
          <w:bCs/>
          <w:color w:val="000000" w:themeColor="text1"/>
        </w:rPr>
        <w:t>(K)</w:t>
      </w:r>
      <w:r>
        <w:rPr>
          <w:color w:val="000000" w:themeColor="text1"/>
        </w:rPr>
        <w:t xml:space="preserve">, </w:t>
      </w:r>
      <w:r w:rsidRPr="00381B6B">
        <w:rPr>
          <w:b/>
          <w:bCs/>
          <w:color w:val="000000" w:themeColor="text1"/>
        </w:rPr>
        <w:t>(L)</w:t>
      </w:r>
      <w:r>
        <w:rPr>
          <w:color w:val="000000" w:themeColor="text1"/>
        </w:rPr>
        <w:t xml:space="preserve">, </w:t>
      </w:r>
      <w:r w:rsidRPr="00381B6B">
        <w:rPr>
          <w:b/>
          <w:bCs/>
          <w:color w:val="000000" w:themeColor="text1"/>
        </w:rPr>
        <w:t>(M)</w:t>
      </w:r>
      <w:r>
        <w:rPr>
          <w:color w:val="000000" w:themeColor="text1"/>
        </w:rPr>
        <w:t xml:space="preserve">, and </w:t>
      </w:r>
      <w:r w:rsidRPr="00381B6B">
        <w:rPr>
          <w:b/>
          <w:bCs/>
          <w:color w:val="000000" w:themeColor="text1"/>
        </w:rPr>
        <w:t>(N)</w:t>
      </w:r>
      <w:r>
        <w:rPr>
          <w:color w:val="000000" w:themeColor="text1"/>
        </w:rPr>
        <w:t xml:space="preserve"> show qPCR results for </w:t>
      </w:r>
      <w:r w:rsidRPr="00303ED1">
        <w:rPr>
          <w:i/>
          <w:iCs/>
          <w:color w:val="000000" w:themeColor="text1"/>
        </w:rPr>
        <w:t>C</w:t>
      </w:r>
      <w:r w:rsidR="00303ED1" w:rsidRPr="00303ED1">
        <w:rPr>
          <w:i/>
          <w:iCs/>
          <w:color w:val="000000" w:themeColor="text1"/>
        </w:rPr>
        <w:t>dc</w:t>
      </w:r>
      <w:r w:rsidRPr="00303ED1">
        <w:rPr>
          <w:i/>
          <w:iCs/>
          <w:color w:val="000000" w:themeColor="text1"/>
        </w:rPr>
        <w:t>45</w:t>
      </w:r>
      <w:r w:rsidR="00303ED1" w:rsidRPr="00303ED1">
        <w:rPr>
          <w:i/>
          <w:iCs/>
          <w:color w:val="000000" w:themeColor="text1"/>
        </w:rPr>
        <w:t>l</w:t>
      </w:r>
      <w:r>
        <w:rPr>
          <w:color w:val="000000" w:themeColor="text1"/>
        </w:rPr>
        <w:t xml:space="preserve">, </w:t>
      </w:r>
      <w:r w:rsidRPr="00303ED1">
        <w:rPr>
          <w:i/>
          <w:iCs/>
          <w:color w:val="000000" w:themeColor="text1"/>
        </w:rPr>
        <w:t>M</w:t>
      </w:r>
      <w:r w:rsidR="00303ED1" w:rsidRPr="00303ED1">
        <w:rPr>
          <w:i/>
          <w:iCs/>
          <w:color w:val="000000" w:themeColor="text1"/>
        </w:rPr>
        <w:t>cm</w:t>
      </w:r>
      <w:r w:rsidRPr="00303ED1">
        <w:rPr>
          <w:i/>
          <w:iCs/>
          <w:color w:val="000000" w:themeColor="text1"/>
        </w:rPr>
        <w:t>3</w:t>
      </w:r>
      <w:r>
        <w:rPr>
          <w:color w:val="000000" w:themeColor="text1"/>
        </w:rPr>
        <w:t xml:space="preserve">, </w:t>
      </w:r>
      <w:r w:rsidRPr="00303ED1">
        <w:rPr>
          <w:i/>
          <w:iCs/>
          <w:color w:val="000000" w:themeColor="text1"/>
        </w:rPr>
        <w:t>G</w:t>
      </w:r>
      <w:r w:rsidR="00303ED1" w:rsidRPr="00303ED1">
        <w:rPr>
          <w:i/>
          <w:iCs/>
          <w:color w:val="000000" w:themeColor="text1"/>
        </w:rPr>
        <w:t>ins</w:t>
      </w:r>
      <w:r w:rsidRPr="00303ED1">
        <w:rPr>
          <w:i/>
          <w:iCs/>
          <w:color w:val="000000" w:themeColor="text1"/>
        </w:rPr>
        <w:t>1</w:t>
      </w:r>
      <w:r>
        <w:rPr>
          <w:color w:val="000000" w:themeColor="text1"/>
        </w:rPr>
        <w:t xml:space="preserve">, and </w:t>
      </w:r>
      <w:r w:rsidRPr="00303ED1">
        <w:rPr>
          <w:i/>
          <w:iCs/>
          <w:color w:val="000000" w:themeColor="text1"/>
        </w:rPr>
        <w:t>C</w:t>
      </w:r>
      <w:r w:rsidR="00303ED1" w:rsidRPr="00303ED1">
        <w:rPr>
          <w:i/>
          <w:iCs/>
          <w:color w:val="000000" w:themeColor="text1"/>
        </w:rPr>
        <w:t>dc</w:t>
      </w:r>
      <w:r w:rsidRPr="00303ED1">
        <w:rPr>
          <w:i/>
          <w:iCs/>
          <w:color w:val="000000" w:themeColor="text1"/>
        </w:rPr>
        <w:t>25</w:t>
      </w:r>
      <w:r w:rsidR="00303ED1" w:rsidRPr="00303ED1">
        <w:rPr>
          <w:i/>
          <w:iCs/>
          <w:color w:val="000000" w:themeColor="text1"/>
        </w:rPr>
        <w:t>c</w:t>
      </w:r>
      <w:r>
        <w:rPr>
          <w:color w:val="000000" w:themeColor="text1"/>
        </w:rPr>
        <w:t xml:space="preserve"> gene expression, respectively.  The treatment with UC or LCB was performed as described in </w:t>
      </w:r>
      <w:r w:rsidRPr="00FB4225">
        <w:rPr>
          <w:b/>
          <w:bCs/>
          <w:color w:val="000000" w:themeColor="text1"/>
        </w:rPr>
        <w:t>(J)</w:t>
      </w:r>
      <w:r>
        <w:rPr>
          <w:color w:val="000000" w:themeColor="text1"/>
        </w:rPr>
        <w:t xml:space="preserve"> except that cells were collected for qPCR analysis.  Gene expression is reported as the relative gene:</w:t>
      </w:r>
      <w:r>
        <w:rPr>
          <w:color w:val="000000" w:themeColor="text1"/>
        </w:rPr>
        <w:sym w:font="Symbol" w:char="F062"/>
      </w:r>
      <w:r>
        <w:rPr>
          <w:color w:val="000000" w:themeColor="text1"/>
        </w:rPr>
        <w:t xml:space="preserve">-actin ratio from each treatment in respect to the gene expression from pre-adipocytes (PA).  </w:t>
      </w:r>
    </w:p>
    <w:p w14:paraId="1B628840" w14:textId="77777777" w:rsidR="001C3DEE" w:rsidRDefault="001C3DEE" w:rsidP="001C3DEE">
      <w:pPr>
        <w:jc w:val="both"/>
      </w:pPr>
    </w:p>
    <w:p w14:paraId="2E11B5CD" w14:textId="30499E30" w:rsidR="001C3DEE" w:rsidRDefault="001C3DEE" w:rsidP="001C3DEE">
      <w:pPr>
        <w:jc w:val="both"/>
        <w:rPr>
          <w:color w:val="000000" w:themeColor="text1"/>
        </w:rPr>
      </w:pPr>
      <w:r w:rsidRPr="00213B16">
        <w:rPr>
          <w:b/>
          <w:bCs/>
          <w:color w:val="000000" w:themeColor="text1"/>
        </w:rPr>
        <w:t>Fig.</w:t>
      </w:r>
      <w:r w:rsidRPr="00213B16">
        <w:rPr>
          <w:b/>
          <w:bCs/>
          <w:color w:val="000000" w:themeColor="text1"/>
          <w:cs/>
        </w:rPr>
        <w:t xml:space="preserve"> </w:t>
      </w:r>
      <w:r w:rsidRPr="00213B16">
        <w:rPr>
          <w:b/>
          <w:bCs/>
          <w:color w:val="000000" w:themeColor="text1"/>
        </w:rPr>
        <w:t>6</w:t>
      </w:r>
      <w:r w:rsidRPr="00213B16">
        <w:rPr>
          <w:b/>
          <w:bCs/>
          <w:color w:val="000000" w:themeColor="text1"/>
          <w:cs/>
        </w:rPr>
        <w:t>:</w:t>
      </w:r>
      <w:r w:rsidRPr="004A4170">
        <w:rPr>
          <w:b/>
          <w:bCs/>
          <w:color w:val="000000" w:themeColor="text1"/>
          <w:sz w:val="28"/>
          <w:szCs w:val="28"/>
          <w:cs/>
        </w:rPr>
        <w:t xml:space="preserve"> </w:t>
      </w:r>
      <w:r w:rsidRPr="004A4170">
        <w:rPr>
          <w:b/>
          <w:bCs/>
          <w:color w:val="000000" w:themeColor="text1"/>
          <w:szCs w:val="28"/>
        </w:rPr>
        <w:t>IRAK 1/4 and SYK signaling pathways mediate an inflammatory-stimulating and adipogenic suppressing effects of LCB on differentiating 3T3-L1 adipocytes.</w:t>
      </w:r>
      <w:r w:rsidRPr="004C7ABA">
        <w:rPr>
          <w:color w:val="000000" w:themeColor="text1"/>
        </w:rPr>
        <w:t xml:space="preserve"> </w:t>
      </w:r>
      <w:r w:rsidRPr="003E2CAC">
        <w:rPr>
          <w:b/>
          <w:bCs/>
          <w:color w:val="000000" w:themeColor="text1"/>
        </w:rPr>
        <w:t>(A)</w:t>
      </w:r>
      <w:r>
        <w:rPr>
          <w:color w:val="000000" w:themeColor="text1"/>
        </w:rPr>
        <w:t xml:space="preserve"> shows the relative lipid accumulation in pre-adipocytes (without any treatment), D/A-induced differentiating 3T3-L1 adipocytes, D/A-induced differentiating 3T3-L1 adipocytes treated with 1:150 cells:LCB without or with 10 </w:t>
      </w:r>
      <w:r>
        <w:rPr>
          <w:color w:val="000000" w:themeColor="text1"/>
        </w:rPr>
        <w:sym w:font="Symbol" w:char="F06D"/>
      </w:r>
      <w:r>
        <w:rPr>
          <w:color w:val="000000" w:themeColor="text1"/>
        </w:rPr>
        <w:t xml:space="preserve">M IRAK 1/4, 10 </w:t>
      </w:r>
      <w:r>
        <w:rPr>
          <w:color w:val="000000" w:themeColor="text1"/>
        </w:rPr>
        <w:sym w:font="Symbol" w:char="F06D"/>
      </w:r>
      <w:r>
        <w:rPr>
          <w:color w:val="000000" w:themeColor="text1"/>
        </w:rPr>
        <w:t xml:space="preserve">M SYK, both IRAK 1/4 and SKY, or 50 </w:t>
      </w:r>
      <w:r>
        <w:rPr>
          <w:color w:val="000000" w:themeColor="text1"/>
        </w:rPr>
        <w:sym w:font="Symbol" w:char="F06D"/>
      </w:r>
      <w:r>
        <w:rPr>
          <w:color w:val="000000" w:themeColor="text1"/>
        </w:rPr>
        <w:t xml:space="preserve">M IKK-2/SC-514 inhibitor.  Pre-adipocytes were pre-treated with each inhibitor at the indicated concentration for 30 minutes.  Then, the D/A medium together with LCB (1:150 cells:LCB) in the absence or the presence of each inhibitor were added to the cells and maintained throughout the period of adipogenic differentiation (8 days).  At the end of differentiation, cells were collected for the Oil Red O staining assay.  </w:t>
      </w:r>
      <w:r w:rsidRPr="003E2CAC">
        <w:rPr>
          <w:b/>
          <w:bCs/>
          <w:color w:val="000000" w:themeColor="text1"/>
        </w:rPr>
        <w:t>(B)</w:t>
      </w:r>
      <w:r>
        <w:rPr>
          <w:color w:val="000000" w:themeColor="text1"/>
        </w:rPr>
        <w:t xml:space="preserve">, </w:t>
      </w:r>
      <w:r w:rsidRPr="003E2CAC">
        <w:rPr>
          <w:b/>
          <w:bCs/>
          <w:color w:val="000000" w:themeColor="text1"/>
        </w:rPr>
        <w:t>(C)</w:t>
      </w:r>
      <w:r>
        <w:rPr>
          <w:color w:val="000000" w:themeColor="text1"/>
        </w:rPr>
        <w:t xml:space="preserve">, </w:t>
      </w:r>
      <w:r w:rsidRPr="003E2CAC">
        <w:rPr>
          <w:b/>
          <w:bCs/>
          <w:color w:val="000000" w:themeColor="text1"/>
        </w:rPr>
        <w:t>(D)</w:t>
      </w:r>
      <w:r>
        <w:rPr>
          <w:color w:val="000000" w:themeColor="text1"/>
        </w:rPr>
        <w:t xml:space="preserve">, </w:t>
      </w:r>
      <w:r w:rsidRPr="003E2CAC">
        <w:rPr>
          <w:b/>
          <w:bCs/>
          <w:color w:val="000000" w:themeColor="text1"/>
        </w:rPr>
        <w:t>(E)</w:t>
      </w:r>
      <w:r>
        <w:rPr>
          <w:color w:val="000000" w:themeColor="text1"/>
        </w:rPr>
        <w:t xml:space="preserve">, </w:t>
      </w:r>
      <w:r w:rsidRPr="003E2CAC">
        <w:rPr>
          <w:b/>
          <w:bCs/>
          <w:color w:val="000000" w:themeColor="text1"/>
        </w:rPr>
        <w:t>(F)</w:t>
      </w:r>
      <w:r>
        <w:rPr>
          <w:color w:val="000000" w:themeColor="text1"/>
        </w:rPr>
        <w:t xml:space="preserve">, and </w:t>
      </w:r>
      <w:r w:rsidRPr="003E2CAC">
        <w:rPr>
          <w:b/>
          <w:bCs/>
          <w:color w:val="000000" w:themeColor="text1"/>
        </w:rPr>
        <w:t>(G)</w:t>
      </w:r>
      <w:r>
        <w:rPr>
          <w:color w:val="000000" w:themeColor="text1"/>
        </w:rPr>
        <w:t xml:space="preserve"> show qPCR results for </w:t>
      </w:r>
      <w:r w:rsidRPr="00303ED1">
        <w:rPr>
          <w:i/>
          <w:iCs/>
          <w:color w:val="000000" w:themeColor="text1"/>
        </w:rPr>
        <w:t>C/</w:t>
      </w:r>
      <w:r w:rsidR="00303ED1" w:rsidRPr="00303ED1">
        <w:rPr>
          <w:i/>
          <w:iCs/>
          <w:color w:val="000000" w:themeColor="text1"/>
        </w:rPr>
        <w:t>ebp</w:t>
      </w:r>
      <w:r w:rsidRPr="00303ED1">
        <w:rPr>
          <w:i/>
          <w:iCs/>
          <w:color w:val="000000" w:themeColor="text1"/>
        </w:rPr>
        <w:sym w:font="Symbol" w:char="F061"/>
      </w:r>
      <w:r>
        <w:rPr>
          <w:color w:val="000000" w:themeColor="text1"/>
        </w:rPr>
        <w:t xml:space="preserve">, </w:t>
      </w:r>
      <w:r w:rsidRPr="00303ED1">
        <w:rPr>
          <w:i/>
          <w:iCs/>
          <w:color w:val="000000" w:themeColor="text1"/>
        </w:rPr>
        <w:t>F</w:t>
      </w:r>
      <w:r w:rsidR="00303ED1" w:rsidRPr="00303ED1">
        <w:rPr>
          <w:i/>
          <w:iCs/>
          <w:color w:val="000000" w:themeColor="text1"/>
        </w:rPr>
        <w:t>abp</w:t>
      </w:r>
      <w:r w:rsidRPr="00303ED1">
        <w:rPr>
          <w:i/>
          <w:iCs/>
          <w:color w:val="000000" w:themeColor="text1"/>
        </w:rPr>
        <w:t>4</w:t>
      </w:r>
      <w:r>
        <w:rPr>
          <w:color w:val="000000" w:themeColor="text1"/>
        </w:rPr>
        <w:t xml:space="preserve">, </w:t>
      </w:r>
      <w:r w:rsidRPr="00303ED1">
        <w:rPr>
          <w:i/>
          <w:iCs/>
          <w:color w:val="000000" w:themeColor="text1"/>
        </w:rPr>
        <w:t>F</w:t>
      </w:r>
      <w:r w:rsidR="00303ED1" w:rsidRPr="00303ED1">
        <w:rPr>
          <w:i/>
          <w:iCs/>
          <w:color w:val="000000" w:themeColor="text1"/>
        </w:rPr>
        <w:t>as</w:t>
      </w:r>
      <w:r>
        <w:rPr>
          <w:color w:val="000000" w:themeColor="text1"/>
        </w:rPr>
        <w:t xml:space="preserve">, </w:t>
      </w:r>
      <w:r w:rsidRPr="00303ED1">
        <w:rPr>
          <w:i/>
          <w:iCs/>
          <w:color w:val="000000" w:themeColor="text1"/>
        </w:rPr>
        <w:t>P</w:t>
      </w:r>
      <w:r w:rsidR="00303ED1" w:rsidRPr="00303ED1">
        <w:rPr>
          <w:i/>
          <w:iCs/>
          <w:color w:val="000000" w:themeColor="text1"/>
        </w:rPr>
        <w:t>par</w:t>
      </w:r>
      <w:r w:rsidRPr="00303ED1">
        <w:rPr>
          <w:i/>
          <w:iCs/>
          <w:color w:val="000000" w:themeColor="text1"/>
        </w:rPr>
        <w:sym w:font="Symbol" w:char="F067"/>
      </w:r>
      <w:r>
        <w:rPr>
          <w:color w:val="000000" w:themeColor="text1"/>
        </w:rPr>
        <w:t xml:space="preserve">, </w:t>
      </w:r>
      <w:r w:rsidRPr="00303ED1">
        <w:rPr>
          <w:i/>
          <w:iCs/>
          <w:color w:val="000000" w:themeColor="text1"/>
        </w:rPr>
        <w:t>L</w:t>
      </w:r>
      <w:r w:rsidR="00303ED1" w:rsidRPr="00303ED1">
        <w:rPr>
          <w:i/>
          <w:iCs/>
          <w:color w:val="000000" w:themeColor="text1"/>
        </w:rPr>
        <w:t>pl</w:t>
      </w:r>
      <w:r>
        <w:rPr>
          <w:color w:val="000000" w:themeColor="text1"/>
        </w:rPr>
        <w:t xml:space="preserve">, and </w:t>
      </w:r>
      <w:r w:rsidRPr="00303ED1">
        <w:rPr>
          <w:i/>
          <w:iCs/>
          <w:color w:val="000000" w:themeColor="text1"/>
        </w:rPr>
        <w:t>S</w:t>
      </w:r>
      <w:r w:rsidR="00303ED1" w:rsidRPr="00303ED1">
        <w:rPr>
          <w:i/>
          <w:iCs/>
          <w:color w:val="000000" w:themeColor="text1"/>
        </w:rPr>
        <w:t>rebp</w:t>
      </w:r>
      <w:r w:rsidRPr="00303ED1">
        <w:rPr>
          <w:i/>
          <w:iCs/>
          <w:color w:val="000000" w:themeColor="text1"/>
        </w:rPr>
        <w:t>-1</w:t>
      </w:r>
      <w:r>
        <w:rPr>
          <w:color w:val="000000" w:themeColor="text1"/>
        </w:rPr>
        <w:t xml:space="preserve"> gene expression, respectively.  Cells were treated as described in </w:t>
      </w:r>
      <w:r w:rsidRPr="003E2CAC">
        <w:rPr>
          <w:b/>
          <w:bCs/>
          <w:color w:val="000000" w:themeColor="text1"/>
        </w:rPr>
        <w:t>(A)</w:t>
      </w:r>
      <w:r>
        <w:rPr>
          <w:color w:val="000000" w:themeColor="text1"/>
        </w:rPr>
        <w:t xml:space="preserve">, except that the treatment with LCB (1:150 cells:LCB) and each inhibitor was performed for 2 days </w:t>
      </w:r>
      <w:r>
        <w:rPr>
          <w:color w:val="000000" w:themeColor="text1"/>
        </w:rPr>
        <w:lastRenderedPageBreak/>
        <w:t>prior to collecting the cells for qPCR analysis.  Gene expression is reported as the relative gene:</w:t>
      </w:r>
      <w:r>
        <w:rPr>
          <w:color w:val="000000" w:themeColor="text1"/>
        </w:rPr>
        <w:sym w:font="Symbol" w:char="F062"/>
      </w:r>
      <w:r>
        <w:rPr>
          <w:color w:val="000000" w:themeColor="text1"/>
        </w:rPr>
        <w:t>-actin ratio from each treatment in respect to the gene expression from pre-adipocytes.</w:t>
      </w:r>
      <w:r w:rsidRPr="003E2CAC">
        <w:rPr>
          <w:b/>
          <w:bCs/>
          <w:color w:val="000000" w:themeColor="text1"/>
        </w:rPr>
        <w:t xml:space="preserve"> (H)</w:t>
      </w:r>
      <w:r>
        <w:rPr>
          <w:color w:val="000000" w:themeColor="text1"/>
        </w:rPr>
        <w:t xml:space="preserve"> shows a representative data set for Western blotting assay performed using anti-PPAR</w:t>
      </w:r>
      <w:r>
        <w:rPr>
          <w:color w:val="000000" w:themeColor="text1"/>
        </w:rPr>
        <w:sym w:font="Symbol" w:char="F067"/>
      </w:r>
      <w:r>
        <w:rPr>
          <w:color w:val="000000" w:themeColor="text1"/>
        </w:rPr>
        <w:t>, anti-C/EBP</w:t>
      </w:r>
      <w:r>
        <w:rPr>
          <w:color w:val="000000" w:themeColor="text1"/>
        </w:rPr>
        <w:sym w:font="Symbol" w:char="F061"/>
      </w:r>
      <w:r>
        <w:rPr>
          <w:color w:val="000000" w:themeColor="text1"/>
        </w:rPr>
        <w:t>, and anti-</w:t>
      </w:r>
      <w:r>
        <w:rPr>
          <w:color w:val="000000" w:themeColor="text1"/>
        </w:rPr>
        <w:sym w:font="Symbol" w:char="F062"/>
      </w:r>
      <w:r>
        <w:rPr>
          <w:color w:val="000000" w:themeColor="text1"/>
        </w:rPr>
        <w:t xml:space="preserve">-actin antibodies with the lysates of cells treated the same way as described in </w:t>
      </w:r>
      <w:r w:rsidRPr="003E2CAC">
        <w:rPr>
          <w:b/>
          <w:bCs/>
          <w:color w:val="000000" w:themeColor="text1"/>
        </w:rPr>
        <w:t>(B)</w:t>
      </w:r>
      <w:r>
        <w:rPr>
          <w:color w:val="000000" w:themeColor="text1"/>
        </w:rPr>
        <w:t>-</w:t>
      </w:r>
      <w:r w:rsidRPr="003E2CAC">
        <w:rPr>
          <w:b/>
          <w:bCs/>
          <w:color w:val="000000" w:themeColor="text1"/>
        </w:rPr>
        <w:t>(G)</w:t>
      </w:r>
      <w:r>
        <w:rPr>
          <w:color w:val="000000" w:themeColor="text1"/>
        </w:rPr>
        <w:t xml:space="preserve">.  </w:t>
      </w:r>
      <w:r>
        <w:t>The protein expression is calculated from the protein:</w:t>
      </w:r>
      <w:r>
        <w:sym w:font="Symbol" w:char="F062"/>
      </w:r>
      <w:r>
        <w:t xml:space="preserve">-actin ratio from each treatment and expressed as the relative ratio in respect to the ratio from pre-adipocytes data shown in lane 1 in </w:t>
      </w:r>
      <w:r w:rsidRPr="00BE4932">
        <w:rPr>
          <w:b/>
          <w:bCs/>
        </w:rPr>
        <w:t>(</w:t>
      </w:r>
      <w:r>
        <w:rPr>
          <w:b/>
          <w:bCs/>
        </w:rPr>
        <w:t>H</w:t>
      </w:r>
      <w:r w:rsidRPr="00BE4932">
        <w:rPr>
          <w:b/>
          <w:bCs/>
        </w:rPr>
        <w:t>)</w:t>
      </w:r>
      <w:r>
        <w:t>.</w:t>
      </w:r>
    </w:p>
    <w:p w14:paraId="787835F0" w14:textId="77777777" w:rsidR="001C3DEE" w:rsidRDefault="001C3DEE" w:rsidP="001C3DEE">
      <w:pPr>
        <w:jc w:val="both"/>
        <w:rPr>
          <w:color w:val="000000" w:themeColor="text1"/>
        </w:rPr>
      </w:pPr>
    </w:p>
    <w:p w14:paraId="36BA286E" w14:textId="298F5363" w:rsidR="001C3DEE" w:rsidRDefault="001C3DEE" w:rsidP="001C3DEE">
      <w:pPr>
        <w:jc w:val="both"/>
        <w:rPr>
          <w:color w:val="000000" w:themeColor="text1"/>
        </w:rPr>
      </w:pPr>
      <w:r w:rsidRPr="00710A78">
        <w:rPr>
          <w:b/>
          <w:bCs/>
        </w:rPr>
        <w:t>Fig.</w:t>
      </w:r>
      <w:r w:rsidRPr="00710A78">
        <w:rPr>
          <w:b/>
          <w:bCs/>
          <w:cs/>
        </w:rPr>
        <w:t xml:space="preserve"> </w:t>
      </w:r>
      <w:r w:rsidRPr="00710A78">
        <w:rPr>
          <w:b/>
          <w:bCs/>
        </w:rPr>
        <w:t>7</w:t>
      </w:r>
      <w:r w:rsidRPr="00710A78">
        <w:rPr>
          <w:b/>
          <w:bCs/>
          <w:cs/>
        </w:rPr>
        <w:t>:</w:t>
      </w:r>
      <w:r w:rsidRPr="0094616F">
        <w:rPr>
          <w:b/>
          <w:bCs/>
          <w:sz w:val="28"/>
          <w:szCs w:val="28"/>
          <w:cs/>
        </w:rPr>
        <w:t xml:space="preserve"> </w:t>
      </w:r>
      <w:r w:rsidRPr="0094616F">
        <w:rPr>
          <w:b/>
          <w:bCs/>
          <w:color w:val="000000" w:themeColor="text1"/>
          <w:szCs w:val="28"/>
        </w:rPr>
        <w:t xml:space="preserve">LCB activates AMPK </w:t>
      </w:r>
      <w:r>
        <w:rPr>
          <w:b/>
          <w:bCs/>
          <w:color w:val="000000" w:themeColor="text1"/>
        </w:rPr>
        <w:t xml:space="preserve">and ACC </w:t>
      </w:r>
      <w:r w:rsidR="00185FC6">
        <w:rPr>
          <w:b/>
          <w:bCs/>
          <w:color w:val="000000" w:themeColor="text1"/>
        </w:rPr>
        <w:t xml:space="preserve">proteins </w:t>
      </w:r>
      <w:r w:rsidRPr="0094616F">
        <w:rPr>
          <w:b/>
          <w:bCs/>
          <w:color w:val="000000" w:themeColor="text1"/>
          <w:szCs w:val="28"/>
        </w:rPr>
        <w:t xml:space="preserve">at the early stage of adipogenesis.  </w:t>
      </w:r>
      <w:r>
        <w:rPr>
          <w:b/>
          <w:bCs/>
          <w:color w:val="000000" w:themeColor="text1"/>
        </w:rPr>
        <w:t>(</w:t>
      </w:r>
      <w:r w:rsidRPr="00710A78">
        <w:rPr>
          <w:b/>
          <w:bCs/>
          <w:color w:val="000000" w:themeColor="text1"/>
        </w:rPr>
        <w:t>A</w:t>
      </w:r>
      <w:r>
        <w:rPr>
          <w:b/>
          <w:bCs/>
          <w:color w:val="000000" w:themeColor="text1"/>
        </w:rPr>
        <w:t xml:space="preserve">) </w:t>
      </w:r>
      <w:r>
        <w:rPr>
          <w:color w:val="000000" w:themeColor="text1"/>
        </w:rPr>
        <w:t>shows a representative data set for Western blotting assay performed using anti-phospho AMPK (Thr172), anti-AMPK (total), anti-phospho ACC (Ser79), anti-ACC (total), and anti-</w:t>
      </w:r>
      <w:r>
        <w:rPr>
          <w:color w:val="000000" w:themeColor="text1"/>
        </w:rPr>
        <w:sym w:font="Symbol" w:char="F062"/>
      </w:r>
      <w:r>
        <w:rPr>
          <w:color w:val="000000" w:themeColor="text1"/>
        </w:rPr>
        <w:t xml:space="preserve">-actin antibodies.  The D/A medium, which initiates adipogenesis, was added to the cells without or with LCB (1:150 cells:LCB).  Treatment was performed for 0, 1, 3, and 6 hours prior to harvesting the cells for Western blot analysis.  Western blotting with </w:t>
      </w:r>
      <w:r>
        <w:rPr>
          <w:color w:val="000000" w:themeColor="text1"/>
        </w:rPr>
        <w:sym w:font="Symbol" w:char="F062"/>
      </w:r>
      <w:r>
        <w:rPr>
          <w:color w:val="000000" w:themeColor="text1"/>
        </w:rPr>
        <w:t xml:space="preserve">-actin was performed as a loading control.  </w:t>
      </w:r>
      <w:r>
        <w:t>The protein expression is calculated from the protein:</w:t>
      </w:r>
      <w:r>
        <w:sym w:font="Symbol" w:char="F062"/>
      </w:r>
      <w:r>
        <w:t>-actin ratio from each treatment and expressed as the relative ratio in respect to the ratio from pre-adipocytes data shown in lane 1.</w:t>
      </w:r>
      <w:r>
        <w:rPr>
          <w:color w:val="000000" w:themeColor="text1"/>
        </w:rPr>
        <w:t xml:space="preserve">  </w:t>
      </w:r>
      <w:r w:rsidRPr="00E80551">
        <w:rPr>
          <w:b/>
          <w:bCs/>
          <w:color w:val="000000" w:themeColor="text1"/>
        </w:rPr>
        <w:t>(B)</w:t>
      </w:r>
      <w:r>
        <w:rPr>
          <w:color w:val="000000" w:themeColor="text1"/>
        </w:rPr>
        <w:t xml:space="preserve"> shows a representative data set for Western blotting assay performed using the same set of the antibodies described in </w:t>
      </w:r>
      <w:r w:rsidRPr="00E80551">
        <w:rPr>
          <w:b/>
          <w:bCs/>
          <w:color w:val="000000" w:themeColor="text1"/>
        </w:rPr>
        <w:t>(A)</w:t>
      </w:r>
      <w:r>
        <w:rPr>
          <w:color w:val="000000" w:themeColor="text1"/>
        </w:rPr>
        <w:t xml:space="preserve">.  Pre-adipocytes were pre-treated with either 10 </w:t>
      </w:r>
      <w:r>
        <w:rPr>
          <w:color w:val="000000" w:themeColor="text1"/>
        </w:rPr>
        <w:sym w:font="Symbol" w:char="F06D"/>
      </w:r>
      <w:r>
        <w:rPr>
          <w:color w:val="000000" w:themeColor="text1"/>
        </w:rPr>
        <w:t xml:space="preserve">M IRAK 1/4 or 10 </w:t>
      </w:r>
      <w:r>
        <w:rPr>
          <w:color w:val="000000" w:themeColor="text1"/>
        </w:rPr>
        <w:sym w:font="Symbol" w:char="F06D"/>
      </w:r>
      <w:r>
        <w:rPr>
          <w:color w:val="000000" w:themeColor="text1"/>
        </w:rPr>
        <w:t xml:space="preserve">M SYK inhibitor for 30 minutes.  Then, the D/A medium together with LCB (1:150 cells:LCB) in the absence or the presence of each inhibitor or both were added to the cells, and the incubation was performed for 3 hours before harvesting the cells for Western blot analysis.  The protein expression analysis was performed as described in </w:t>
      </w:r>
      <w:r w:rsidRPr="006072EE">
        <w:rPr>
          <w:b/>
          <w:bCs/>
          <w:color w:val="000000" w:themeColor="text1"/>
        </w:rPr>
        <w:t>(A)</w:t>
      </w:r>
      <w:r>
        <w:rPr>
          <w:color w:val="000000" w:themeColor="text1"/>
        </w:rPr>
        <w:t>.</w:t>
      </w:r>
    </w:p>
    <w:p w14:paraId="1EADE1B3" w14:textId="77777777" w:rsidR="001C3DEE" w:rsidRDefault="001C3DEE" w:rsidP="001C3DEE">
      <w:pPr>
        <w:jc w:val="both"/>
        <w:rPr>
          <w:color w:val="000000" w:themeColor="text1"/>
        </w:rPr>
      </w:pPr>
    </w:p>
    <w:p w14:paraId="2721C656" w14:textId="5FA7E407" w:rsidR="0025134B" w:rsidRDefault="001C3DEE" w:rsidP="001C3DEE">
      <w:pPr>
        <w:jc w:val="both"/>
        <w:rPr>
          <w:color w:val="000000" w:themeColor="text1"/>
          <w:cs/>
        </w:rPr>
      </w:pPr>
      <w:r w:rsidRPr="00E4037E">
        <w:rPr>
          <w:b/>
          <w:bCs/>
        </w:rPr>
        <w:t>Fig.</w:t>
      </w:r>
      <w:r w:rsidRPr="00E4037E">
        <w:rPr>
          <w:b/>
          <w:bCs/>
          <w:cs/>
        </w:rPr>
        <w:t xml:space="preserve"> </w:t>
      </w:r>
      <w:r w:rsidRPr="00E4037E">
        <w:rPr>
          <w:b/>
          <w:bCs/>
        </w:rPr>
        <w:t>8</w:t>
      </w:r>
      <w:r w:rsidRPr="00E4037E">
        <w:rPr>
          <w:b/>
          <w:bCs/>
          <w:cs/>
        </w:rPr>
        <w:t xml:space="preserve">: </w:t>
      </w:r>
      <w:r w:rsidRPr="00E4037E">
        <w:rPr>
          <w:b/>
          <w:bCs/>
        </w:rPr>
        <w:t xml:space="preserve">A </w:t>
      </w:r>
      <w:r>
        <w:rPr>
          <w:b/>
          <w:bCs/>
        </w:rPr>
        <w:t xml:space="preserve">proposed mechanism of how LCB inhibits lipid accumulation in 3T3-L1 adipocytes.  </w:t>
      </w:r>
      <w:r w:rsidRPr="00303ED1">
        <w:rPr>
          <w:rFonts w:cs="Angsana New"/>
          <w:color w:val="000000" w:themeColor="text1"/>
        </w:rPr>
        <w:t xml:space="preserve">In order for LCB to inhibit adipogenesis in 3T3-L1 adipocytes, LCB must be introduced during the early stage of adipogenic differentiation.  </w:t>
      </w:r>
      <w:r w:rsidRPr="00303ED1">
        <w:rPr>
          <w:color w:val="000000" w:themeColor="text1"/>
        </w:rPr>
        <w:t xml:space="preserve">In this model, </w:t>
      </w:r>
      <w:r w:rsidRPr="00303ED1">
        <w:rPr>
          <w:color w:val="000000" w:themeColor="text1"/>
        </w:rPr>
        <w:sym w:font="Symbol" w:char="F062"/>
      </w:r>
      <w:r w:rsidRPr="00303ED1">
        <w:rPr>
          <w:color w:val="000000" w:themeColor="text1"/>
        </w:rPr>
        <w:t xml:space="preserve">-glucans on LCB </w:t>
      </w:r>
      <w:r w:rsidR="00185FC6">
        <w:rPr>
          <w:color w:val="000000" w:themeColor="text1"/>
        </w:rPr>
        <w:t>maybe</w:t>
      </w:r>
      <w:r w:rsidRPr="00303ED1">
        <w:rPr>
          <w:color w:val="000000" w:themeColor="text1"/>
        </w:rPr>
        <w:t xml:space="preserve"> recognized by both TLR2 and Dectin-1 receptors on the surface of 3T3-L1 adipocytes.  </w:t>
      </w:r>
      <w:r w:rsidR="00303ED1" w:rsidRPr="00303ED1">
        <w:rPr>
          <w:color w:val="000000" w:themeColor="text1"/>
        </w:rPr>
        <w:t>CLEC7A/</w:t>
      </w:r>
      <w:r w:rsidRPr="00303ED1">
        <w:rPr>
          <w:color w:val="000000" w:themeColor="text1"/>
        </w:rPr>
        <w:t>Dectin-1 transmits its signal through the SYK protein, which can be inhibited by the SYK inhibitor, whereas TLR2 signaling is dependent on IRAK1 or IRAK4 protein, which is blocked by the IRAK 1/4 inhibitor.  These two receptors synergistically stimulate the two major pathways: AMPK and the NF-</w:t>
      </w:r>
      <w:r w:rsidRPr="00303ED1">
        <w:rPr>
          <w:color w:val="000000" w:themeColor="text1"/>
        </w:rPr>
        <w:sym w:font="Symbol" w:char="F06B"/>
      </w:r>
      <w:r w:rsidRPr="00303ED1">
        <w:rPr>
          <w:color w:val="000000" w:themeColor="text1"/>
        </w:rPr>
        <w:t>B signaling pathways.  AMPK may inhibit C/EBP</w:t>
      </w:r>
      <w:r w:rsidRPr="00303ED1">
        <w:rPr>
          <w:color w:val="000000" w:themeColor="text1"/>
        </w:rPr>
        <w:sym w:font="Symbol" w:char="F062"/>
      </w:r>
      <w:r w:rsidRPr="00303ED1">
        <w:rPr>
          <w:color w:val="000000" w:themeColor="text1"/>
        </w:rPr>
        <w:t xml:space="preserve"> protein.  ACC protein, which is phosphorylated by the AMPK complex, inhibits the expression of key adipogenic markers such as LPL, SREBP-1, FAS and FABP4.  The NF-</w:t>
      </w:r>
      <w:r w:rsidRPr="00303ED1">
        <w:rPr>
          <w:color w:val="000000" w:themeColor="text1"/>
        </w:rPr>
        <w:sym w:font="Symbol" w:char="F06B"/>
      </w:r>
      <w:r w:rsidRPr="00303ED1">
        <w:rPr>
          <w:color w:val="000000" w:themeColor="text1"/>
        </w:rPr>
        <w:t xml:space="preserve">B complex, which regulates </w:t>
      </w:r>
      <w:r w:rsidR="00CE3093">
        <w:rPr>
          <w:color w:val="000000" w:themeColor="text1"/>
        </w:rPr>
        <w:t xml:space="preserve">the </w:t>
      </w:r>
      <w:r w:rsidRPr="00303ED1">
        <w:rPr>
          <w:color w:val="000000" w:themeColor="text1"/>
        </w:rPr>
        <w:t>expression of proinflammatory cytokines, possibly inhibits the C/EBP</w:t>
      </w:r>
      <w:r w:rsidRPr="00303ED1">
        <w:rPr>
          <w:color w:val="000000" w:themeColor="text1"/>
        </w:rPr>
        <w:sym w:font="Symbol" w:char="F062"/>
      </w:r>
      <w:r w:rsidRPr="00303ED1">
        <w:rPr>
          <w:color w:val="000000" w:themeColor="text1"/>
        </w:rPr>
        <w:t xml:space="preserve"> protein.  This protein promotes the expression of other key adipogenic transcription factors genes, including PPAR</w:t>
      </w:r>
      <w:r w:rsidRPr="00303ED1">
        <w:rPr>
          <w:color w:val="000000" w:themeColor="text1"/>
        </w:rPr>
        <w:sym w:font="Symbol" w:char="F067"/>
      </w:r>
      <w:r w:rsidRPr="00303ED1">
        <w:rPr>
          <w:color w:val="000000" w:themeColor="text1"/>
        </w:rPr>
        <w:t xml:space="preserve"> and C/EBP</w:t>
      </w:r>
      <w:r w:rsidRPr="00303ED1">
        <w:rPr>
          <w:color w:val="000000" w:themeColor="text1"/>
        </w:rPr>
        <w:sym w:font="Symbol" w:char="F061"/>
      </w:r>
      <w:r w:rsidRPr="00303ED1">
        <w:rPr>
          <w:color w:val="000000" w:themeColor="text1"/>
        </w:rPr>
        <w:t xml:space="preserve"> genes.  Once the C/EBP</w:t>
      </w:r>
      <w:r w:rsidRPr="00303ED1">
        <w:rPr>
          <w:color w:val="000000" w:themeColor="text1"/>
        </w:rPr>
        <w:sym w:font="Symbol" w:char="F062"/>
      </w:r>
      <w:r w:rsidRPr="00303ED1">
        <w:rPr>
          <w:color w:val="000000" w:themeColor="text1"/>
        </w:rPr>
        <w:t xml:space="preserve"> protein level is attenuated by the presence of LCB, the expression of PPAR</w:t>
      </w:r>
      <w:r w:rsidRPr="00303ED1">
        <w:rPr>
          <w:color w:val="000000" w:themeColor="text1"/>
        </w:rPr>
        <w:sym w:font="Symbol" w:char="F067"/>
      </w:r>
      <w:r w:rsidRPr="00303ED1">
        <w:rPr>
          <w:color w:val="000000" w:themeColor="text1"/>
        </w:rPr>
        <w:t>, C/EBP</w:t>
      </w:r>
      <w:r w:rsidRPr="00303ED1">
        <w:rPr>
          <w:color w:val="000000" w:themeColor="text1"/>
        </w:rPr>
        <w:sym w:font="Symbol" w:char="F061"/>
      </w:r>
      <w:r w:rsidRPr="00303ED1">
        <w:rPr>
          <w:color w:val="000000" w:themeColor="text1"/>
        </w:rPr>
        <w:t xml:space="preserve"> and other adipogenic enzymes such as FAS, LPL</w:t>
      </w:r>
      <w:r w:rsidR="00CE3093">
        <w:rPr>
          <w:color w:val="000000" w:themeColor="text1"/>
        </w:rPr>
        <w:t>,</w:t>
      </w:r>
      <w:r w:rsidRPr="00303ED1">
        <w:rPr>
          <w:color w:val="000000" w:themeColor="text1"/>
        </w:rPr>
        <w:t xml:space="preserve"> and FABP4 are downregulated.  The downregulation of adipogenic enzymes and the phosphorylation of ACC protein contributes to a reduction of lipid accumulation in the differentiating adipocytes.  In addition, C/EBP</w:t>
      </w:r>
      <w:r w:rsidRPr="00303ED1">
        <w:rPr>
          <w:color w:val="000000" w:themeColor="text1"/>
        </w:rPr>
        <w:sym w:font="Symbol" w:char="F062"/>
      </w:r>
      <w:r w:rsidRPr="00303ED1">
        <w:rPr>
          <w:color w:val="000000" w:themeColor="text1"/>
        </w:rPr>
        <w:t xml:space="preserve"> promotes the expression of cell-division and cell-cycle</w:t>
      </w:r>
      <w:r w:rsidR="008D1406">
        <w:rPr>
          <w:color w:val="000000" w:themeColor="text1"/>
        </w:rPr>
        <w:t>-</w:t>
      </w:r>
      <w:r w:rsidRPr="00303ED1">
        <w:rPr>
          <w:color w:val="000000" w:themeColor="text1"/>
        </w:rPr>
        <w:t xml:space="preserve">related genes such as </w:t>
      </w:r>
      <w:r w:rsidRPr="0025134B">
        <w:rPr>
          <w:i/>
          <w:iCs/>
          <w:color w:val="000000" w:themeColor="text1"/>
        </w:rPr>
        <w:t>Gins1</w:t>
      </w:r>
      <w:r w:rsidRPr="00303ED1">
        <w:rPr>
          <w:color w:val="000000" w:themeColor="text1"/>
        </w:rPr>
        <w:t xml:space="preserve">, </w:t>
      </w:r>
      <w:r w:rsidRPr="0025134B">
        <w:rPr>
          <w:i/>
          <w:iCs/>
          <w:color w:val="000000" w:themeColor="text1"/>
        </w:rPr>
        <w:t>Mcm3</w:t>
      </w:r>
      <w:r w:rsidRPr="00303ED1">
        <w:rPr>
          <w:color w:val="000000" w:themeColor="text1"/>
        </w:rPr>
        <w:t xml:space="preserve">, </w:t>
      </w:r>
      <w:r w:rsidRPr="0025134B">
        <w:rPr>
          <w:i/>
          <w:iCs/>
          <w:color w:val="000000" w:themeColor="text1"/>
        </w:rPr>
        <w:t>Cdc45l</w:t>
      </w:r>
      <w:r w:rsidRPr="00303ED1">
        <w:rPr>
          <w:color w:val="000000" w:themeColor="text1"/>
        </w:rPr>
        <w:t xml:space="preserve">, and </w:t>
      </w:r>
      <w:r w:rsidRPr="0025134B">
        <w:rPr>
          <w:i/>
          <w:iCs/>
          <w:color w:val="000000" w:themeColor="text1"/>
        </w:rPr>
        <w:t>Cdc25c</w:t>
      </w:r>
      <w:r w:rsidRPr="00303ED1">
        <w:rPr>
          <w:color w:val="000000" w:themeColor="text1"/>
        </w:rPr>
        <w:t>.  The downregulation of C/EBP</w:t>
      </w:r>
      <w:r w:rsidRPr="00303ED1">
        <w:rPr>
          <w:color w:val="000000" w:themeColor="text1"/>
        </w:rPr>
        <w:sym w:font="Symbol" w:char="F062"/>
      </w:r>
      <w:r w:rsidRPr="00303ED1">
        <w:rPr>
          <w:color w:val="000000" w:themeColor="text1"/>
        </w:rPr>
        <w:t xml:space="preserve"> protein affects the MCE, causing a defect in cell division and proliferation.  Together, the effect of LCB at the early stage of adipogenesis lead</w:t>
      </w:r>
      <w:r w:rsidR="00CE3093">
        <w:rPr>
          <w:color w:val="000000" w:themeColor="text1"/>
        </w:rPr>
        <w:t>s</w:t>
      </w:r>
      <w:r w:rsidRPr="00303ED1">
        <w:rPr>
          <w:color w:val="000000" w:themeColor="text1"/>
        </w:rPr>
        <w:t xml:space="preserve"> to the downregulation of the key adipogenic enzymes</w:t>
      </w:r>
      <w:r w:rsidRPr="00303ED1">
        <w:rPr>
          <w:color w:val="000000" w:themeColor="text1"/>
          <w:cs/>
        </w:rPr>
        <w:t xml:space="preserve"> </w:t>
      </w:r>
      <w:r w:rsidRPr="00303ED1">
        <w:rPr>
          <w:color w:val="000000" w:themeColor="text1"/>
        </w:rPr>
        <w:t xml:space="preserve">at the intermediate phase of adipocyte differentiation, resulting in the reduction </w:t>
      </w:r>
      <w:r w:rsidRPr="008B132F">
        <w:rPr>
          <w:color w:val="000000" w:themeColor="text1"/>
        </w:rPr>
        <w:t>of lipid accumulation in cells</w:t>
      </w:r>
      <w:r w:rsidRPr="008B132F">
        <w:rPr>
          <w:color w:val="000000" w:themeColor="text1"/>
          <w:cs/>
        </w:rPr>
        <w:t>.</w:t>
      </w:r>
    </w:p>
    <w:p w14:paraId="2FFC983A" w14:textId="62DA8320" w:rsidR="0025134B" w:rsidRPr="00EA15A1" w:rsidRDefault="0025134B" w:rsidP="00EA15A1">
      <w:pPr>
        <w:rPr>
          <w:color w:val="000000" w:themeColor="text1"/>
        </w:rPr>
      </w:pPr>
    </w:p>
    <w:sectPr w:rsidR="0025134B" w:rsidRPr="00EA15A1" w:rsidSect="0007170B">
      <w:headerReference w:type="even" r:id="rId7"/>
      <w:head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54A6EF" w14:textId="77777777" w:rsidR="008E3346" w:rsidRDefault="008E3346" w:rsidP="00BA0FAF">
      <w:r>
        <w:separator/>
      </w:r>
    </w:p>
  </w:endnote>
  <w:endnote w:type="continuationSeparator" w:id="0">
    <w:p w14:paraId="7A87B546" w14:textId="77777777" w:rsidR="008E3346" w:rsidRDefault="008E3346" w:rsidP="00BA0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rdia New">
    <w:altName w:val="Microsoft Sans Serif"/>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altName w:val="Leelawadee UI"/>
    <w:panose1 w:val="02020603050405020304"/>
    <w:charset w:val="00"/>
    <w:family w:val="roman"/>
    <w:pitch w:val="variable"/>
    <w:sig w:usb0="81000003" w:usb1="00000000" w:usb2="00000000" w:usb3="00000000" w:csb0="0001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47AD70" w14:textId="77777777" w:rsidR="008E3346" w:rsidRDefault="008E3346" w:rsidP="00BA0FAF">
      <w:r>
        <w:separator/>
      </w:r>
    </w:p>
  </w:footnote>
  <w:footnote w:type="continuationSeparator" w:id="0">
    <w:p w14:paraId="07B489F2" w14:textId="77777777" w:rsidR="008E3346" w:rsidRDefault="008E3346" w:rsidP="00BA0F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98424963"/>
      <w:docPartObj>
        <w:docPartGallery w:val="Page Numbers (Top of Page)"/>
        <w:docPartUnique/>
      </w:docPartObj>
    </w:sdtPr>
    <w:sdtEndPr>
      <w:rPr>
        <w:rStyle w:val="PageNumber"/>
      </w:rPr>
    </w:sdtEndPr>
    <w:sdtContent>
      <w:p w14:paraId="365C33DA" w14:textId="08919042" w:rsidR="006D0889" w:rsidRDefault="006D0889" w:rsidP="0001507D">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588E69" w14:textId="77777777" w:rsidR="006D0889" w:rsidRDefault="006D08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4815201"/>
      <w:docPartObj>
        <w:docPartGallery w:val="Page Numbers (Top of Page)"/>
        <w:docPartUnique/>
      </w:docPartObj>
    </w:sdtPr>
    <w:sdtEndPr>
      <w:rPr>
        <w:rStyle w:val="PageNumber"/>
      </w:rPr>
    </w:sdtEndPr>
    <w:sdtContent>
      <w:p w14:paraId="648359F2" w14:textId="45012BED" w:rsidR="006D0889" w:rsidRDefault="006D0889" w:rsidP="0001507D">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D6451A">
          <w:rPr>
            <w:rStyle w:val="PageNumber"/>
            <w:noProof/>
          </w:rPr>
          <w:t>3</w:t>
        </w:r>
        <w:r>
          <w:rPr>
            <w:rStyle w:val="PageNumber"/>
          </w:rPr>
          <w:fldChar w:fldCharType="end"/>
        </w:r>
      </w:p>
    </w:sdtContent>
  </w:sdt>
  <w:p w14:paraId="03FEE427" w14:textId="77777777" w:rsidR="006D0889" w:rsidRDefault="006D08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167"/>
    <w:rsid w:val="0001507D"/>
    <w:rsid w:val="000220AC"/>
    <w:rsid w:val="00041F96"/>
    <w:rsid w:val="0005102B"/>
    <w:rsid w:val="0007170B"/>
    <w:rsid w:val="00074443"/>
    <w:rsid w:val="00074481"/>
    <w:rsid w:val="00083786"/>
    <w:rsid w:val="00085DA3"/>
    <w:rsid w:val="0009791F"/>
    <w:rsid w:val="000B1D62"/>
    <w:rsid w:val="000E18A5"/>
    <w:rsid w:val="000F34AA"/>
    <w:rsid w:val="001010DB"/>
    <w:rsid w:val="001035AB"/>
    <w:rsid w:val="00127362"/>
    <w:rsid w:val="00132B53"/>
    <w:rsid w:val="001812DA"/>
    <w:rsid w:val="00185DDC"/>
    <w:rsid w:val="00185FC6"/>
    <w:rsid w:val="001A2F4E"/>
    <w:rsid w:val="001C3DEE"/>
    <w:rsid w:val="001D2756"/>
    <w:rsid w:val="002058AB"/>
    <w:rsid w:val="0020688A"/>
    <w:rsid w:val="0022691E"/>
    <w:rsid w:val="00244785"/>
    <w:rsid w:val="0025134B"/>
    <w:rsid w:val="00252B54"/>
    <w:rsid w:val="00257480"/>
    <w:rsid w:val="00272DD8"/>
    <w:rsid w:val="002C6E03"/>
    <w:rsid w:val="002D13E9"/>
    <w:rsid w:val="002D6155"/>
    <w:rsid w:val="002E0741"/>
    <w:rsid w:val="002E6CD0"/>
    <w:rsid w:val="002F7B8B"/>
    <w:rsid w:val="0030196E"/>
    <w:rsid w:val="003033EE"/>
    <w:rsid w:val="00303ED1"/>
    <w:rsid w:val="003178D4"/>
    <w:rsid w:val="003208D7"/>
    <w:rsid w:val="00322681"/>
    <w:rsid w:val="00322CCB"/>
    <w:rsid w:val="00340BD4"/>
    <w:rsid w:val="003523A5"/>
    <w:rsid w:val="00352805"/>
    <w:rsid w:val="00357D4F"/>
    <w:rsid w:val="00363A95"/>
    <w:rsid w:val="00380B58"/>
    <w:rsid w:val="003D6776"/>
    <w:rsid w:val="003E1620"/>
    <w:rsid w:val="003E5D89"/>
    <w:rsid w:val="003F5693"/>
    <w:rsid w:val="003F762B"/>
    <w:rsid w:val="00400975"/>
    <w:rsid w:val="00421FBD"/>
    <w:rsid w:val="00423B04"/>
    <w:rsid w:val="00423BE9"/>
    <w:rsid w:val="00426893"/>
    <w:rsid w:val="00434967"/>
    <w:rsid w:val="00435E5A"/>
    <w:rsid w:val="00457788"/>
    <w:rsid w:val="0045797D"/>
    <w:rsid w:val="004744A3"/>
    <w:rsid w:val="00481BAE"/>
    <w:rsid w:val="004B7FF0"/>
    <w:rsid w:val="004E0B3A"/>
    <w:rsid w:val="005011F4"/>
    <w:rsid w:val="00506CEA"/>
    <w:rsid w:val="005120D3"/>
    <w:rsid w:val="00515957"/>
    <w:rsid w:val="00517943"/>
    <w:rsid w:val="00525121"/>
    <w:rsid w:val="00535EA6"/>
    <w:rsid w:val="005404A0"/>
    <w:rsid w:val="00597167"/>
    <w:rsid w:val="005A081E"/>
    <w:rsid w:val="005A172C"/>
    <w:rsid w:val="005D670D"/>
    <w:rsid w:val="005E0ABA"/>
    <w:rsid w:val="005E7BDF"/>
    <w:rsid w:val="005F10A0"/>
    <w:rsid w:val="00600545"/>
    <w:rsid w:val="006121F8"/>
    <w:rsid w:val="00621A34"/>
    <w:rsid w:val="00633715"/>
    <w:rsid w:val="00665AFA"/>
    <w:rsid w:val="006819FB"/>
    <w:rsid w:val="006A425A"/>
    <w:rsid w:val="006C7E09"/>
    <w:rsid w:val="006D0889"/>
    <w:rsid w:val="006E5607"/>
    <w:rsid w:val="006E7AD4"/>
    <w:rsid w:val="006F736B"/>
    <w:rsid w:val="00710A55"/>
    <w:rsid w:val="0072129A"/>
    <w:rsid w:val="00721902"/>
    <w:rsid w:val="007368B4"/>
    <w:rsid w:val="00752946"/>
    <w:rsid w:val="00762A94"/>
    <w:rsid w:val="00771A64"/>
    <w:rsid w:val="007726A9"/>
    <w:rsid w:val="00795789"/>
    <w:rsid w:val="007A271E"/>
    <w:rsid w:val="007B1C51"/>
    <w:rsid w:val="007C13BC"/>
    <w:rsid w:val="007C4784"/>
    <w:rsid w:val="00806B92"/>
    <w:rsid w:val="00831C00"/>
    <w:rsid w:val="008320A1"/>
    <w:rsid w:val="00834CFA"/>
    <w:rsid w:val="008668B2"/>
    <w:rsid w:val="0089345D"/>
    <w:rsid w:val="008A7BA8"/>
    <w:rsid w:val="008B7062"/>
    <w:rsid w:val="008C4D90"/>
    <w:rsid w:val="008C7D5D"/>
    <w:rsid w:val="008D1406"/>
    <w:rsid w:val="008D68F5"/>
    <w:rsid w:val="008E10FC"/>
    <w:rsid w:val="008E3346"/>
    <w:rsid w:val="008E5827"/>
    <w:rsid w:val="008E61FD"/>
    <w:rsid w:val="0090004E"/>
    <w:rsid w:val="0090037B"/>
    <w:rsid w:val="00913AE2"/>
    <w:rsid w:val="00923576"/>
    <w:rsid w:val="0092438E"/>
    <w:rsid w:val="00927FC9"/>
    <w:rsid w:val="009545D5"/>
    <w:rsid w:val="00954A20"/>
    <w:rsid w:val="00967FC3"/>
    <w:rsid w:val="00973E41"/>
    <w:rsid w:val="00973F6B"/>
    <w:rsid w:val="009815C1"/>
    <w:rsid w:val="0098382B"/>
    <w:rsid w:val="00984FEA"/>
    <w:rsid w:val="0098597E"/>
    <w:rsid w:val="00992E54"/>
    <w:rsid w:val="009A1109"/>
    <w:rsid w:val="009A307F"/>
    <w:rsid w:val="009B5BD0"/>
    <w:rsid w:val="009C678F"/>
    <w:rsid w:val="009D0E89"/>
    <w:rsid w:val="009D554C"/>
    <w:rsid w:val="009D668F"/>
    <w:rsid w:val="009F41B4"/>
    <w:rsid w:val="00A072D8"/>
    <w:rsid w:val="00A17AA5"/>
    <w:rsid w:val="00A4684B"/>
    <w:rsid w:val="00A70E16"/>
    <w:rsid w:val="00A767C8"/>
    <w:rsid w:val="00A76E28"/>
    <w:rsid w:val="00A930B0"/>
    <w:rsid w:val="00A9324F"/>
    <w:rsid w:val="00AA52D1"/>
    <w:rsid w:val="00AC763E"/>
    <w:rsid w:val="00B064BA"/>
    <w:rsid w:val="00B12DBB"/>
    <w:rsid w:val="00B16A07"/>
    <w:rsid w:val="00B22769"/>
    <w:rsid w:val="00B3347D"/>
    <w:rsid w:val="00B5340A"/>
    <w:rsid w:val="00B53C1C"/>
    <w:rsid w:val="00B5466A"/>
    <w:rsid w:val="00B6421F"/>
    <w:rsid w:val="00B82ED9"/>
    <w:rsid w:val="00B9096A"/>
    <w:rsid w:val="00B90C6A"/>
    <w:rsid w:val="00B97C9F"/>
    <w:rsid w:val="00B97E87"/>
    <w:rsid w:val="00BA0FAF"/>
    <w:rsid w:val="00BA414B"/>
    <w:rsid w:val="00BC359D"/>
    <w:rsid w:val="00BD5E9B"/>
    <w:rsid w:val="00BF1E22"/>
    <w:rsid w:val="00C00267"/>
    <w:rsid w:val="00C135F6"/>
    <w:rsid w:val="00C322CD"/>
    <w:rsid w:val="00C55F5A"/>
    <w:rsid w:val="00C7581E"/>
    <w:rsid w:val="00C77564"/>
    <w:rsid w:val="00C873FE"/>
    <w:rsid w:val="00CA1014"/>
    <w:rsid w:val="00CD57F3"/>
    <w:rsid w:val="00CD6FD6"/>
    <w:rsid w:val="00CE2D43"/>
    <w:rsid w:val="00CE3093"/>
    <w:rsid w:val="00CF3E9A"/>
    <w:rsid w:val="00CF7F27"/>
    <w:rsid w:val="00D02EC5"/>
    <w:rsid w:val="00D11440"/>
    <w:rsid w:val="00D467DA"/>
    <w:rsid w:val="00D50907"/>
    <w:rsid w:val="00D63245"/>
    <w:rsid w:val="00D6451A"/>
    <w:rsid w:val="00D74962"/>
    <w:rsid w:val="00D96161"/>
    <w:rsid w:val="00DA3A43"/>
    <w:rsid w:val="00DD071E"/>
    <w:rsid w:val="00DE34BB"/>
    <w:rsid w:val="00DE47D8"/>
    <w:rsid w:val="00DE55C7"/>
    <w:rsid w:val="00DE731E"/>
    <w:rsid w:val="00E405F5"/>
    <w:rsid w:val="00E45A17"/>
    <w:rsid w:val="00E51DC9"/>
    <w:rsid w:val="00E553A0"/>
    <w:rsid w:val="00E57184"/>
    <w:rsid w:val="00E66EF0"/>
    <w:rsid w:val="00E73A0B"/>
    <w:rsid w:val="00E91D6D"/>
    <w:rsid w:val="00E9562C"/>
    <w:rsid w:val="00EA15A1"/>
    <w:rsid w:val="00F03B06"/>
    <w:rsid w:val="00F30AAC"/>
    <w:rsid w:val="00F33D6F"/>
    <w:rsid w:val="00F37A0F"/>
    <w:rsid w:val="00F433E9"/>
    <w:rsid w:val="00F50EA8"/>
    <w:rsid w:val="00F51DDB"/>
    <w:rsid w:val="00F52C63"/>
    <w:rsid w:val="00F71276"/>
    <w:rsid w:val="00F929B3"/>
    <w:rsid w:val="00FB38A0"/>
    <w:rsid w:val="00FF045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2A49"/>
  <w15:chartTrackingRefBased/>
  <w15:docId w15:val="{51DE53CF-4805-4543-9085-62C37505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30"/>
        <w:lang w:val="en-US" w:eastAsia="en-US" w:bidi="th-TH"/>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1D62"/>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C3DEE"/>
    <w:rPr>
      <w:i/>
      <w:iCs/>
    </w:rPr>
  </w:style>
  <w:style w:type="character" w:customStyle="1" w:styleId="hgkelc">
    <w:name w:val="hgkelc"/>
    <w:basedOn w:val="DefaultParagraphFont"/>
    <w:rsid w:val="00423BE9"/>
  </w:style>
  <w:style w:type="paragraph" w:customStyle="1" w:styleId="Default">
    <w:name w:val="Default"/>
    <w:rsid w:val="006F736B"/>
    <w:pPr>
      <w:autoSpaceDE w:val="0"/>
      <w:autoSpaceDN w:val="0"/>
      <w:adjustRightInd w:val="0"/>
    </w:pPr>
    <w:rPr>
      <w:rFonts w:ascii="Times New Roman" w:hAnsi="Times New Roman" w:cs="Times New Roman"/>
      <w:color w:val="000000"/>
      <w:szCs w:val="24"/>
    </w:rPr>
  </w:style>
  <w:style w:type="character" w:styleId="LineNumber">
    <w:name w:val="line number"/>
    <w:basedOn w:val="DefaultParagraphFont"/>
    <w:uiPriority w:val="99"/>
    <w:semiHidden/>
    <w:unhideWhenUsed/>
    <w:rsid w:val="0007170B"/>
  </w:style>
  <w:style w:type="character" w:styleId="Hyperlink">
    <w:name w:val="Hyperlink"/>
    <w:basedOn w:val="DefaultParagraphFont"/>
    <w:uiPriority w:val="99"/>
    <w:unhideWhenUsed/>
    <w:rsid w:val="0007170B"/>
    <w:rPr>
      <w:color w:val="0563C1" w:themeColor="hyperlink"/>
      <w:u w:val="single"/>
    </w:rPr>
  </w:style>
  <w:style w:type="paragraph" w:styleId="Header">
    <w:name w:val="header"/>
    <w:basedOn w:val="Normal"/>
    <w:link w:val="HeaderChar"/>
    <w:uiPriority w:val="99"/>
    <w:unhideWhenUsed/>
    <w:rsid w:val="00BA0FAF"/>
    <w:pPr>
      <w:tabs>
        <w:tab w:val="center" w:pos="4680"/>
        <w:tab w:val="right" w:pos="9360"/>
      </w:tabs>
    </w:pPr>
    <w:rPr>
      <w:rFonts w:cs="Angsana New"/>
      <w:szCs w:val="30"/>
    </w:rPr>
  </w:style>
  <w:style w:type="character" w:customStyle="1" w:styleId="HeaderChar">
    <w:name w:val="Header Char"/>
    <w:basedOn w:val="DefaultParagraphFont"/>
    <w:link w:val="Header"/>
    <w:uiPriority w:val="99"/>
    <w:rsid w:val="00BA0FAF"/>
    <w:rPr>
      <w:rFonts w:ascii="Times New Roman" w:eastAsia="Times New Roman" w:hAnsi="Times New Roman" w:cs="Angsana New"/>
    </w:rPr>
  </w:style>
  <w:style w:type="character" w:styleId="PageNumber">
    <w:name w:val="page number"/>
    <w:basedOn w:val="DefaultParagraphFont"/>
    <w:uiPriority w:val="99"/>
    <w:semiHidden/>
    <w:unhideWhenUsed/>
    <w:rsid w:val="00BA0F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553415">
      <w:bodyDiv w:val="1"/>
      <w:marLeft w:val="0"/>
      <w:marRight w:val="0"/>
      <w:marTop w:val="0"/>
      <w:marBottom w:val="0"/>
      <w:divBdr>
        <w:top w:val="none" w:sz="0" w:space="0" w:color="auto"/>
        <w:left w:val="none" w:sz="0" w:space="0" w:color="auto"/>
        <w:bottom w:val="none" w:sz="0" w:space="0" w:color="auto"/>
        <w:right w:val="none" w:sz="0" w:space="0" w:color="auto"/>
      </w:divBdr>
    </w:div>
    <w:div w:id="93525331">
      <w:bodyDiv w:val="1"/>
      <w:marLeft w:val="0"/>
      <w:marRight w:val="0"/>
      <w:marTop w:val="0"/>
      <w:marBottom w:val="0"/>
      <w:divBdr>
        <w:top w:val="none" w:sz="0" w:space="0" w:color="auto"/>
        <w:left w:val="none" w:sz="0" w:space="0" w:color="auto"/>
        <w:bottom w:val="none" w:sz="0" w:space="0" w:color="auto"/>
        <w:right w:val="none" w:sz="0" w:space="0" w:color="auto"/>
      </w:divBdr>
    </w:div>
    <w:div w:id="125129380">
      <w:bodyDiv w:val="1"/>
      <w:marLeft w:val="0"/>
      <w:marRight w:val="0"/>
      <w:marTop w:val="0"/>
      <w:marBottom w:val="0"/>
      <w:divBdr>
        <w:top w:val="none" w:sz="0" w:space="0" w:color="auto"/>
        <w:left w:val="none" w:sz="0" w:space="0" w:color="auto"/>
        <w:bottom w:val="none" w:sz="0" w:space="0" w:color="auto"/>
        <w:right w:val="none" w:sz="0" w:space="0" w:color="auto"/>
      </w:divBdr>
    </w:div>
    <w:div w:id="222446204">
      <w:bodyDiv w:val="1"/>
      <w:marLeft w:val="0"/>
      <w:marRight w:val="0"/>
      <w:marTop w:val="0"/>
      <w:marBottom w:val="0"/>
      <w:divBdr>
        <w:top w:val="none" w:sz="0" w:space="0" w:color="auto"/>
        <w:left w:val="none" w:sz="0" w:space="0" w:color="auto"/>
        <w:bottom w:val="none" w:sz="0" w:space="0" w:color="auto"/>
        <w:right w:val="none" w:sz="0" w:space="0" w:color="auto"/>
      </w:divBdr>
    </w:div>
    <w:div w:id="301496338">
      <w:bodyDiv w:val="1"/>
      <w:marLeft w:val="0"/>
      <w:marRight w:val="0"/>
      <w:marTop w:val="0"/>
      <w:marBottom w:val="0"/>
      <w:divBdr>
        <w:top w:val="none" w:sz="0" w:space="0" w:color="auto"/>
        <w:left w:val="none" w:sz="0" w:space="0" w:color="auto"/>
        <w:bottom w:val="none" w:sz="0" w:space="0" w:color="auto"/>
        <w:right w:val="none" w:sz="0" w:space="0" w:color="auto"/>
      </w:divBdr>
    </w:div>
    <w:div w:id="409889331">
      <w:bodyDiv w:val="1"/>
      <w:marLeft w:val="0"/>
      <w:marRight w:val="0"/>
      <w:marTop w:val="0"/>
      <w:marBottom w:val="0"/>
      <w:divBdr>
        <w:top w:val="none" w:sz="0" w:space="0" w:color="auto"/>
        <w:left w:val="none" w:sz="0" w:space="0" w:color="auto"/>
        <w:bottom w:val="none" w:sz="0" w:space="0" w:color="auto"/>
        <w:right w:val="none" w:sz="0" w:space="0" w:color="auto"/>
      </w:divBdr>
    </w:div>
    <w:div w:id="668754647">
      <w:bodyDiv w:val="1"/>
      <w:marLeft w:val="0"/>
      <w:marRight w:val="0"/>
      <w:marTop w:val="0"/>
      <w:marBottom w:val="0"/>
      <w:divBdr>
        <w:top w:val="none" w:sz="0" w:space="0" w:color="auto"/>
        <w:left w:val="none" w:sz="0" w:space="0" w:color="auto"/>
        <w:bottom w:val="none" w:sz="0" w:space="0" w:color="auto"/>
        <w:right w:val="none" w:sz="0" w:space="0" w:color="auto"/>
      </w:divBdr>
    </w:div>
    <w:div w:id="704982767">
      <w:bodyDiv w:val="1"/>
      <w:marLeft w:val="0"/>
      <w:marRight w:val="0"/>
      <w:marTop w:val="0"/>
      <w:marBottom w:val="0"/>
      <w:divBdr>
        <w:top w:val="none" w:sz="0" w:space="0" w:color="auto"/>
        <w:left w:val="none" w:sz="0" w:space="0" w:color="auto"/>
        <w:bottom w:val="none" w:sz="0" w:space="0" w:color="auto"/>
        <w:right w:val="none" w:sz="0" w:space="0" w:color="auto"/>
      </w:divBdr>
    </w:div>
    <w:div w:id="822939117">
      <w:bodyDiv w:val="1"/>
      <w:marLeft w:val="0"/>
      <w:marRight w:val="0"/>
      <w:marTop w:val="0"/>
      <w:marBottom w:val="0"/>
      <w:divBdr>
        <w:top w:val="none" w:sz="0" w:space="0" w:color="auto"/>
        <w:left w:val="none" w:sz="0" w:space="0" w:color="auto"/>
        <w:bottom w:val="none" w:sz="0" w:space="0" w:color="auto"/>
        <w:right w:val="none" w:sz="0" w:space="0" w:color="auto"/>
      </w:divBdr>
    </w:div>
    <w:div w:id="1287078385">
      <w:bodyDiv w:val="1"/>
      <w:marLeft w:val="0"/>
      <w:marRight w:val="0"/>
      <w:marTop w:val="0"/>
      <w:marBottom w:val="0"/>
      <w:divBdr>
        <w:top w:val="none" w:sz="0" w:space="0" w:color="auto"/>
        <w:left w:val="none" w:sz="0" w:space="0" w:color="auto"/>
        <w:bottom w:val="none" w:sz="0" w:space="0" w:color="auto"/>
        <w:right w:val="none" w:sz="0" w:space="0" w:color="auto"/>
      </w:divBdr>
    </w:div>
    <w:div w:id="186366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C426CF-2578-4FE8-BDDF-5BAB79D1E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1742</Words>
  <Characters>9934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DECHA SERMWITTAYAWONG (เดชา เสริมวิทยวงศ์)</dc:creator>
  <cp:keywords/>
  <dc:description/>
  <cp:lastModifiedBy>Amruta Dange</cp:lastModifiedBy>
  <cp:revision>3</cp:revision>
  <dcterms:created xsi:type="dcterms:W3CDTF">2021-02-26T15:41:00Z</dcterms:created>
  <dcterms:modified xsi:type="dcterms:W3CDTF">2021-03-07T17:12:00Z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e77d00d9-22cd-3ae7-86fa-6b99aa28452b</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http://www.zotero.org/styles/cell</vt:lpwstr>
  </property>
  <property fmtid="{D5CDD505-2E9C-101B-9397-08002B2CF9AE}" pid="10" name="Mendeley Recent Style Name 2_1">
    <vt:lpwstr>Cell</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http://www.zotero.org/styles/genes-and-development</vt:lpwstr>
  </property>
  <property fmtid="{D5CDD505-2E9C-101B-9397-08002B2CF9AE}" pid="16" name="Mendeley Recent Style Name 5_1">
    <vt:lpwstr>Genes &amp; Development</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