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7DB821" w14:textId="77777777" w:rsidR="006424BD" w:rsidRDefault="006424BD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2B0D81BD" w14:textId="77777777" w:rsidR="006424BD" w:rsidRDefault="006424BD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4036E888" w14:textId="77777777" w:rsidR="006424BD" w:rsidRDefault="003A3F8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Table 2. Summary of the H-S-A three-dye method for neutrophil stage readouts.</w:t>
      </w:r>
    </w:p>
    <w:tbl>
      <w:tblPr>
        <w:tblStyle w:val="a0"/>
        <w:tblW w:w="91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50"/>
        <w:gridCol w:w="1710"/>
        <w:gridCol w:w="1455"/>
        <w:gridCol w:w="1230"/>
        <w:gridCol w:w="2475"/>
        <w:gridCol w:w="1215"/>
      </w:tblGrid>
      <w:tr w:rsidR="006424BD" w14:paraId="2E80C6E2" w14:textId="77777777">
        <w:trPr>
          <w:trHeight w:val="635"/>
        </w:trPr>
        <w:tc>
          <w:tcPr>
            <w:tcW w:w="105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37E14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 stain</w:t>
            </w:r>
          </w:p>
        </w:tc>
        <w:tc>
          <w:tcPr>
            <w:tcW w:w="171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8827B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Molecular function</w:t>
            </w:r>
          </w:p>
        </w:tc>
        <w:tc>
          <w:tcPr>
            <w:tcW w:w="145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291E2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component</w:t>
            </w:r>
          </w:p>
        </w:tc>
        <w:tc>
          <w:tcPr>
            <w:tcW w:w="123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365D7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Neutrophil stage</w:t>
            </w:r>
          </w:p>
        </w:tc>
        <w:tc>
          <w:tcPr>
            <w:tcW w:w="247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6C1AC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Note</w:t>
            </w:r>
          </w:p>
          <w:p w14:paraId="0CC0B1CA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(Supplementary Fig. 1)</w:t>
            </w:r>
          </w:p>
        </w:tc>
        <w:tc>
          <w:tcPr>
            <w:tcW w:w="121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13EBD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Readout</w:t>
            </w:r>
          </w:p>
        </w:tc>
      </w:tr>
      <w:tr w:rsidR="006424BD" w14:paraId="48AC41BF" w14:textId="77777777">
        <w:trPr>
          <w:trHeight w:val="2105"/>
        </w:trPr>
        <w:tc>
          <w:tcPr>
            <w:tcW w:w="1050" w:type="dxa"/>
            <w:tcBorders>
              <w:top w:val="nil"/>
              <w:left w:val="nil"/>
              <w:bottom w:val="single" w:sz="6" w:space="0" w:color="7F7F7F"/>
              <w:right w:val="nil"/>
            </w:tcBorders>
            <w:shd w:val="clear" w:color="auto" w:fill="0432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A86FF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Hoechst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9B5A3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Membrane permeable DNA stain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9EF40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Nuclei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C5D90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Healthy cells</w:t>
            </w:r>
          </w:p>
          <w:p w14:paraId="2D3E4C0F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Early apoptosis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8A0E8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Hoechst is only used for end-point staining to avoid DNA damage and artifacts.</w:t>
            </w:r>
          </w:p>
          <w:p w14:paraId="6241CCBB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Hoechst doesn’t stain the DNA content in the presence of Sytox.</w:t>
            </w:r>
          </w:p>
          <w:p w14:paraId="115803B8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Hoechst shows poor staining contrast in human blood plasma.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35EE4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Circularity of nuc</w:t>
            </w:r>
            <w:r>
              <w:rPr>
                <w:sz w:val="18"/>
                <w:szCs w:val="18"/>
              </w:rPr>
              <w:t>lei (Supplementary Fig. 2)</w:t>
            </w:r>
          </w:p>
        </w:tc>
      </w:tr>
      <w:tr w:rsidR="006424BD" w14:paraId="01285952" w14:textId="77777777">
        <w:trPr>
          <w:trHeight w:val="3155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00FA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30C0A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Sytox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19254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Membrane impermeable DNA stain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79148" w14:textId="5374DBF5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NETs (</w:t>
            </w:r>
            <w:r w:rsidR="00F9609C">
              <w:rPr>
                <w:sz w:val="18"/>
                <w:szCs w:val="18"/>
              </w:rPr>
              <w:t>i.e.,</w:t>
            </w:r>
            <w:r>
              <w:rPr>
                <w:sz w:val="18"/>
                <w:szCs w:val="18"/>
              </w:rPr>
              <w:t xml:space="preserve"> decondensed nuclei)</w:t>
            </w:r>
          </w:p>
          <w:p w14:paraId="69BD5F28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Condensed nuclei (with ruptured cytoplasm membrane)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85FDE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Suicidal NETosis</w:t>
            </w:r>
          </w:p>
          <w:p w14:paraId="7382956C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Vital NETosis</w:t>
            </w:r>
          </w:p>
          <w:p w14:paraId="73AB3EE7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Sec. necrosis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908B3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Sytox</w:t>
            </w:r>
            <w:r>
              <w:rPr>
                <w:sz w:val="18"/>
                <w:szCs w:val="18"/>
              </w:rPr>
              <w:t xml:space="preserve"> can be used for either real-time or end-point staining.</w:t>
            </w:r>
          </w:p>
          <w:p w14:paraId="08EF7A58" w14:textId="0BA6B47E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 xml:space="preserve">Real-time staining causes positive error, </w:t>
            </w:r>
            <w:r w:rsidR="00F9609C">
              <w:rPr>
                <w:sz w:val="18"/>
                <w:szCs w:val="18"/>
              </w:rPr>
              <w:t>i.e.,</w:t>
            </w:r>
            <w:r>
              <w:rPr>
                <w:sz w:val="18"/>
                <w:szCs w:val="18"/>
              </w:rPr>
              <w:t xml:space="preserve"> more non-specific activation of neutrophils, due to cytotoxicity especially when used at high concentration compared to no-dye control.</w:t>
            </w:r>
          </w:p>
          <w:p w14:paraId="6635481A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End-point sta</w:t>
            </w:r>
            <w:r>
              <w:rPr>
                <w:sz w:val="18"/>
                <w:szCs w:val="18"/>
              </w:rPr>
              <w:t>ining causes negative error due to the dissociation of NETs during pipet mixing.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BE7E3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Area fraction (Supplementary Fig. 3)</w:t>
            </w:r>
          </w:p>
          <w:p w14:paraId="3A9BAC28" w14:textId="77777777" w:rsidR="006424BD" w:rsidRDefault="006424BD">
            <w:pPr>
              <w:spacing w:line="240" w:lineRule="auto"/>
              <w:jc w:val="both"/>
              <w:rPr>
                <w:sz w:val="18"/>
                <w:szCs w:val="18"/>
              </w:rPr>
            </w:pPr>
          </w:p>
        </w:tc>
      </w:tr>
      <w:tr w:rsidR="006424BD" w14:paraId="06979605" w14:textId="77777777">
        <w:trPr>
          <w:trHeight w:val="2525"/>
        </w:trPr>
        <w:tc>
          <w:tcPr>
            <w:tcW w:w="105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shd w:val="clear" w:color="auto" w:fill="FF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749A7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Annexin V</w:t>
            </w:r>
          </w:p>
        </w:tc>
        <w:tc>
          <w:tcPr>
            <w:tcW w:w="171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13B40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Membrane impermeable phosphatidylserine stain</w:t>
            </w:r>
          </w:p>
        </w:tc>
        <w:tc>
          <w:tcPr>
            <w:tcW w:w="145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AD256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Cytoplasm membrane (of dying and dead cells)</w:t>
            </w:r>
          </w:p>
        </w:tc>
        <w:tc>
          <w:tcPr>
            <w:tcW w:w="1230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3FDCB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Early apoptosis</w:t>
            </w:r>
          </w:p>
          <w:p w14:paraId="47EC1256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 xml:space="preserve">Sec. </w:t>
            </w:r>
            <w:r>
              <w:rPr>
                <w:sz w:val="18"/>
                <w:szCs w:val="18"/>
              </w:rPr>
              <w:t>necrosis</w:t>
            </w:r>
          </w:p>
          <w:p w14:paraId="468852EB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Suicidal NETosis</w:t>
            </w:r>
          </w:p>
        </w:tc>
        <w:tc>
          <w:tcPr>
            <w:tcW w:w="247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1EDDD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Annexin V can be used for either real-time or end-point staining.</w:t>
            </w:r>
          </w:p>
          <w:p w14:paraId="546F3816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Annexin V doesn’t stain when used in human plasma or RPMI supplemented with human plasma but functions normally in HPLM supplemented with human plasma.</w:t>
            </w:r>
          </w:p>
        </w:tc>
        <w:tc>
          <w:tcPr>
            <w:tcW w:w="1215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7871F" w14:textId="77777777" w:rsidR="006424BD" w:rsidRDefault="003A3F80">
            <w:pPr>
              <w:spacing w:line="240" w:lineRule="auto"/>
              <w:jc w:val="both"/>
              <w:rPr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highlight w:val="white"/>
              </w:rPr>
              <w:t>⋅</w:t>
            </w:r>
            <w:r>
              <w:rPr>
                <w:sz w:val="18"/>
                <w:szCs w:val="18"/>
              </w:rPr>
              <w:t>Area fra</w:t>
            </w:r>
            <w:r>
              <w:rPr>
                <w:sz w:val="18"/>
                <w:szCs w:val="18"/>
              </w:rPr>
              <w:t>ction</w:t>
            </w:r>
          </w:p>
        </w:tc>
      </w:tr>
    </w:tbl>
    <w:p w14:paraId="0062E48F" w14:textId="77777777" w:rsidR="006424BD" w:rsidRDefault="006424BD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</w:p>
    <w:sectPr w:rsidR="006424BD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4E7AB4" w14:textId="77777777" w:rsidR="003A3F80" w:rsidRDefault="003A3F80">
      <w:pPr>
        <w:spacing w:line="240" w:lineRule="auto"/>
      </w:pPr>
      <w:r>
        <w:separator/>
      </w:r>
    </w:p>
  </w:endnote>
  <w:endnote w:type="continuationSeparator" w:id="0">
    <w:p w14:paraId="0DDAB04C" w14:textId="77777777" w:rsidR="003A3F80" w:rsidRDefault="003A3F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3D2ACA" w14:textId="77777777" w:rsidR="006424BD" w:rsidRDefault="003A3F80">
    <w:pPr>
      <w:jc w:val="right"/>
    </w:pPr>
    <w:r>
      <w:fldChar w:fldCharType="begin"/>
    </w:r>
    <w:r>
      <w:instrText>PAGE</w:instrText>
    </w:r>
    <w:r>
      <w:fldChar w:fldCharType="separate"/>
    </w:r>
    <w:r w:rsidR="002707F5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5B3915" w14:textId="77777777" w:rsidR="003A3F80" w:rsidRDefault="003A3F80">
      <w:pPr>
        <w:spacing w:line="240" w:lineRule="auto"/>
      </w:pPr>
      <w:r>
        <w:separator/>
      </w:r>
    </w:p>
  </w:footnote>
  <w:footnote w:type="continuationSeparator" w:id="0">
    <w:p w14:paraId="34BEF746" w14:textId="77777777" w:rsidR="003A3F80" w:rsidRDefault="003A3F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F511AC" w14:textId="77777777" w:rsidR="006424BD" w:rsidRDefault="006424BD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4BD"/>
    <w:rsid w:val="000D210E"/>
    <w:rsid w:val="000D36CB"/>
    <w:rsid w:val="000E0926"/>
    <w:rsid w:val="001D3241"/>
    <w:rsid w:val="00251454"/>
    <w:rsid w:val="002707F5"/>
    <w:rsid w:val="00275EA2"/>
    <w:rsid w:val="002A026B"/>
    <w:rsid w:val="003103DF"/>
    <w:rsid w:val="00312447"/>
    <w:rsid w:val="00325A52"/>
    <w:rsid w:val="003409A9"/>
    <w:rsid w:val="003A2EDA"/>
    <w:rsid w:val="003A3F80"/>
    <w:rsid w:val="003E77F0"/>
    <w:rsid w:val="0057564B"/>
    <w:rsid w:val="005A46F4"/>
    <w:rsid w:val="006424BD"/>
    <w:rsid w:val="006A07B2"/>
    <w:rsid w:val="006B0ADF"/>
    <w:rsid w:val="006D3E7C"/>
    <w:rsid w:val="006F16E0"/>
    <w:rsid w:val="008C49CB"/>
    <w:rsid w:val="008D4DDA"/>
    <w:rsid w:val="0090209A"/>
    <w:rsid w:val="009F0790"/>
    <w:rsid w:val="00B43487"/>
    <w:rsid w:val="00B742EA"/>
    <w:rsid w:val="00B83CAE"/>
    <w:rsid w:val="00BB386B"/>
    <w:rsid w:val="00BB3E6A"/>
    <w:rsid w:val="00C52AA9"/>
    <w:rsid w:val="00C73D1C"/>
    <w:rsid w:val="00CA2540"/>
    <w:rsid w:val="00CF2ACD"/>
    <w:rsid w:val="00CF4F6C"/>
    <w:rsid w:val="00D4734F"/>
    <w:rsid w:val="00DE7A53"/>
    <w:rsid w:val="00E5742B"/>
    <w:rsid w:val="00E67C47"/>
    <w:rsid w:val="00EC22DF"/>
    <w:rsid w:val="00F12DD0"/>
    <w:rsid w:val="00F9609C"/>
    <w:rsid w:val="00FB56AB"/>
    <w:rsid w:val="00FB69BF"/>
    <w:rsid w:val="00FD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C673E"/>
  <w15:docId w15:val="{A4F6268A-6DC4-E445-B831-42F685CE5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2023-05-08T19:38:00Z</dcterms:created>
  <dcterms:modified xsi:type="dcterms:W3CDTF">2023-05-08T19:38:00Z</dcterms:modified>
</cp:coreProperties>
</file>