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ind w:left="0"/>
        <w:rPr>
          <w:rFonts w:ascii="Times New Roman" w:hAnsi="Times New Roman" w:eastAsia="Palatino Linotype" w:cstheme="minorBidi"/>
          <w:color w:val="auto"/>
          <w:kern w:val="2"/>
          <w:sz w:val="24"/>
          <w:szCs w:val="24"/>
          <w:lang w:val="en-US" w:eastAsia="en-US" w:bidi="ar-SA"/>
          <w14:ligatures w14:val="standardContextual"/>
        </w:rPr>
      </w:pPr>
      <w:r>
        <w:rPr>
          <w:rFonts w:ascii="Times New Roman" w:hAnsi="Times New Roman" w:eastAsia="Palatino Linotype" w:cstheme="minorBidi"/>
          <w:b/>
          <w:bCs/>
          <w:color w:val="auto"/>
          <w:kern w:val="2"/>
          <w:sz w:val="24"/>
          <w:szCs w:val="24"/>
          <w:lang w:val="en-US" w:eastAsia="en-US" w:bidi="ar-SA"/>
          <w14:ligatures w14:val="standardContextual"/>
        </w:rPr>
        <w:t xml:space="preserve">Table </w:t>
      </w:r>
      <w:r>
        <w:rPr>
          <w:rFonts w:hint="eastAsia" w:ascii="Times New Roman" w:hAnsi="Times New Roman" w:eastAsia="Palatino Linotype" w:cstheme="minorBidi"/>
          <w:b/>
          <w:bCs/>
          <w:color w:val="auto"/>
          <w:kern w:val="2"/>
          <w:sz w:val="24"/>
          <w:szCs w:val="24"/>
          <w:lang w:val="en-US" w:eastAsia="zh-CN" w:bidi="ar-SA"/>
          <w14:ligatures w14:val="standardContextual"/>
        </w:rPr>
        <w:t>S1:</w:t>
      </w:r>
      <w:r>
        <w:rPr>
          <w:rFonts w:ascii="Times New Roman" w:hAnsi="Times New Roman" w:eastAsia="Palatino Linotype" w:cstheme="minorBidi"/>
          <w:color w:val="auto"/>
          <w:kern w:val="2"/>
          <w:sz w:val="24"/>
          <w:szCs w:val="24"/>
          <w:lang w:val="en-US" w:eastAsia="zh-CN" w:bidi="ar-SA"/>
          <w14:ligatures w14:val="standardContextual"/>
        </w:rPr>
        <w:t>Data Sources for Chinese Industrial Heritage GIS Database</w:t>
      </w:r>
      <w:r>
        <w:rPr>
          <w:rFonts w:hint="eastAsia" w:ascii="Times New Roman" w:hAnsi="Times New Roman" w:eastAsia="Palatino Linotype" w:cstheme="minorBidi"/>
          <w:color w:val="auto"/>
          <w:kern w:val="2"/>
          <w:sz w:val="24"/>
          <w:szCs w:val="24"/>
          <w:lang w:val="en-US" w:eastAsia="zh-CN" w:bidi="ar-SA"/>
          <w14:ligatures w14:val="standardContextual"/>
        </w:rPr>
        <w:t>.(as of 2021)</w:t>
      </w:r>
    </w:p>
    <w:tbl>
      <w:tblPr>
        <w:tblStyle w:val="4"/>
        <w:tblpPr w:leftFromText="180" w:rightFromText="180" w:vertAnchor="text" w:horzAnchor="page" w:tblpX="1792" w:tblpY="188"/>
        <w:tblOverlap w:val="never"/>
        <w:tblW w:w="8388" w:type="dxa"/>
        <w:tblInd w:w="0" w:type="dxa"/>
        <w:tblBorders>
          <w:top w:val="single" w:color="auto" w:sz="8" w:space="0"/>
          <w:left w:val="none" w:color="auto" w:sz="0" w:space="0"/>
          <w:bottom w:val="single" w:color="auto" w:sz="8"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175"/>
        <w:gridCol w:w="6488"/>
        <w:gridCol w:w="725"/>
      </w:tblGrid>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1175" w:type="dxa"/>
            <w:tcBorders>
              <w:bottom w:val="single" w:color="auto" w:sz="4" w:space="0"/>
            </w:tcBorders>
            <w:shd w:val="clear" w:color="auto" w:fill="auto"/>
            <w:vAlign w:val="center"/>
          </w:tcPr>
          <w:p>
            <w:pPr>
              <w:pStyle w:val="7"/>
              <w:spacing w:line="240" w:lineRule="auto"/>
              <w:rPr>
                <w:rFonts w:eastAsia="宋体"/>
                <w:b/>
                <w:snapToGrid/>
                <w:lang w:eastAsia="zh-CN"/>
              </w:rPr>
            </w:pPr>
            <w:r>
              <w:rPr>
                <w:b/>
                <w:snapToGrid/>
              </w:rPr>
              <w:t>Data sources</w:t>
            </w:r>
          </w:p>
        </w:tc>
        <w:tc>
          <w:tcPr>
            <w:tcW w:w="6488" w:type="dxa"/>
            <w:tcBorders>
              <w:bottom w:val="single" w:color="auto" w:sz="4" w:space="0"/>
            </w:tcBorders>
            <w:shd w:val="clear" w:color="auto" w:fill="auto"/>
            <w:vAlign w:val="center"/>
          </w:tcPr>
          <w:p>
            <w:pPr>
              <w:pStyle w:val="7"/>
              <w:spacing w:line="240" w:lineRule="auto"/>
              <w:rPr>
                <w:rFonts w:eastAsia="宋体"/>
                <w:b/>
                <w:snapToGrid/>
                <w:lang w:eastAsia="zh-CN"/>
              </w:rPr>
            </w:pPr>
            <w:r>
              <w:rPr>
                <w:rFonts w:hint="eastAsia" w:eastAsia="宋体"/>
                <w:b/>
                <w:snapToGrid/>
                <w:lang w:eastAsia="zh-CN"/>
              </w:rPr>
              <w:t>Specific items</w:t>
            </w:r>
          </w:p>
        </w:tc>
        <w:tc>
          <w:tcPr>
            <w:tcW w:w="725" w:type="dxa"/>
            <w:tcBorders>
              <w:bottom w:val="single" w:color="auto" w:sz="4" w:space="0"/>
            </w:tcBorders>
            <w:shd w:val="clear" w:color="auto" w:fill="auto"/>
            <w:vAlign w:val="center"/>
          </w:tcPr>
          <w:p>
            <w:pPr>
              <w:pStyle w:val="7"/>
              <w:spacing w:line="240" w:lineRule="auto"/>
              <w:rPr>
                <w:b/>
                <w:snapToGrid/>
              </w:rPr>
            </w:pPr>
            <w:r>
              <w:rPr>
                <w:rFonts w:hint="eastAsia"/>
                <w:b/>
                <w:snapToGrid/>
              </w:rPr>
              <w:t>Total number</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0" w:type="dxa"/>
            <w:bottom w:w="0" w:type="dxa"/>
            <w:right w:w="0" w:type="dxa"/>
          </w:tblCellMar>
        </w:tblPrEx>
        <w:tc>
          <w:tcPr>
            <w:tcW w:w="1175" w:type="dxa"/>
            <w:shd w:val="clear" w:color="auto" w:fill="auto"/>
            <w:vAlign w:val="center"/>
          </w:tcPr>
          <w:p>
            <w:pPr>
              <w:pStyle w:val="7"/>
              <w:spacing w:line="240" w:lineRule="auto"/>
            </w:pPr>
            <w:r>
              <w:rPr>
                <w:lang w:eastAsia="zh-CN"/>
              </w:rPr>
              <w:t>List of Chinese cultural relic protection units</w:t>
            </w:r>
          </w:p>
        </w:tc>
        <w:tc>
          <w:tcPr>
            <w:tcW w:w="6488" w:type="dxa"/>
            <w:shd w:val="clear" w:color="auto" w:fill="auto"/>
            <w:vAlign w:val="center"/>
          </w:tcPr>
          <w:p>
            <w:pPr>
              <w:pStyle w:val="7"/>
              <w:spacing w:line="240" w:lineRule="auto"/>
              <w:jc w:val="left"/>
              <w:rPr>
                <w:lang w:eastAsia="zh-CN"/>
              </w:rPr>
            </w:pPr>
            <w:r>
              <w:rPr>
                <w:rFonts w:hint="eastAsia"/>
                <w:lang w:eastAsia="zh-CN"/>
              </w:rPr>
              <w:t>List of National Key Cultural Relics Protection Units (</w:t>
            </w:r>
            <w:r>
              <w:rPr>
                <w:rFonts w:hint="eastAsia" w:eastAsia="宋体"/>
                <w:lang w:eastAsia="zh-CN"/>
              </w:rPr>
              <w:t xml:space="preserve">8 batches, </w:t>
            </w:r>
            <w:r>
              <w:rPr>
                <w:rFonts w:hint="eastAsia"/>
                <w:lang w:eastAsia="zh-CN"/>
              </w:rPr>
              <w:t xml:space="preserve">134 items); </w:t>
            </w:r>
          </w:p>
          <w:p>
            <w:pPr>
              <w:pStyle w:val="7"/>
              <w:spacing w:line="240" w:lineRule="auto"/>
              <w:jc w:val="left"/>
              <w:rPr>
                <w:lang w:eastAsia="zh-CN"/>
              </w:rPr>
            </w:pPr>
            <w:r>
              <w:rPr>
                <w:rFonts w:hint="eastAsia"/>
                <w:lang w:eastAsia="zh-CN"/>
              </w:rPr>
              <w:t xml:space="preserve">List of cultural relics protected at provincial level by provinces (municipalities, autonomous regions and special administrative regions)(168 items); </w:t>
            </w:r>
          </w:p>
          <w:p>
            <w:pPr>
              <w:pStyle w:val="7"/>
              <w:spacing w:line="240" w:lineRule="auto"/>
              <w:jc w:val="left"/>
              <w:rPr>
                <w:lang w:eastAsia="zh-CN"/>
              </w:rPr>
            </w:pPr>
            <w:r>
              <w:rPr>
                <w:rFonts w:hint="eastAsia"/>
                <w:lang w:eastAsia="zh-CN"/>
              </w:rPr>
              <w:t>List of important prefecture-level municipal heritage units: Nanjing, Hangzhou, Wuhan, Chengdu, Guangzhou, Jinan, Qingdao, Xi'an, Harbin, Shenyang, Dalian, Changsha and 13 others(</w:t>
            </w:r>
            <w:r>
              <w:rPr>
                <w:rFonts w:ascii="Times New Roman" w:hAnsi="Times New Roman"/>
              </w:rPr>
              <w:t>74</w:t>
            </w:r>
            <w:r>
              <w:rPr>
                <w:rFonts w:hint="eastAsia"/>
                <w:lang w:eastAsia="zh-CN"/>
              </w:rPr>
              <w:t xml:space="preserve"> items); </w:t>
            </w:r>
          </w:p>
          <w:p>
            <w:pPr>
              <w:pStyle w:val="7"/>
              <w:spacing w:line="240" w:lineRule="auto"/>
              <w:jc w:val="left"/>
              <w:rPr>
                <w:lang w:eastAsia="zh-CN"/>
              </w:rPr>
            </w:pPr>
            <w:r>
              <w:rPr>
                <w:rFonts w:hint="eastAsia"/>
                <w:lang w:eastAsia="zh-CN"/>
              </w:rPr>
              <w:t>List of important cities with outstanding historic buildings: Shanghai, Tianjin, Guangzhou, Beijing, Hangzhou, Dalian, Qingdao, Wuhan, Changsha and 9 others(86 items)</w:t>
            </w:r>
          </w:p>
        </w:tc>
        <w:tc>
          <w:tcPr>
            <w:tcW w:w="725" w:type="dxa"/>
            <w:vMerge w:val="restart"/>
            <w:shd w:val="clear" w:color="auto" w:fill="auto"/>
            <w:vAlign w:val="center"/>
          </w:tcPr>
          <w:p>
            <w:pPr>
              <w:pStyle w:val="7"/>
              <w:spacing w:line="240" w:lineRule="auto"/>
              <w:rPr>
                <w:rFonts w:eastAsia="宋体"/>
                <w:lang w:eastAsia="zh-CN"/>
              </w:rPr>
            </w:pPr>
            <w:r>
              <w:rPr>
                <w:rFonts w:hint="eastAsia" w:eastAsia="宋体"/>
                <w:lang w:eastAsia="zh-CN"/>
              </w:rPr>
              <w:t>1681 items</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0" w:type="dxa"/>
            <w:bottom w:w="0" w:type="dxa"/>
            <w:right w:w="0" w:type="dxa"/>
          </w:tblCellMar>
        </w:tblPrEx>
        <w:tc>
          <w:tcPr>
            <w:tcW w:w="1175" w:type="dxa"/>
            <w:shd w:val="clear" w:color="auto" w:fill="auto"/>
            <w:vAlign w:val="center"/>
          </w:tcPr>
          <w:p>
            <w:pPr>
              <w:pStyle w:val="7"/>
              <w:spacing w:line="240" w:lineRule="auto"/>
            </w:pPr>
            <w:r>
              <w:t>L</w:t>
            </w:r>
            <w:r>
              <w:rPr>
                <w:rFonts w:hint="eastAsia"/>
              </w:rPr>
              <w:t>ists of local industrial heritage</w:t>
            </w:r>
          </w:p>
        </w:tc>
        <w:tc>
          <w:tcPr>
            <w:tcW w:w="6488" w:type="dxa"/>
            <w:shd w:val="clear" w:color="auto" w:fill="auto"/>
            <w:vAlign w:val="center"/>
          </w:tcPr>
          <w:p>
            <w:pPr>
              <w:pStyle w:val="7"/>
              <w:spacing w:line="240" w:lineRule="auto"/>
              <w:jc w:val="left"/>
              <w:rPr>
                <w:rFonts w:eastAsia="宋体"/>
                <w:lang w:eastAsia="zh-CN"/>
              </w:rPr>
            </w:pPr>
            <w:r>
              <w:rPr>
                <w:rFonts w:hint="eastAsia" w:eastAsia="宋体"/>
                <w:lang w:eastAsia="zh-CN"/>
              </w:rPr>
              <w:t>Two batches of industrial heritage protection lists in Wuxi (2008, 34 items);</w:t>
            </w:r>
          </w:p>
          <w:p>
            <w:pPr>
              <w:pStyle w:val="7"/>
              <w:spacing w:line="240" w:lineRule="auto"/>
              <w:jc w:val="left"/>
              <w:rPr>
                <w:rFonts w:eastAsia="宋体"/>
                <w:lang w:eastAsia="zh-CN"/>
              </w:rPr>
            </w:pPr>
            <w:r>
              <w:rPr>
                <w:rFonts w:hint="eastAsia" w:eastAsia="宋体"/>
                <w:lang w:eastAsia="zh-CN"/>
              </w:rPr>
              <w:t xml:space="preserve">a census of industrial heritage in Tianjin (2012, 108 items); </w:t>
            </w:r>
          </w:p>
          <w:p>
            <w:pPr>
              <w:pStyle w:val="7"/>
              <w:spacing w:line="240" w:lineRule="auto"/>
              <w:jc w:val="left"/>
              <w:rPr>
                <w:rFonts w:eastAsia="宋体"/>
                <w:lang w:eastAsia="zh-CN"/>
              </w:rPr>
            </w:pPr>
            <w:r>
              <w:rPr>
                <w:rFonts w:hint="eastAsia" w:eastAsia="宋体"/>
                <w:lang w:eastAsia="zh-CN"/>
              </w:rPr>
              <w:t xml:space="preserve">a list of industrial heritage in Liaoning Province (2011, 161 items); </w:t>
            </w:r>
          </w:p>
          <w:p>
            <w:pPr>
              <w:pStyle w:val="7"/>
              <w:spacing w:line="240" w:lineRule="auto"/>
              <w:jc w:val="left"/>
              <w:rPr>
                <w:rFonts w:eastAsia="宋体"/>
                <w:lang w:eastAsia="zh-CN"/>
              </w:rPr>
            </w:pPr>
            <w:r>
              <w:rPr>
                <w:rFonts w:hint="eastAsia" w:eastAsia="宋体"/>
                <w:lang w:eastAsia="zh-CN"/>
              </w:rPr>
              <w:t xml:space="preserve">a list of industrial heritage protection in Hangzhou (2012, 69 items); </w:t>
            </w:r>
          </w:p>
          <w:p>
            <w:pPr>
              <w:pStyle w:val="7"/>
              <w:spacing w:line="240" w:lineRule="auto"/>
              <w:jc w:val="left"/>
              <w:rPr>
                <w:rFonts w:eastAsia="宋体"/>
                <w:lang w:eastAsia="zh-CN"/>
              </w:rPr>
            </w:pPr>
            <w:r>
              <w:rPr>
                <w:rFonts w:hint="eastAsia" w:eastAsia="宋体"/>
                <w:lang w:eastAsia="zh-CN"/>
              </w:rPr>
              <w:t xml:space="preserve">a list of industrial heritage in Wuhan (2013, 27 items); </w:t>
            </w:r>
          </w:p>
          <w:p>
            <w:pPr>
              <w:pStyle w:val="7"/>
              <w:spacing w:line="240" w:lineRule="auto"/>
              <w:jc w:val="left"/>
              <w:rPr>
                <w:rFonts w:eastAsia="宋体"/>
                <w:lang w:eastAsia="zh-CN"/>
              </w:rPr>
            </w:pPr>
            <w:r>
              <w:rPr>
                <w:rFonts w:hint="eastAsia" w:eastAsia="宋体"/>
                <w:lang w:eastAsia="zh-CN"/>
              </w:rPr>
              <w:t xml:space="preserve">a list of industrial heritage protection in Jinan (2016, 58 items); </w:t>
            </w:r>
          </w:p>
          <w:p>
            <w:pPr>
              <w:pStyle w:val="7"/>
              <w:spacing w:line="240" w:lineRule="auto"/>
              <w:jc w:val="left"/>
              <w:rPr>
                <w:rFonts w:eastAsia="宋体"/>
                <w:lang w:eastAsia="zh-CN"/>
              </w:rPr>
            </w:pPr>
            <w:r>
              <w:rPr>
                <w:rFonts w:hint="eastAsia" w:eastAsia="宋体"/>
                <w:lang w:eastAsia="zh-CN"/>
              </w:rPr>
              <w:t xml:space="preserve">a list of industrial heritage protection in Nanjing (2017, 68 items); </w:t>
            </w:r>
          </w:p>
          <w:p>
            <w:pPr>
              <w:pStyle w:val="7"/>
              <w:spacing w:line="240" w:lineRule="auto"/>
              <w:jc w:val="left"/>
              <w:rPr>
                <w:lang w:eastAsia="zh-CN"/>
              </w:rPr>
            </w:pPr>
            <w:r>
              <w:rPr>
                <w:rFonts w:hint="eastAsia" w:eastAsia="宋体"/>
                <w:lang w:eastAsia="zh-CN"/>
              </w:rPr>
              <w:t>a list of modern industrial heritage in Chengdu (2017, 27 items), etc.</w:t>
            </w:r>
          </w:p>
        </w:tc>
        <w:tc>
          <w:tcPr>
            <w:tcW w:w="725" w:type="dxa"/>
            <w:vMerge w:val="continue"/>
            <w:tcBorders/>
            <w:shd w:val="clear" w:color="auto" w:fill="auto"/>
            <w:vAlign w:val="center"/>
          </w:tcPr>
          <w:p>
            <w:pPr>
              <w:pStyle w:val="7"/>
              <w:spacing w:line="240" w:lineRule="auto"/>
              <w:rPr>
                <w:rFonts w:eastAsia="宋体"/>
                <w:lang w:eastAsia="zh-CN"/>
              </w:rPr>
            </w:pP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0" w:type="dxa"/>
            <w:bottom w:w="0" w:type="dxa"/>
            <w:right w:w="0" w:type="dxa"/>
          </w:tblCellMar>
        </w:tblPrEx>
        <w:tc>
          <w:tcPr>
            <w:tcW w:w="1175" w:type="dxa"/>
            <w:shd w:val="clear" w:color="auto" w:fill="auto"/>
            <w:vAlign w:val="center"/>
          </w:tcPr>
          <w:p>
            <w:pPr>
              <w:pStyle w:val="7"/>
              <w:spacing w:line="240" w:lineRule="auto"/>
              <w:rPr>
                <w:lang w:eastAsia="zh-CN"/>
              </w:rPr>
            </w:pPr>
            <w:r>
              <w:rPr>
                <w:lang w:eastAsia="zh-CN"/>
              </w:rPr>
              <w:t>Industrial heritage lists of other Chinese governments and authoritative academic institutions</w:t>
            </w:r>
          </w:p>
        </w:tc>
        <w:tc>
          <w:tcPr>
            <w:tcW w:w="6488" w:type="dxa"/>
            <w:shd w:val="clear" w:color="auto" w:fill="auto"/>
            <w:vAlign w:val="center"/>
          </w:tcPr>
          <w:p>
            <w:pPr>
              <w:pStyle w:val="7"/>
              <w:spacing w:line="240" w:lineRule="auto"/>
              <w:jc w:val="left"/>
              <w:rPr>
                <w:rFonts w:eastAsia="宋体"/>
                <w:lang w:eastAsia="zh-CN"/>
              </w:rPr>
            </w:pPr>
            <w:r>
              <w:rPr>
                <w:rFonts w:hint="eastAsia" w:eastAsia="宋体"/>
                <w:lang w:eastAsia="zh-CN"/>
              </w:rPr>
              <w:t xml:space="preserve">China National Mine Parks List (former Ministry of Land and Resources, 4 batches, 88 items in total); </w:t>
            </w:r>
          </w:p>
          <w:p>
            <w:pPr>
              <w:pStyle w:val="7"/>
              <w:spacing w:line="240" w:lineRule="auto"/>
              <w:jc w:val="left"/>
              <w:rPr>
                <w:rFonts w:eastAsia="宋体"/>
                <w:lang w:eastAsia="zh-CN"/>
              </w:rPr>
            </w:pPr>
            <w:r>
              <w:rPr>
                <w:rFonts w:hint="eastAsia" w:eastAsia="宋体"/>
                <w:lang w:eastAsia="zh-CN"/>
              </w:rPr>
              <w:t xml:space="preserve">National Industrial Heritage List (Ministry of Industry and Information Technology, 4 batches, 166 items in total) </w:t>
            </w:r>
          </w:p>
          <w:p>
            <w:pPr>
              <w:pStyle w:val="7"/>
              <w:spacing w:line="240" w:lineRule="auto"/>
              <w:jc w:val="left"/>
              <w:rPr>
                <w:rFonts w:eastAsia="宋体"/>
                <w:lang w:eastAsia="zh-CN"/>
              </w:rPr>
            </w:pPr>
            <w:r>
              <w:rPr>
                <w:rFonts w:hint="eastAsia" w:eastAsia="宋体"/>
                <w:lang w:eastAsia="zh-CN"/>
              </w:rPr>
              <w:t xml:space="preserve">China National Industrial Heritage Tourism Bases (2017, National Tourism Administration, 10 sites); </w:t>
            </w:r>
          </w:p>
          <w:p>
            <w:pPr>
              <w:pStyle w:val="7"/>
              <w:spacing w:line="240" w:lineRule="auto"/>
              <w:jc w:val="left"/>
            </w:pPr>
            <w:r>
              <w:rPr>
                <w:rFonts w:hint="eastAsia" w:eastAsia="宋体"/>
                <w:lang w:eastAsia="zh-CN"/>
              </w:rPr>
              <w:t>China Industrial Heritage Protection List (China Association for Science and Technology and Urban Planning Society of China, 2 batches, 200 sites)</w:t>
            </w:r>
          </w:p>
        </w:tc>
        <w:tc>
          <w:tcPr>
            <w:tcW w:w="725" w:type="dxa"/>
            <w:vMerge w:val="continue"/>
            <w:tcBorders/>
            <w:shd w:val="clear" w:color="auto" w:fill="auto"/>
            <w:vAlign w:val="center"/>
          </w:tcPr>
          <w:p>
            <w:pPr>
              <w:pStyle w:val="7"/>
              <w:spacing w:line="240" w:lineRule="auto"/>
              <w:rPr>
                <w:rFonts w:eastAsia="宋体"/>
                <w:lang w:eastAsia="zh-CN"/>
              </w:rPr>
            </w:pP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0" w:type="dxa"/>
            <w:bottom w:w="0" w:type="dxa"/>
            <w:right w:w="0" w:type="dxa"/>
          </w:tblCellMar>
        </w:tblPrEx>
        <w:tc>
          <w:tcPr>
            <w:tcW w:w="1175" w:type="dxa"/>
            <w:shd w:val="clear" w:color="auto" w:fill="auto"/>
            <w:vAlign w:val="center"/>
          </w:tcPr>
          <w:p>
            <w:pPr>
              <w:pStyle w:val="7"/>
              <w:spacing w:line="240" w:lineRule="auto"/>
              <w:rPr>
                <w:lang w:eastAsia="zh-CN"/>
              </w:rPr>
            </w:pPr>
            <w:r>
              <w:t>A</w:t>
            </w:r>
            <w:r>
              <w:rPr>
                <w:rFonts w:hint="eastAsia"/>
              </w:rPr>
              <w:t>cademic works and related academic papers</w:t>
            </w:r>
          </w:p>
        </w:tc>
        <w:tc>
          <w:tcPr>
            <w:tcW w:w="6488" w:type="dxa"/>
            <w:shd w:val="clear" w:color="auto" w:fill="auto"/>
            <w:vAlign w:val="center"/>
          </w:tcPr>
          <w:p>
            <w:pPr>
              <w:pStyle w:val="7"/>
              <w:spacing w:line="240" w:lineRule="auto"/>
              <w:jc w:val="left"/>
              <w:rPr>
                <w:rFonts w:eastAsia="宋体"/>
                <w:lang w:eastAsia="zh-CN"/>
              </w:rPr>
            </w:pPr>
            <w:r>
              <w:rPr>
                <w:rFonts w:hint="eastAsia"/>
                <w:i/>
                <w:iCs/>
              </w:rPr>
              <w:t xml:space="preserve">Atlas of Lanzhou's Industrial Heritage </w:t>
            </w:r>
            <w:r>
              <w:rPr>
                <w:rFonts w:hint="eastAsia" w:eastAsia="宋体"/>
                <w:lang w:eastAsia="zh-CN"/>
              </w:rPr>
              <w:t>(2008);</w:t>
            </w:r>
          </w:p>
          <w:p>
            <w:pPr>
              <w:pStyle w:val="7"/>
              <w:spacing w:line="240" w:lineRule="auto"/>
              <w:jc w:val="left"/>
              <w:rPr>
                <w:rFonts w:eastAsia="宋体"/>
                <w:lang w:eastAsia="zh-CN"/>
              </w:rPr>
            </w:pPr>
            <w:r>
              <w:rPr>
                <w:rFonts w:hint="eastAsia"/>
                <w:i/>
                <w:iCs/>
              </w:rPr>
              <w:t>Rust Traces: In Search of China's Industrial Heritage</w:t>
            </w:r>
            <w:r>
              <w:rPr>
                <w:rFonts w:hint="eastAsia" w:eastAsia="宋体"/>
                <w:lang w:eastAsia="zh-CN"/>
              </w:rPr>
              <w:t xml:space="preserve"> (2008);</w:t>
            </w:r>
          </w:p>
          <w:p>
            <w:pPr>
              <w:pStyle w:val="7"/>
              <w:spacing w:line="240" w:lineRule="auto"/>
              <w:jc w:val="left"/>
              <w:rPr>
                <w:rFonts w:eastAsia="宋体"/>
                <w:lang w:eastAsia="zh-CN"/>
              </w:rPr>
            </w:pPr>
            <w:r>
              <w:rPr>
                <w:rFonts w:hint="eastAsia"/>
                <w:i/>
                <w:iCs/>
              </w:rPr>
              <w:t>Modern Architecture and Industrial Heritage in Fangzi, Shandong</w:t>
            </w:r>
            <w:r>
              <w:rPr>
                <w:rFonts w:hint="eastAsia" w:eastAsia="宋体"/>
                <w:lang w:eastAsia="zh-CN"/>
              </w:rPr>
              <w:t xml:space="preserve"> (2008);</w:t>
            </w:r>
          </w:p>
          <w:p>
            <w:pPr>
              <w:pStyle w:val="7"/>
              <w:spacing w:line="240" w:lineRule="auto"/>
              <w:jc w:val="left"/>
              <w:rPr>
                <w:rFonts w:eastAsia="宋体"/>
                <w:lang w:eastAsia="zh-CN"/>
              </w:rPr>
            </w:pPr>
            <w:r>
              <w:rPr>
                <w:rFonts w:hint="eastAsia"/>
                <w:i/>
                <w:iCs/>
              </w:rPr>
              <w:t xml:space="preserve">Treasures of Wuxi's Modern Industrial and Commercial Heritage </w:t>
            </w:r>
            <w:r>
              <w:rPr>
                <w:rFonts w:hint="eastAsia" w:eastAsia="宋体"/>
                <w:lang w:eastAsia="zh-CN"/>
              </w:rPr>
              <w:t>(2009);</w:t>
            </w:r>
          </w:p>
          <w:p>
            <w:pPr>
              <w:pStyle w:val="7"/>
              <w:spacing w:line="240" w:lineRule="auto"/>
              <w:jc w:val="left"/>
              <w:rPr>
                <w:rFonts w:eastAsia="宋体"/>
                <w:lang w:eastAsia="zh-CN"/>
              </w:rPr>
            </w:pPr>
            <w:r>
              <w:rPr>
                <w:rFonts w:hint="eastAsia"/>
                <w:i/>
                <w:iCs/>
              </w:rPr>
              <w:t xml:space="preserve">Shanghai's Industrial Heritage </w:t>
            </w:r>
            <w:r>
              <w:rPr>
                <w:rFonts w:hint="eastAsia" w:eastAsia="宋体"/>
                <w:lang w:eastAsia="zh-CN"/>
              </w:rPr>
              <w:t>(2009);</w:t>
            </w:r>
          </w:p>
          <w:p>
            <w:pPr>
              <w:pStyle w:val="7"/>
              <w:spacing w:line="240" w:lineRule="auto"/>
              <w:jc w:val="left"/>
              <w:rPr>
                <w:rFonts w:eastAsia="宋体"/>
                <w:lang w:eastAsia="zh-CN"/>
              </w:rPr>
            </w:pPr>
            <w:r>
              <w:rPr>
                <w:rFonts w:hint="eastAsia"/>
                <w:i/>
                <w:iCs/>
              </w:rPr>
              <w:t>A New Exploration of Shanghai's Industrial Heritage</w:t>
            </w:r>
            <w:r>
              <w:rPr>
                <w:rFonts w:hint="eastAsia" w:eastAsia="宋体"/>
                <w:lang w:eastAsia="zh-CN"/>
              </w:rPr>
              <w:t xml:space="preserve"> (2009);</w:t>
            </w:r>
          </w:p>
          <w:p>
            <w:pPr>
              <w:pStyle w:val="7"/>
              <w:spacing w:line="240" w:lineRule="auto"/>
              <w:jc w:val="left"/>
              <w:rPr>
                <w:rFonts w:eastAsia="宋体"/>
                <w:lang w:eastAsia="zh-CN"/>
              </w:rPr>
            </w:pPr>
            <w:r>
              <w:rPr>
                <w:rFonts w:hint="eastAsia"/>
                <w:i/>
                <w:iCs/>
              </w:rPr>
              <w:t>A First Look at Industrial Heritage Conservation: From the World to Tianjin</w:t>
            </w:r>
            <w:r>
              <w:rPr>
                <w:rFonts w:hint="eastAsia" w:eastAsia="宋体"/>
                <w:lang w:eastAsia="zh-CN"/>
              </w:rPr>
              <w:t xml:space="preserve"> (2010); </w:t>
            </w:r>
          </w:p>
          <w:p>
            <w:pPr>
              <w:pStyle w:val="7"/>
              <w:spacing w:line="240" w:lineRule="auto"/>
              <w:jc w:val="left"/>
              <w:rPr>
                <w:rFonts w:eastAsia="宋体"/>
                <w:lang w:eastAsia="zh-CN"/>
              </w:rPr>
            </w:pPr>
            <w:r>
              <w:rPr>
                <w:rFonts w:hint="eastAsia"/>
                <w:i/>
                <w:iCs/>
              </w:rPr>
              <w:t>Research on the Conservation and Reuse of Xi'an's Industrial Architectural Heritage</w:t>
            </w:r>
            <w:r>
              <w:rPr>
                <w:rFonts w:hint="eastAsia" w:eastAsia="宋体"/>
                <w:lang w:eastAsia="zh-CN"/>
              </w:rPr>
              <w:t xml:space="preserve"> (2011);</w:t>
            </w:r>
          </w:p>
          <w:p>
            <w:pPr>
              <w:pStyle w:val="7"/>
              <w:spacing w:line="240" w:lineRule="auto"/>
              <w:jc w:val="left"/>
              <w:rPr>
                <w:rFonts w:eastAsia="宋体"/>
                <w:lang w:eastAsia="zh-CN"/>
              </w:rPr>
            </w:pPr>
            <w:r>
              <w:rPr>
                <w:rFonts w:hint="eastAsia"/>
                <w:i/>
                <w:iCs/>
              </w:rPr>
              <w:t xml:space="preserve">Nanjing Industrial Heritage </w:t>
            </w:r>
            <w:r>
              <w:rPr>
                <w:rFonts w:hint="eastAsia" w:eastAsia="宋体"/>
                <w:lang w:eastAsia="zh-CN"/>
              </w:rPr>
              <w:t>(2012);</w:t>
            </w:r>
          </w:p>
          <w:p>
            <w:pPr>
              <w:pStyle w:val="7"/>
              <w:spacing w:line="240" w:lineRule="auto"/>
              <w:jc w:val="left"/>
              <w:rPr>
                <w:i/>
                <w:iCs/>
              </w:rPr>
            </w:pPr>
            <w:r>
              <w:rPr>
                <w:rFonts w:hint="eastAsia"/>
                <w:i/>
                <w:iCs/>
              </w:rPr>
              <w:t xml:space="preserve">Study on the Conservation and Tourism Utilization of Industrial Heritage in Northeast China </w:t>
            </w:r>
            <w:r>
              <w:rPr>
                <w:rFonts w:hint="eastAsia" w:eastAsia="宋体"/>
                <w:lang w:eastAsia="zh-CN"/>
              </w:rPr>
              <w:t>(2012);</w:t>
            </w:r>
          </w:p>
          <w:p>
            <w:pPr>
              <w:pStyle w:val="7"/>
              <w:spacing w:line="240" w:lineRule="auto"/>
              <w:jc w:val="left"/>
              <w:rPr>
                <w:rFonts w:eastAsia="宋体"/>
                <w:lang w:eastAsia="zh-CN"/>
              </w:rPr>
            </w:pPr>
            <w:r>
              <w:rPr>
                <w:rFonts w:hint="eastAsia"/>
                <w:i/>
                <w:iCs/>
              </w:rPr>
              <w:t>Hunan Traffic Cultural Heritage</w:t>
            </w:r>
            <w:r>
              <w:rPr>
                <w:rFonts w:hint="eastAsia" w:eastAsia="宋体"/>
                <w:lang w:eastAsia="zh-CN"/>
              </w:rPr>
              <w:t xml:space="preserve"> (2012);</w:t>
            </w:r>
          </w:p>
          <w:p>
            <w:pPr>
              <w:pStyle w:val="7"/>
              <w:spacing w:line="240" w:lineRule="auto"/>
              <w:jc w:val="left"/>
              <w:rPr>
                <w:rFonts w:eastAsia="宋体"/>
                <w:lang w:eastAsia="zh-CN"/>
              </w:rPr>
            </w:pPr>
            <w:r>
              <w:rPr>
                <w:rFonts w:hint="eastAsia"/>
                <w:i/>
                <w:iCs/>
              </w:rPr>
              <w:t>Reading the Industrial Heritage of Wuhan</w:t>
            </w:r>
            <w:r>
              <w:rPr>
                <w:rFonts w:hint="eastAsia" w:eastAsia="宋体"/>
                <w:lang w:eastAsia="zh-CN"/>
              </w:rPr>
              <w:t xml:space="preserve"> (2013);</w:t>
            </w:r>
          </w:p>
          <w:p>
            <w:pPr>
              <w:pStyle w:val="7"/>
              <w:spacing w:line="240" w:lineRule="auto"/>
              <w:jc w:val="left"/>
              <w:rPr>
                <w:i/>
                <w:iCs/>
              </w:rPr>
            </w:pPr>
            <w:r>
              <w:rPr>
                <w:rFonts w:hint="eastAsia"/>
                <w:i/>
                <w:iCs/>
              </w:rPr>
              <w:t xml:space="preserve">Research on the Industrial Heritage of Hanyeping in the Perspective of Cultural Routes </w:t>
            </w:r>
            <w:r>
              <w:rPr>
                <w:rFonts w:hint="eastAsia" w:eastAsia="宋体"/>
                <w:lang w:eastAsia="zh-CN"/>
              </w:rPr>
              <w:t>(2013);</w:t>
            </w:r>
          </w:p>
          <w:p>
            <w:pPr>
              <w:pStyle w:val="7"/>
              <w:spacing w:line="240" w:lineRule="auto"/>
              <w:jc w:val="left"/>
              <w:rPr>
                <w:rFonts w:eastAsia="宋体"/>
                <w:lang w:eastAsia="zh-CN"/>
              </w:rPr>
            </w:pPr>
            <w:r>
              <w:rPr>
                <w:rFonts w:hint="eastAsia"/>
                <w:i/>
                <w:iCs/>
              </w:rPr>
              <w:t xml:space="preserve">Searching for China's State-protected Industrial Heritage" </w:t>
            </w:r>
            <w:r>
              <w:rPr>
                <w:rFonts w:hint="eastAsia" w:eastAsia="宋体"/>
                <w:lang w:eastAsia="zh-CN"/>
              </w:rPr>
              <w:t>(2013);</w:t>
            </w:r>
          </w:p>
          <w:p>
            <w:pPr>
              <w:pStyle w:val="7"/>
              <w:spacing w:line="240" w:lineRule="auto"/>
              <w:jc w:val="left"/>
              <w:rPr>
                <w:rFonts w:eastAsia="宋体"/>
                <w:lang w:eastAsia="zh-CN"/>
              </w:rPr>
            </w:pPr>
            <w:r>
              <w:rPr>
                <w:rFonts w:hint="eastAsia"/>
                <w:i/>
                <w:iCs/>
              </w:rPr>
              <w:t xml:space="preserve">The Conservation and Utilisation of Chongqing's Industrial Heritage and Urban Revitalisation </w:t>
            </w:r>
            <w:r>
              <w:rPr>
                <w:rFonts w:hint="eastAsia" w:eastAsia="宋体"/>
                <w:lang w:eastAsia="zh-CN"/>
              </w:rPr>
              <w:t>(2014);</w:t>
            </w:r>
          </w:p>
          <w:p>
            <w:pPr>
              <w:pStyle w:val="7"/>
              <w:spacing w:line="240" w:lineRule="auto"/>
              <w:jc w:val="left"/>
              <w:rPr>
                <w:i/>
                <w:iCs/>
              </w:rPr>
            </w:pPr>
            <w:r>
              <w:rPr>
                <w:rFonts w:hint="eastAsia"/>
                <w:i/>
                <w:iCs/>
              </w:rPr>
              <w:t xml:space="preserve">Study on the Conservation and Reuse of Industrial Heritage in Shanghai </w:t>
            </w:r>
            <w:r>
              <w:rPr>
                <w:rFonts w:hint="eastAsia" w:eastAsia="宋体"/>
                <w:lang w:eastAsia="zh-CN"/>
              </w:rPr>
              <w:t>(2014);</w:t>
            </w:r>
          </w:p>
          <w:p>
            <w:pPr>
              <w:pStyle w:val="7"/>
              <w:spacing w:line="240" w:lineRule="auto"/>
              <w:jc w:val="left"/>
              <w:rPr>
                <w:rFonts w:eastAsia="宋体"/>
                <w:lang w:eastAsia="zh-CN"/>
              </w:rPr>
            </w:pPr>
            <w:r>
              <w:rPr>
                <w:rFonts w:hint="eastAsia"/>
                <w:i/>
                <w:iCs/>
              </w:rPr>
              <w:t>Old Factories in Hexi, Tianjin - The Industrial Heritage of Hexi, Tianjin</w:t>
            </w:r>
            <w:r>
              <w:rPr>
                <w:rFonts w:hint="eastAsia" w:eastAsia="宋体"/>
                <w:lang w:eastAsia="zh-CN"/>
              </w:rPr>
              <w:t xml:space="preserve"> (2014);</w:t>
            </w:r>
          </w:p>
          <w:p>
            <w:pPr>
              <w:pStyle w:val="7"/>
              <w:spacing w:line="240" w:lineRule="auto"/>
              <w:jc w:val="left"/>
              <w:rPr>
                <w:rFonts w:eastAsia="宋体"/>
                <w:lang w:eastAsia="zh-CN"/>
              </w:rPr>
            </w:pPr>
            <w:r>
              <w:rPr>
                <w:rFonts w:hint="eastAsia"/>
                <w:i/>
                <w:iCs/>
              </w:rPr>
              <w:t>Research on the Heritage of Industrial Civilisation in the Central Plains</w:t>
            </w:r>
            <w:r>
              <w:rPr>
                <w:rFonts w:hint="eastAsia" w:eastAsia="宋体"/>
                <w:lang w:eastAsia="zh-CN"/>
              </w:rPr>
              <w:t xml:space="preserve"> (2016);</w:t>
            </w:r>
          </w:p>
          <w:p>
            <w:pPr>
              <w:pStyle w:val="7"/>
              <w:spacing w:line="240" w:lineRule="auto"/>
              <w:jc w:val="left"/>
              <w:rPr>
                <w:i/>
                <w:iCs/>
                <w:lang w:eastAsia="zh-CN"/>
              </w:rPr>
            </w:pPr>
            <w:r>
              <w:rPr>
                <w:rFonts w:hint="eastAsia"/>
                <w:i/>
                <w:iCs/>
              </w:rPr>
              <w:t>Important New Findings from the Third National Cultural Relics Census in Hebei Province: Important Historical Sites and Representative Buildings of Modern Times</w:t>
            </w:r>
            <w:r>
              <w:rPr>
                <w:rFonts w:hint="eastAsia" w:eastAsia="宋体"/>
                <w:lang w:eastAsia="zh-CN"/>
              </w:rPr>
              <w:t xml:space="preserve"> (2016) </w:t>
            </w:r>
            <w:r>
              <w:rPr>
                <w:rFonts w:hint="eastAsia"/>
                <w:i/>
                <w:iCs/>
              </w:rPr>
              <w:t>and 19 other publications</w:t>
            </w:r>
            <w:r>
              <w:rPr>
                <w:rFonts w:hint="eastAsia"/>
                <w:i/>
                <w:iCs/>
                <w:lang w:eastAsia="zh-CN"/>
              </w:rPr>
              <w:t>;</w:t>
            </w:r>
          </w:p>
          <w:p>
            <w:pPr>
              <w:pStyle w:val="7"/>
              <w:spacing w:line="240" w:lineRule="auto"/>
              <w:jc w:val="left"/>
            </w:pPr>
            <w:r>
              <w:rPr>
                <w:rFonts w:hint="eastAsia"/>
              </w:rPr>
              <w:t>2902 academic journal papers and 771 master</w:t>
            </w:r>
            <w:r>
              <w:t>’</w:t>
            </w:r>
            <w:r>
              <w:rPr>
                <w:rFonts w:hint="eastAsia"/>
              </w:rPr>
              <w:t>s degree theses in CNKI database</w:t>
            </w:r>
          </w:p>
        </w:tc>
        <w:tc>
          <w:tcPr>
            <w:tcW w:w="725" w:type="dxa"/>
            <w:vMerge w:val="continue"/>
            <w:tcBorders/>
            <w:shd w:val="clear" w:color="auto" w:fill="auto"/>
            <w:vAlign w:val="center"/>
          </w:tcPr>
          <w:p>
            <w:pPr>
              <w:pStyle w:val="7"/>
              <w:spacing w:line="240" w:lineRule="auto"/>
            </w:pP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0" w:type="dxa"/>
            <w:bottom w:w="0" w:type="dxa"/>
            <w:right w:w="0" w:type="dxa"/>
          </w:tblCellMar>
        </w:tblPrEx>
        <w:tc>
          <w:tcPr>
            <w:tcW w:w="1175" w:type="dxa"/>
            <w:shd w:val="clear" w:color="auto" w:fill="auto"/>
            <w:vAlign w:val="center"/>
          </w:tcPr>
          <w:p>
            <w:pPr>
              <w:pStyle w:val="7"/>
              <w:spacing w:line="240" w:lineRule="auto"/>
              <w:rPr>
                <w:lang w:eastAsia="zh-CN"/>
              </w:rPr>
            </w:pPr>
            <w:r>
              <w:rPr>
                <w:lang w:eastAsia="zh-CN"/>
              </w:rPr>
              <w:t>F</w:t>
            </w:r>
            <w:r>
              <w:rPr>
                <w:rFonts w:hint="eastAsia"/>
                <w:lang w:eastAsia="zh-CN"/>
              </w:rPr>
              <w:t xml:space="preserve">ield </w:t>
            </w:r>
            <w:r>
              <w:rPr>
                <w:lang w:eastAsia="zh-CN"/>
              </w:rPr>
              <w:t>investigation</w:t>
            </w:r>
          </w:p>
        </w:tc>
        <w:tc>
          <w:tcPr>
            <w:tcW w:w="6488" w:type="dxa"/>
            <w:shd w:val="clear" w:color="auto" w:fill="auto"/>
            <w:vAlign w:val="center"/>
          </w:tcPr>
          <w:p>
            <w:pPr>
              <w:pStyle w:val="7"/>
              <w:spacing w:line="240" w:lineRule="auto"/>
              <w:jc w:val="left"/>
            </w:pPr>
            <w:r>
              <w:rPr>
                <w:lang w:eastAsia="zh-CN"/>
              </w:rPr>
              <w:t xml:space="preserve">field investigation in </w:t>
            </w:r>
            <w:r>
              <w:rPr>
                <w:rFonts w:hint="eastAsia"/>
                <w:lang w:eastAsia="zh-CN"/>
              </w:rPr>
              <w:t>Tianjin, Fuzhou, Quanzhou, Xiamen, Beijing, Tianjin, Qingdao, Chongqing, Guangzhou, Xi'an, Shanghai, Nanjing, Chongqing, Wuhan, Harbin, Shijiazhuang, Tangshan, Qinhuangdao</w:t>
            </w:r>
          </w:p>
        </w:tc>
        <w:tc>
          <w:tcPr>
            <w:tcW w:w="725" w:type="dxa"/>
            <w:vMerge w:val="continue"/>
            <w:tcBorders/>
            <w:shd w:val="clear" w:color="auto" w:fill="auto"/>
            <w:vAlign w:val="center"/>
          </w:tcPr>
          <w:p>
            <w:pPr>
              <w:pStyle w:val="7"/>
              <w:spacing w:line="240" w:lineRule="auto"/>
            </w:pPr>
          </w:p>
        </w:tc>
      </w:tr>
    </w:tbl>
    <w:tbl>
      <w:tblPr>
        <w:tblStyle w:val="4"/>
        <w:tblpPr w:vertAnchor="page" w:horzAnchor="page" w:tblpX="1880" w:tblpY="6896"/>
        <w:tblW w:w="5000" w:type="pct"/>
        <w:tblInd w:w="0" w:type="dxa"/>
        <w:tblBorders>
          <w:top w:val="single" w:color="auto" w:sz="8" w:space="0"/>
          <w:left w:val="none" w:color="auto" w:sz="0" w:space="0"/>
          <w:bottom w:val="single" w:color="auto" w:sz="8"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900"/>
        <w:gridCol w:w="1187"/>
        <w:gridCol w:w="956"/>
        <w:gridCol w:w="808"/>
        <w:gridCol w:w="723"/>
        <w:gridCol w:w="934"/>
        <w:gridCol w:w="979"/>
        <w:gridCol w:w="835"/>
        <w:gridCol w:w="984"/>
      </w:tblGrid>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0" w:type="dxa"/>
            <w:bottom w:w="0" w:type="dxa"/>
            <w:right w:w="0" w:type="dxa"/>
          </w:tblCellMar>
        </w:tblPrEx>
        <w:trPr>
          <w:trHeight w:val="547" w:hRule="atLeast"/>
        </w:trPr>
        <w:tc>
          <w:tcPr>
            <w:tcW w:w="541" w:type="pct"/>
            <w:tcBorders>
              <w:bottom w:val="single" w:color="auto" w:sz="4" w:space="0"/>
            </w:tcBorders>
            <w:shd w:val="clear" w:color="auto" w:fill="auto"/>
            <w:vAlign w:val="top"/>
          </w:tcPr>
          <w:p>
            <w:pPr>
              <w:pStyle w:val="7"/>
              <w:spacing w:line="240" w:lineRule="auto"/>
              <w:rPr>
                <w:rFonts w:ascii="Times New Roman" w:hAnsi="Times New Roman"/>
                <w:b/>
                <w:color w:val="auto"/>
                <w:sz w:val="20"/>
                <w:szCs w:val="20"/>
              </w:rPr>
            </w:pPr>
            <w:r>
              <w:rPr>
                <w:rFonts w:ascii="Times New Roman" w:hAnsi="Times New Roman" w:eastAsia="Palatino Linotype"/>
                <w:b/>
                <w:color w:val="auto"/>
                <w:sz w:val="20"/>
                <w:szCs w:val="20"/>
              </w:rPr>
              <w:t>Historic Stage</w:t>
            </w:r>
          </w:p>
        </w:tc>
        <w:tc>
          <w:tcPr>
            <w:tcW w:w="714" w:type="pct"/>
            <w:tcBorders>
              <w:bottom w:val="single" w:color="auto" w:sz="4" w:space="0"/>
            </w:tcBorders>
            <w:shd w:val="clear" w:color="auto" w:fill="auto"/>
            <w:vAlign w:val="top"/>
          </w:tcPr>
          <w:p>
            <w:pPr>
              <w:pStyle w:val="7"/>
              <w:spacing w:line="240" w:lineRule="auto"/>
              <w:rPr>
                <w:rFonts w:ascii="Times New Roman" w:hAnsi="Times New Roman"/>
                <w:b/>
                <w:color w:val="auto"/>
                <w:sz w:val="20"/>
                <w:szCs w:val="20"/>
              </w:rPr>
            </w:pPr>
            <w:r>
              <w:rPr>
                <w:rFonts w:ascii="Times New Roman" w:hAnsi="Times New Roman" w:eastAsia="Palatino Linotype"/>
                <w:b/>
                <w:color w:val="auto"/>
                <w:sz w:val="20"/>
                <w:szCs w:val="20"/>
              </w:rPr>
              <w:t>Areal Coordinates</w:t>
            </w:r>
          </w:p>
        </w:tc>
        <w:tc>
          <w:tcPr>
            <w:tcW w:w="575" w:type="pct"/>
            <w:tcBorders>
              <w:bottom w:val="single" w:color="auto" w:sz="4" w:space="0"/>
            </w:tcBorders>
            <w:shd w:val="clear" w:color="auto" w:fill="auto"/>
            <w:vAlign w:val="top"/>
          </w:tcPr>
          <w:p>
            <w:pPr>
              <w:pStyle w:val="7"/>
              <w:spacing w:line="240" w:lineRule="auto"/>
              <w:rPr>
                <w:rFonts w:ascii="Times New Roman" w:hAnsi="Times New Roman"/>
                <w:b/>
                <w:color w:val="auto"/>
                <w:sz w:val="20"/>
                <w:szCs w:val="20"/>
              </w:rPr>
            </w:pPr>
            <w:r>
              <w:rPr>
                <w:rFonts w:ascii="Times New Roman" w:hAnsi="Times New Roman" w:eastAsia="Palatino Linotype"/>
                <w:b/>
                <w:color w:val="auto"/>
                <w:sz w:val="20"/>
                <w:szCs w:val="20"/>
              </w:rPr>
              <w:t>Directional angle</w:t>
            </w:r>
          </w:p>
        </w:tc>
        <w:tc>
          <w:tcPr>
            <w:tcW w:w="486" w:type="pct"/>
            <w:tcBorders>
              <w:bottom w:val="single" w:color="auto" w:sz="4" w:space="0"/>
            </w:tcBorders>
            <w:shd w:val="clear" w:color="auto" w:fill="auto"/>
            <w:vAlign w:val="top"/>
          </w:tcPr>
          <w:p>
            <w:pPr>
              <w:pStyle w:val="7"/>
              <w:spacing w:line="240" w:lineRule="auto"/>
              <w:rPr>
                <w:rFonts w:ascii="Times New Roman" w:hAnsi="Times New Roman"/>
                <w:b/>
                <w:color w:val="auto"/>
                <w:sz w:val="20"/>
                <w:szCs w:val="20"/>
              </w:rPr>
            </w:pPr>
            <w:r>
              <w:rPr>
                <w:rFonts w:ascii="Times New Roman" w:hAnsi="Times New Roman" w:eastAsia="Palatino Linotype"/>
                <w:b/>
                <w:color w:val="auto"/>
                <w:sz w:val="20"/>
                <w:szCs w:val="20"/>
              </w:rPr>
              <w:t>Long Axis (</w:t>
            </w:r>
            <w:r>
              <w:rPr>
                <w:rFonts w:ascii="Times New Roman" w:hAnsi="Times New Roman"/>
                <w:b/>
                <w:color w:val="auto"/>
                <w:sz w:val="20"/>
                <w:szCs w:val="20"/>
              </w:rPr>
              <w:t>k</w:t>
            </w:r>
            <w:r>
              <w:rPr>
                <w:rFonts w:ascii="Times New Roman" w:hAnsi="Times New Roman" w:eastAsia="Palatino Linotype"/>
                <w:b/>
                <w:color w:val="auto"/>
                <w:sz w:val="20"/>
                <w:szCs w:val="20"/>
              </w:rPr>
              <w:t>m)</w:t>
            </w:r>
          </w:p>
        </w:tc>
        <w:tc>
          <w:tcPr>
            <w:tcW w:w="435" w:type="pct"/>
            <w:tcBorders>
              <w:bottom w:val="single" w:color="auto" w:sz="4" w:space="0"/>
            </w:tcBorders>
            <w:shd w:val="clear" w:color="auto" w:fill="auto"/>
            <w:vAlign w:val="top"/>
          </w:tcPr>
          <w:p>
            <w:pPr>
              <w:pStyle w:val="7"/>
              <w:spacing w:line="240" w:lineRule="auto"/>
              <w:rPr>
                <w:rFonts w:ascii="Times New Roman" w:hAnsi="Times New Roman"/>
                <w:b/>
                <w:color w:val="auto"/>
                <w:sz w:val="20"/>
                <w:szCs w:val="20"/>
              </w:rPr>
            </w:pPr>
            <w:r>
              <w:rPr>
                <w:rFonts w:ascii="Times New Roman" w:hAnsi="Times New Roman" w:eastAsia="Palatino Linotype"/>
                <w:b/>
                <w:color w:val="auto"/>
                <w:sz w:val="20"/>
                <w:szCs w:val="20"/>
              </w:rPr>
              <w:t>Short Axis (</w:t>
            </w:r>
            <w:r>
              <w:rPr>
                <w:rFonts w:ascii="Times New Roman" w:hAnsi="Times New Roman"/>
                <w:b/>
                <w:color w:val="auto"/>
                <w:sz w:val="20"/>
                <w:szCs w:val="20"/>
              </w:rPr>
              <w:t>k</w:t>
            </w:r>
            <w:r>
              <w:rPr>
                <w:rFonts w:ascii="Times New Roman" w:hAnsi="Times New Roman" w:eastAsia="Palatino Linotype"/>
                <w:b/>
                <w:color w:val="auto"/>
                <w:sz w:val="20"/>
                <w:szCs w:val="20"/>
              </w:rPr>
              <w:t>m)</w:t>
            </w:r>
          </w:p>
        </w:tc>
        <w:tc>
          <w:tcPr>
            <w:tcW w:w="562" w:type="pct"/>
            <w:tcBorders>
              <w:bottom w:val="single" w:color="auto" w:sz="4" w:space="0"/>
            </w:tcBorders>
            <w:shd w:val="clear" w:color="auto" w:fill="auto"/>
            <w:vAlign w:val="top"/>
          </w:tcPr>
          <w:p>
            <w:pPr>
              <w:pStyle w:val="7"/>
              <w:spacing w:line="240" w:lineRule="auto"/>
              <w:rPr>
                <w:rFonts w:ascii="Times New Roman" w:hAnsi="Times New Roman"/>
                <w:b/>
                <w:color w:val="auto"/>
                <w:sz w:val="20"/>
                <w:szCs w:val="20"/>
              </w:rPr>
            </w:pPr>
            <w:r>
              <w:rPr>
                <w:rFonts w:ascii="Times New Roman" w:hAnsi="Times New Roman" w:eastAsia="Palatino Linotype"/>
                <w:b/>
                <w:color w:val="auto"/>
                <w:sz w:val="20"/>
                <w:szCs w:val="20"/>
              </w:rPr>
              <w:t>Oblateness</w:t>
            </w:r>
          </w:p>
        </w:tc>
        <w:tc>
          <w:tcPr>
            <w:tcW w:w="589" w:type="pct"/>
            <w:tcBorders>
              <w:bottom w:val="single" w:color="auto" w:sz="4" w:space="0"/>
            </w:tcBorders>
            <w:shd w:val="clear" w:color="auto" w:fill="auto"/>
            <w:vAlign w:val="top"/>
          </w:tcPr>
          <w:p>
            <w:pPr>
              <w:pStyle w:val="7"/>
              <w:spacing w:line="240" w:lineRule="auto"/>
              <w:rPr>
                <w:rFonts w:ascii="Times New Roman" w:hAnsi="Times New Roman"/>
                <w:b/>
                <w:color w:val="auto"/>
                <w:sz w:val="20"/>
                <w:szCs w:val="20"/>
              </w:rPr>
            </w:pPr>
            <w:r>
              <w:rPr>
                <w:rFonts w:ascii="Times New Roman" w:hAnsi="Times New Roman" w:eastAsia="Palatino Linotype"/>
                <w:b/>
                <w:color w:val="auto"/>
                <w:sz w:val="20"/>
                <w:szCs w:val="20"/>
              </w:rPr>
              <w:t>Shape Area (</w:t>
            </w:r>
            <w:r>
              <w:rPr>
                <w:rFonts w:ascii="Times New Roman" w:hAnsi="Times New Roman"/>
                <w:b/>
                <w:color w:val="auto"/>
                <w:sz w:val="20"/>
                <w:szCs w:val="20"/>
              </w:rPr>
              <w:t>k</w:t>
            </w:r>
            <w:r>
              <w:rPr>
                <w:rFonts w:ascii="Times New Roman" w:hAnsi="Times New Roman" w:eastAsia="Palatino Linotype"/>
                <w:b/>
                <w:color w:val="auto"/>
                <w:sz w:val="20"/>
                <w:szCs w:val="20"/>
              </w:rPr>
              <w:t>m</w:t>
            </w:r>
            <w:r>
              <w:rPr>
                <w:rFonts w:ascii="Times New Roman" w:hAnsi="Times New Roman" w:eastAsia="Palatino Linotype"/>
                <w:b/>
                <w:color w:val="auto"/>
                <w:sz w:val="20"/>
                <w:szCs w:val="20"/>
                <w:vertAlign w:val="superscript"/>
              </w:rPr>
              <w:t>2</w:t>
            </w:r>
            <w:r>
              <w:rPr>
                <w:rFonts w:ascii="Times New Roman" w:hAnsi="Times New Roman" w:eastAsia="Palatino Linotype"/>
                <w:b/>
                <w:color w:val="auto"/>
                <w:sz w:val="20"/>
                <w:szCs w:val="20"/>
              </w:rPr>
              <w:t>)</w:t>
            </w:r>
          </w:p>
        </w:tc>
        <w:tc>
          <w:tcPr>
            <w:tcW w:w="502" w:type="pct"/>
            <w:tcBorders>
              <w:bottom w:val="single" w:color="auto" w:sz="4" w:space="0"/>
            </w:tcBorders>
            <w:shd w:val="clear" w:color="auto" w:fill="auto"/>
            <w:vAlign w:val="top"/>
          </w:tcPr>
          <w:p>
            <w:pPr>
              <w:pStyle w:val="7"/>
              <w:spacing w:line="240" w:lineRule="auto"/>
              <w:rPr>
                <w:rFonts w:ascii="Times New Roman" w:hAnsi="Times New Roman"/>
                <w:b/>
                <w:color w:val="auto"/>
                <w:sz w:val="20"/>
                <w:szCs w:val="20"/>
              </w:rPr>
            </w:pPr>
            <w:r>
              <w:rPr>
                <w:rFonts w:ascii="Times New Roman" w:hAnsi="Times New Roman" w:eastAsia="Palatino Linotype"/>
                <w:b/>
                <w:color w:val="auto"/>
                <w:sz w:val="20"/>
                <w:szCs w:val="20"/>
              </w:rPr>
              <w:t>Moving Direction</w:t>
            </w:r>
          </w:p>
        </w:tc>
        <w:tc>
          <w:tcPr>
            <w:tcW w:w="592" w:type="pct"/>
            <w:tcBorders>
              <w:bottom w:val="single" w:color="auto" w:sz="4" w:space="0"/>
            </w:tcBorders>
            <w:shd w:val="clear" w:color="auto" w:fill="auto"/>
            <w:vAlign w:val="top"/>
          </w:tcPr>
          <w:p>
            <w:pPr>
              <w:pStyle w:val="7"/>
              <w:spacing w:line="240" w:lineRule="auto"/>
              <w:rPr>
                <w:rFonts w:ascii="Times New Roman" w:hAnsi="Times New Roman"/>
                <w:b/>
                <w:color w:val="auto"/>
                <w:sz w:val="20"/>
                <w:szCs w:val="20"/>
              </w:rPr>
            </w:pPr>
            <w:r>
              <w:rPr>
                <w:rFonts w:ascii="Times New Roman" w:hAnsi="Times New Roman" w:eastAsia="Palatino Linotype"/>
                <w:b/>
                <w:color w:val="auto"/>
                <w:sz w:val="20"/>
                <w:szCs w:val="20"/>
              </w:rPr>
              <w:t>Moving Distance</w:t>
            </w:r>
          </w:p>
          <w:p>
            <w:pPr>
              <w:pStyle w:val="7"/>
              <w:spacing w:line="240" w:lineRule="auto"/>
              <w:rPr>
                <w:rFonts w:ascii="Times New Roman" w:hAnsi="Times New Roman"/>
                <w:b/>
                <w:color w:val="auto"/>
                <w:sz w:val="20"/>
                <w:szCs w:val="20"/>
              </w:rPr>
            </w:pPr>
            <w:r>
              <w:rPr>
                <w:rFonts w:ascii="Times New Roman" w:hAnsi="Times New Roman" w:eastAsia="Palatino Linotype"/>
                <w:b/>
                <w:color w:val="auto"/>
                <w:sz w:val="20"/>
                <w:szCs w:val="20"/>
              </w:rPr>
              <w:t>(</w:t>
            </w:r>
            <w:r>
              <w:rPr>
                <w:rFonts w:ascii="Times New Roman" w:hAnsi="Times New Roman"/>
                <w:b/>
                <w:color w:val="auto"/>
                <w:sz w:val="20"/>
                <w:szCs w:val="20"/>
              </w:rPr>
              <w:t>k</w:t>
            </w:r>
            <w:r>
              <w:rPr>
                <w:rFonts w:ascii="Times New Roman" w:hAnsi="Times New Roman" w:eastAsia="Palatino Linotype"/>
                <w:b/>
                <w:color w:val="auto"/>
                <w:sz w:val="20"/>
                <w:szCs w:val="20"/>
              </w:rPr>
              <w:t>m)</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0" w:type="dxa"/>
            <w:bottom w:w="0" w:type="dxa"/>
            <w:right w:w="0" w:type="dxa"/>
          </w:tblCellMar>
        </w:tblPrEx>
        <w:trPr>
          <w:trHeight w:val="223" w:hRule="atLeast"/>
        </w:trPr>
        <w:tc>
          <w:tcPr>
            <w:tcW w:w="541" w:type="pct"/>
            <w:shd w:val="clear" w:color="auto" w:fill="auto"/>
          </w:tcPr>
          <w:p>
            <w:pPr>
              <w:pStyle w:val="11"/>
              <w:spacing w:line="240" w:lineRule="auto"/>
              <w:jc w:val="center"/>
              <w:rPr>
                <w:rFonts w:eastAsia="Palatino Linotype" w:cs="Times New Roman"/>
                <w:sz w:val="20"/>
                <w:szCs w:val="20"/>
                <w:lang w:val="en-US"/>
              </w:rPr>
            </w:pPr>
            <w:r>
              <w:rPr>
                <w:rFonts w:eastAsia="Palatino Linotype" w:cs="Times New Roman"/>
                <w:sz w:val="20"/>
                <w:szCs w:val="20"/>
                <w:lang w:val="en-US"/>
              </w:rPr>
              <w:t>1840–1894</w:t>
            </w:r>
          </w:p>
        </w:tc>
        <w:tc>
          <w:tcPr>
            <w:tcW w:w="714" w:type="pct"/>
            <w:shd w:val="clear" w:color="auto" w:fill="auto"/>
          </w:tcPr>
          <w:p>
            <w:pPr>
              <w:pStyle w:val="11"/>
              <w:spacing w:line="240" w:lineRule="auto"/>
              <w:jc w:val="center"/>
              <w:rPr>
                <w:rFonts w:eastAsia="Palatino Linotype" w:cs="Times New Roman"/>
                <w:sz w:val="20"/>
                <w:szCs w:val="20"/>
                <w:lang w:val="en-US"/>
              </w:rPr>
            </w:pPr>
            <w:r>
              <w:rPr>
                <w:rFonts w:eastAsia="Palatino Linotype" w:cs="Times New Roman"/>
                <w:sz w:val="20"/>
                <w:szCs w:val="20"/>
                <w:lang w:val="en-US"/>
              </w:rPr>
              <w:t>102.13°E, 36.64°N</w:t>
            </w:r>
          </w:p>
        </w:tc>
        <w:tc>
          <w:tcPr>
            <w:tcW w:w="575" w:type="pct"/>
            <w:shd w:val="clear" w:color="auto" w:fill="auto"/>
          </w:tcPr>
          <w:p>
            <w:pPr>
              <w:pStyle w:val="11"/>
              <w:spacing w:line="240" w:lineRule="auto"/>
              <w:jc w:val="center"/>
              <w:rPr>
                <w:rFonts w:eastAsia="Palatino Linotype" w:cs="Times New Roman"/>
                <w:sz w:val="20"/>
                <w:szCs w:val="20"/>
                <w:lang w:val="en-US"/>
              </w:rPr>
            </w:pPr>
            <w:r>
              <w:rPr>
                <w:rFonts w:eastAsia="Palatino Linotype" w:cs="Times New Roman"/>
                <w:sz w:val="20"/>
                <w:szCs w:val="20"/>
                <w:lang w:val="en-US"/>
              </w:rPr>
              <w:t>33.16°</w:t>
            </w:r>
          </w:p>
        </w:tc>
        <w:tc>
          <w:tcPr>
            <w:tcW w:w="486" w:type="pct"/>
            <w:shd w:val="clear" w:color="auto" w:fill="auto"/>
          </w:tcPr>
          <w:p>
            <w:pPr>
              <w:pStyle w:val="11"/>
              <w:spacing w:line="240" w:lineRule="auto"/>
              <w:jc w:val="center"/>
              <w:rPr>
                <w:rFonts w:eastAsia="Palatino Linotype" w:cs="Times New Roman"/>
                <w:sz w:val="20"/>
                <w:szCs w:val="20"/>
                <w:lang w:val="en-US"/>
              </w:rPr>
            </w:pPr>
            <w:r>
              <w:rPr>
                <w:rFonts w:eastAsia="Palatino Linotype" w:cs="Times New Roman"/>
                <w:sz w:val="20"/>
                <w:szCs w:val="20"/>
                <w:lang w:val="en-US"/>
              </w:rPr>
              <w:t>995.95</w:t>
            </w:r>
          </w:p>
        </w:tc>
        <w:tc>
          <w:tcPr>
            <w:tcW w:w="435" w:type="pct"/>
            <w:shd w:val="clear" w:color="auto" w:fill="auto"/>
          </w:tcPr>
          <w:p>
            <w:pPr>
              <w:pStyle w:val="11"/>
              <w:spacing w:line="240" w:lineRule="auto"/>
              <w:jc w:val="center"/>
              <w:rPr>
                <w:rFonts w:eastAsia="Palatino Linotype" w:cs="Times New Roman"/>
                <w:sz w:val="20"/>
                <w:szCs w:val="20"/>
                <w:lang w:val="en-US"/>
              </w:rPr>
            </w:pPr>
            <w:r>
              <w:rPr>
                <w:rFonts w:eastAsia="Palatino Linotype" w:cs="Times New Roman"/>
                <w:sz w:val="20"/>
                <w:szCs w:val="20"/>
                <w:lang w:val="en-US"/>
              </w:rPr>
              <w:t>685.70</w:t>
            </w:r>
          </w:p>
        </w:tc>
        <w:tc>
          <w:tcPr>
            <w:tcW w:w="562" w:type="pct"/>
            <w:shd w:val="clear" w:color="auto" w:fill="auto"/>
          </w:tcPr>
          <w:p>
            <w:pPr>
              <w:pStyle w:val="11"/>
              <w:spacing w:line="240" w:lineRule="auto"/>
              <w:jc w:val="center"/>
              <w:rPr>
                <w:rFonts w:eastAsia="Palatino Linotype" w:cs="Times New Roman"/>
                <w:sz w:val="20"/>
                <w:szCs w:val="20"/>
                <w:lang w:val="en-US"/>
              </w:rPr>
            </w:pPr>
            <w:r>
              <w:rPr>
                <w:rFonts w:eastAsia="Palatino Linotype" w:cs="Times New Roman"/>
                <w:sz w:val="20"/>
                <w:szCs w:val="20"/>
                <w:lang w:val="en-US"/>
              </w:rPr>
              <w:t>0.31</w:t>
            </w:r>
          </w:p>
        </w:tc>
        <w:tc>
          <w:tcPr>
            <w:tcW w:w="589" w:type="pct"/>
            <w:shd w:val="clear" w:color="auto" w:fill="auto"/>
          </w:tcPr>
          <w:p>
            <w:pPr>
              <w:pStyle w:val="11"/>
              <w:spacing w:line="240" w:lineRule="auto"/>
              <w:jc w:val="center"/>
              <w:rPr>
                <w:rFonts w:eastAsia="Palatino Linotype" w:cs="Times New Roman"/>
                <w:sz w:val="20"/>
                <w:szCs w:val="20"/>
                <w:lang w:val="en-US"/>
              </w:rPr>
            </w:pPr>
            <w:r>
              <w:rPr>
                <w:rFonts w:eastAsia="Palatino Linotype" w:cs="Times New Roman"/>
                <w:sz w:val="20"/>
                <w:szCs w:val="20"/>
                <w:lang w:val="en-US"/>
              </w:rPr>
              <w:t>2145333.29</w:t>
            </w:r>
          </w:p>
        </w:tc>
        <w:tc>
          <w:tcPr>
            <w:tcW w:w="502" w:type="pct"/>
            <w:shd w:val="clear" w:color="auto" w:fill="auto"/>
            <w:vAlign w:val="top"/>
          </w:tcPr>
          <w:p>
            <w:pPr>
              <w:pStyle w:val="11"/>
              <w:spacing w:line="240" w:lineRule="auto"/>
              <w:jc w:val="center"/>
              <w:rPr>
                <w:rFonts w:eastAsia="Palatino Linotype" w:cs="Times New Roman"/>
                <w:sz w:val="20"/>
                <w:szCs w:val="20"/>
                <w:lang w:val="en-US"/>
              </w:rPr>
            </w:pPr>
            <w:r>
              <w:rPr>
                <w:rFonts w:eastAsia="Palatino Linotype" w:cs="Times New Roman"/>
                <w:sz w:val="20"/>
                <w:szCs w:val="20"/>
                <w:lang w:val="en-US"/>
              </w:rPr>
              <w:t>-</w:t>
            </w:r>
          </w:p>
        </w:tc>
        <w:tc>
          <w:tcPr>
            <w:tcW w:w="592" w:type="pct"/>
            <w:shd w:val="clear" w:color="auto" w:fill="auto"/>
            <w:vAlign w:val="top"/>
          </w:tcPr>
          <w:p>
            <w:pPr>
              <w:pStyle w:val="7"/>
              <w:spacing w:line="240" w:lineRule="auto"/>
              <w:rPr>
                <w:rFonts w:ascii="Times New Roman" w:hAnsi="Times New Roman"/>
                <w:color w:val="auto"/>
                <w:sz w:val="20"/>
                <w:szCs w:val="20"/>
              </w:rPr>
            </w:pPr>
            <w:r>
              <w:rPr>
                <w:rFonts w:ascii="Times New Roman" w:hAnsi="Times New Roman" w:eastAsia="Palatino Linotype"/>
                <w:color w:val="auto"/>
                <w:sz w:val="20"/>
                <w:szCs w:val="20"/>
              </w:rPr>
              <w:t>-</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0" w:type="dxa"/>
            <w:bottom w:w="0" w:type="dxa"/>
            <w:right w:w="0" w:type="dxa"/>
          </w:tblCellMar>
        </w:tblPrEx>
        <w:trPr>
          <w:trHeight w:val="367" w:hRule="atLeast"/>
        </w:trPr>
        <w:tc>
          <w:tcPr>
            <w:tcW w:w="541" w:type="pct"/>
            <w:shd w:val="clear" w:color="auto" w:fill="auto"/>
          </w:tcPr>
          <w:p>
            <w:pPr>
              <w:pStyle w:val="11"/>
              <w:spacing w:line="240" w:lineRule="auto"/>
              <w:jc w:val="center"/>
              <w:rPr>
                <w:rFonts w:eastAsia="Palatino Linotype" w:cs="Times New Roman"/>
                <w:sz w:val="20"/>
                <w:szCs w:val="20"/>
                <w:lang w:val="en-US"/>
              </w:rPr>
            </w:pPr>
            <w:r>
              <w:rPr>
                <w:rFonts w:eastAsia="Palatino Linotype" w:cs="Times New Roman"/>
                <w:sz w:val="20"/>
                <w:szCs w:val="20"/>
                <w:lang w:val="en-US"/>
              </w:rPr>
              <w:t>1895–1913</w:t>
            </w:r>
          </w:p>
        </w:tc>
        <w:tc>
          <w:tcPr>
            <w:tcW w:w="714" w:type="pct"/>
            <w:shd w:val="clear" w:color="auto" w:fill="auto"/>
          </w:tcPr>
          <w:p>
            <w:pPr>
              <w:pStyle w:val="11"/>
              <w:spacing w:line="240" w:lineRule="auto"/>
              <w:jc w:val="center"/>
              <w:rPr>
                <w:rFonts w:eastAsia="Palatino Linotype" w:cs="Times New Roman"/>
                <w:sz w:val="20"/>
                <w:szCs w:val="20"/>
                <w:lang w:val="en-US"/>
              </w:rPr>
            </w:pPr>
            <w:r>
              <w:rPr>
                <w:rFonts w:eastAsia="Palatino Linotype" w:cs="Times New Roman"/>
                <w:sz w:val="20"/>
                <w:szCs w:val="20"/>
                <w:lang w:val="en-US"/>
              </w:rPr>
              <w:t>117.03°E, 40.32°N</w:t>
            </w:r>
          </w:p>
        </w:tc>
        <w:tc>
          <w:tcPr>
            <w:tcW w:w="575" w:type="pct"/>
            <w:shd w:val="clear" w:color="auto" w:fill="auto"/>
          </w:tcPr>
          <w:p>
            <w:pPr>
              <w:pStyle w:val="11"/>
              <w:spacing w:line="240" w:lineRule="auto"/>
              <w:jc w:val="center"/>
              <w:rPr>
                <w:rFonts w:eastAsia="Palatino Linotype" w:cs="Times New Roman"/>
                <w:sz w:val="20"/>
                <w:szCs w:val="20"/>
                <w:lang w:val="en-US"/>
              </w:rPr>
            </w:pPr>
            <w:r>
              <w:rPr>
                <w:rFonts w:eastAsia="Palatino Linotype" w:cs="Times New Roman"/>
                <w:sz w:val="20"/>
                <w:szCs w:val="20"/>
                <w:lang w:val="en-US"/>
              </w:rPr>
              <w:t>23.10°</w:t>
            </w:r>
          </w:p>
        </w:tc>
        <w:tc>
          <w:tcPr>
            <w:tcW w:w="486" w:type="pct"/>
            <w:shd w:val="clear" w:color="auto" w:fill="auto"/>
          </w:tcPr>
          <w:p>
            <w:pPr>
              <w:pStyle w:val="11"/>
              <w:spacing w:line="240" w:lineRule="auto"/>
              <w:jc w:val="center"/>
              <w:rPr>
                <w:rFonts w:eastAsia="Palatino Linotype" w:cs="Times New Roman"/>
                <w:sz w:val="20"/>
                <w:szCs w:val="20"/>
                <w:lang w:val="en-US"/>
              </w:rPr>
            </w:pPr>
            <w:r>
              <w:rPr>
                <w:rFonts w:eastAsia="Palatino Linotype" w:cs="Times New Roman"/>
                <w:sz w:val="20"/>
                <w:szCs w:val="20"/>
                <w:lang w:val="en-US"/>
              </w:rPr>
              <w:t>1178.05</w:t>
            </w:r>
          </w:p>
        </w:tc>
        <w:tc>
          <w:tcPr>
            <w:tcW w:w="435" w:type="pct"/>
            <w:shd w:val="clear" w:color="auto" w:fill="auto"/>
          </w:tcPr>
          <w:p>
            <w:pPr>
              <w:pStyle w:val="11"/>
              <w:spacing w:line="240" w:lineRule="auto"/>
              <w:jc w:val="center"/>
              <w:rPr>
                <w:rFonts w:eastAsia="Palatino Linotype" w:cs="Times New Roman"/>
                <w:sz w:val="20"/>
                <w:szCs w:val="20"/>
                <w:lang w:val="en-US"/>
              </w:rPr>
            </w:pPr>
            <w:r>
              <w:rPr>
                <w:rFonts w:eastAsia="Palatino Linotype" w:cs="Times New Roman"/>
                <w:sz w:val="20"/>
                <w:szCs w:val="20"/>
                <w:lang w:val="en-US"/>
              </w:rPr>
              <w:t>566.01</w:t>
            </w:r>
          </w:p>
        </w:tc>
        <w:tc>
          <w:tcPr>
            <w:tcW w:w="562" w:type="pct"/>
            <w:shd w:val="clear" w:color="auto" w:fill="auto"/>
          </w:tcPr>
          <w:p>
            <w:pPr>
              <w:pStyle w:val="11"/>
              <w:spacing w:line="240" w:lineRule="auto"/>
              <w:jc w:val="center"/>
              <w:rPr>
                <w:rFonts w:eastAsia="Palatino Linotype" w:cs="Times New Roman"/>
                <w:sz w:val="20"/>
                <w:szCs w:val="20"/>
                <w:lang w:val="en-US"/>
              </w:rPr>
            </w:pPr>
            <w:r>
              <w:rPr>
                <w:rFonts w:eastAsia="Palatino Linotype" w:cs="Times New Roman"/>
                <w:sz w:val="20"/>
                <w:szCs w:val="20"/>
                <w:lang w:val="en-US"/>
              </w:rPr>
              <w:t>0.52</w:t>
            </w:r>
          </w:p>
        </w:tc>
        <w:tc>
          <w:tcPr>
            <w:tcW w:w="589" w:type="pct"/>
            <w:shd w:val="clear" w:color="auto" w:fill="auto"/>
          </w:tcPr>
          <w:p>
            <w:pPr>
              <w:pStyle w:val="11"/>
              <w:spacing w:line="240" w:lineRule="auto"/>
              <w:jc w:val="center"/>
              <w:rPr>
                <w:rFonts w:eastAsia="Palatino Linotype" w:cs="Times New Roman"/>
                <w:sz w:val="20"/>
                <w:szCs w:val="20"/>
                <w:lang w:val="en-US"/>
              </w:rPr>
            </w:pPr>
            <w:r>
              <w:rPr>
                <w:rFonts w:eastAsia="Palatino Linotype" w:cs="Times New Roman"/>
                <w:sz w:val="20"/>
                <w:szCs w:val="20"/>
                <w:lang w:val="en-US"/>
              </w:rPr>
              <w:t>2094592.36</w:t>
            </w:r>
          </w:p>
        </w:tc>
        <w:tc>
          <w:tcPr>
            <w:tcW w:w="502" w:type="pct"/>
            <w:shd w:val="clear" w:color="auto" w:fill="auto"/>
          </w:tcPr>
          <w:p>
            <w:pPr>
              <w:pStyle w:val="11"/>
              <w:spacing w:line="240" w:lineRule="auto"/>
              <w:jc w:val="center"/>
              <w:rPr>
                <w:rFonts w:eastAsia="Palatino Linotype" w:cs="Times New Roman"/>
                <w:sz w:val="20"/>
                <w:szCs w:val="20"/>
                <w:lang w:val="en-US"/>
              </w:rPr>
            </w:pPr>
            <w:r>
              <w:rPr>
                <w:rFonts w:eastAsia="Palatino Linotype" w:cs="Times New Roman"/>
                <w:sz w:val="20"/>
                <w:szCs w:val="20"/>
                <w:lang w:val="en-US"/>
              </w:rPr>
              <w:t>Northeast</w:t>
            </w:r>
          </w:p>
        </w:tc>
        <w:tc>
          <w:tcPr>
            <w:tcW w:w="592" w:type="pct"/>
            <w:shd w:val="clear" w:color="auto" w:fill="auto"/>
          </w:tcPr>
          <w:p>
            <w:pPr>
              <w:pStyle w:val="11"/>
              <w:spacing w:line="240" w:lineRule="auto"/>
              <w:jc w:val="center"/>
              <w:rPr>
                <w:rFonts w:eastAsia="Palatino Linotype" w:cs="Times New Roman"/>
                <w:sz w:val="20"/>
                <w:szCs w:val="20"/>
                <w:lang w:val="en-US"/>
              </w:rPr>
            </w:pPr>
            <w:r>
              <w:rPr>
                <w:rFonts w:eastAsia="Palatino Linotype" w:cs="Times New Roman"/>
                <w:sz w:val="20"/>
                <w:szCs w:val="20"/>
                <w:lang w:val="en-US"/>
              </w:rPr>
              <w:t>397.69</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0" w:type="dxa"/>
            <w:bottom w:w="0" w:type="dxa"/>
            <w:right w:w="0" w:type="dxa"/>
          </w:tblCellMar>
        </w:tblPrEx>
        <w:trPr>
          <w:trHeight w:val="237" w:hRule="atLeast"/>
        </w:trPr>
        <w:tc>
          <w:tcPr>
            <w:tcW w:w="541" w:type="pct"/>
            <w:shd w:val="clear" w:color="auto" w:fill="auto"/>
          </w:tcPr>
          <w:p>
            <w:pPr>
              <w:pStyle w:val="11"/>
              <w:spacing w:line="240" w:lineRule="auto"/>
              <w:jc w:val="center"/>
              <w:rPr>
                <w:rFonts w:eastAsia="Palatino Linotype" w:cs="Times New Roman"/>
                <w:sz w:val="20"/>
                <w:szCs w:val="20"/>
                <w:lang w:val="en-US"/>
              </w:rPr>
            </w:pPr>
            <w:r>
              <w:rPr>
                <w:rFonts w:eastAsia="Palatino Linotype" w:cs="Times New Roman"/>
                <w:sz w:val="20"/>
                <w:szCs w:val="20"/>
                <w:lang w:val="en-US"/>
              </w:rPr>
              <w:t>1914–1936</w:t>
            </w:r>
          </w:p>
        </w:tc>
        <w:tc>
          <w:tcPr>
            <w:tcW w:w="714" w:type="pct"/>
            <w:shd w:val="clear" w:color="auto" w:fill="auto"/>
          </w:tcPr>
          <w:p>
            <w:pPr>
              <w:pStyle w:val="11"/>
              <w:spacing w:line="240" w:lineRule="auto"/>
              <w:jc w:val="center"/>
              <w:rPr>
                <w:rFonts w:eastAsia="Palatino Linotype" w:cs="Times New Roman"/>
                <w:sz w:val="20"/>
                <w:szCs w:val="20"/>
                <w:lang w:val="en-US"/>
              </w:rPr>
            </w:pPr>
            <w:r>
              <w:rPr>
                <w:rFonts w:eastAsia="Palatino Linotype" w:cs="Times New Roman"/>
                <w:sz w:val="20"/>
                <w:szCs w:val="20"/>
                <w:lang w:val="en-US"/>
              </w:rPr>
              <w:t>117.48°E, 37.98°N</w:t>
            </w:r>
          </w:p>
        </w:tc>
        <w:tc>
          <w:tcPr>
            <w:tcW w:w="575" w:type="pct"/>
            <w:shd w:val="clear" w:color="auto" w:fill="auto"/>
          </w:tcPr>
          <w:p>
            <w:pPr>
              <w:pStyle w:val="11"/>
              <w:spacing w:line="240" w:lineRule="auto"/>
              <w:jc w:val="center"/>
              <w:rPr>
                <w:rFonts w:eastAsia="Palatino Linotype" w:cs="Times New Roman"/>
                <w:sz w:val="20"/>
                <w:szCs w:val="20"/>
                <w:lang w:val="en-US"/>
              </w:rPr>
            </w:pPr>
            <w:r>
              <w:rPr>
                <w:rFonts w:eastAsia="Palatino Linotype" w:cs="Times New Roman"/>
                <w:sz w:val="20"/>
                <w:szCs w:val="20"/>
                <w:lang w:val="en-US"/>
              </w:rPr>
              <w:t>19.40°</w:t>
            </w:r>
          </w:p>
        </w:tc>
        <w:tc>
          <w:tcPr>
            <w:tcW w:w="486" w:type="pct"/>
            <w:shd w:val="clear" w:color="auto" w:fill="auto"/>
          </w:tcPr>
          <w:p>
            <w:pPr>
              <w:pStyle w:val="11"/>
              <w:spacing w:line="240" w:lineRule="auto"/>
              <w:jc w:val="center"/>
              <w:rPr>
                <w:rFonts w:eastAsia="Palatino Linotype" w:cs="Times New Roman"/>
                <w:sz w:val="20"/>
                <w:szCs w:val="20"/>
                <w:lang w:val="en-US"/>
              </w:rPr>
            </w:pPr>
            <w:r>
              <w:rPr>
                <w:rFonts w:eastAsia="Palatino Linotype" w:cs="Times New Roman"/>
                <w:sz w:val="20"/>
                <w:szCs w:val="20"/>
                <w:lang w:val="en-US"/>
              </w:rPr>
              <w:t>1031.57</w:t>
            </w:r>
          </w:p>
        </w:tc>
        <w:tc>
          <w:tcPr>
            <w:tcW w:w="435" w:type="pct"/>
            <w:shd w:val="clear" w:color="auto" w:fill="auto"/>
          </w:tcPr>
          <w:p>
            <w:pPr>
              <w:pStyle w:val="11"/>
              <w:spacing w:line="240" w:lineRule="auto"/>
              <w:jc w:val="center"/>
              <w:rPr>
                <w:rFonts w:eastAsia="Palatino Linotype" w:cs="Times New Roman"/>
                <w:sz w:val="20"/>
                <w:szCs w:val="20"/>
                <w:lang w:val="en-US"/>
              </w:rPr>
            </w:pPr>
            <w:r>
              <w:rPr>
                <w:rFonts w:eastAsia="Palatino Linotype" w:cs="Times New Roman"/>
                <w:sz w:val="20"/>
                <w:szCs w:val="20"/>
                <w:lang w:val="en-US"/>
              </w:rPr>
              <w:t>549.47</w:t>
            </w:r>
          </w:p>
        </w:tc>
        <w:tc>
          <w:tcPr>
            <w:tcW w:w="562" w:type="pct"/>
            <w:shd w:val="clear" w:color="auto" w:fill="auto"/>
          </w:tcPr>
          <w:p>
            <w:pPr>
              <w:pStyle w:val="11"/>
              <w:spacing w:line="240" w:lineRule="auto"/>
              <w:jc w:val="center"/>
              <w:rPr>
                <w:rFonts w:eastAsia="Palatino Linotype" w:cs="Times New Roman"/>
                <w:sz w:val="20"/>
                <w:szCs w:val="20"/>
                <w:lang w:val="en-US"/>
              </w:rPr>
            </w:pPr>
            <w:r>
              <w:rPr>
                <w:rFonts w:eastAsia="Palatino Linotype" w:cs="Times New Roman"/>
                <w:sz w:val="20"/>
                <w:szCs w:val="20"/>
                <w:lang w:val="en-US"/>
              </w:rPr>
              <w:t>0.47</w:t>
            </w:r>
          </w:p>
        </w:tc>
        <w:tc>
          <w:tcPr>
            <w:tcW w:w="589" w:type="pct"/>
            <w:shd w:val="clear" w:color="auto" w:fill="auto"/>
          </w:tcPr>
          <w:p>
            <w:pPr>
              <w:pStyle w:val="11"/>
              <w:spacing w:line="240" w:lineRule="auto"/>
              <w:jc w:val="center"/>
              <w:rPr>
                <w:rFonts w:eastAsia="Palatino Linotype" w:cs="Times New Roman"/>
                <w:sz w:val="20"/>
                <w:szCs w:val="20"/>
                <w:lang w:val="en-US"/>
              </w:rPr>
            </w:pPr>
            <w:r>
              <w:rPr>
                <w:rFonts w:eastAsia="Palatino Linotype" w:cs="Times New Roman"/>
                <w:sz w:val="20"/>
                <w:szCs w:val="20"/>
                <w:lang w:val="en-US"/>
              </w:rPr>
              <w:t>1780557.33</w:t>
            </w:r>
          </w:p>
        </w:tc>
        <w:tc>
          <w:tcPr>
            <w:tcW w:w="502" w:type="pct"/>
            <w:shd w:val="clear" w:color="auto" w:fill="auto"/>
          </w:tcPr>
          <w:p>
            <w:pPr>
              <w:pStyle w:val="11"/>
              <w:spacing w:line="240" w:lineRule="auto"/>
              <w:jc w:val="center"/>
              <w:rPr>
                <w:rFonts w:eastAsia="Palatino Linotype" w:cs="Times New Roman"/>
                <w:sz w:val="20"/>
                <w:szCs w:val="20"/>
                <w:lang w:val="en-US"/>
              </w:rPr>
            </w:pPr>
            <w:r>
              <w:rPr>
                <w:rFonts w:eastAsia="Palatino Linotype" w:cs="Times New Roman"/>
                <w:sz w:val="20"/>
                <w:szCs w:val="20"/>
                <w:lang w:val="en-US"/>
              </w:rPr>
              <w:t>Southeast</w:t>
            </w:r>
          </w:p>
        </w:tc>
        <w:tc>
          <w:tcPr>
            <w:tcW w:w="592" w:type="pct"/>
            <w:shd w:val="clear" w:color="auto" w:fill="auto"/>
          </w:tcPr>
          <w:p>
            <w:pPr>
              <w:pStyle w:val="11"/>
              <w:spacing w:line="240" w:lineRule="auto"/>
              <w:jc w:val="center"/>
              <w:rPr>
                <w:rFonts w:eastAsia="Palatino Linotype" w:cs="Times New Roman"/>
                <w:sz w:val="20"/>
                <w:szCs w:val="20"/>
                <w:lang w:val="en-US"/>
              </w:rPr>
            </w:pPr>
            <w:r>
              <w:rPr>
                <w:rFonts w:eastAsia="Palatino Linotype" w:cs="Times New Roman"/>
                <w:sz w:val="20"/>
                <w:szCs w:val="20"/>
                <w:lang w:val="en-US"/>
              </w:rPr>
              <w:t>233.79</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541" w:type="pct"/>
            <w:shd w:val="clear" w:color="auto" w:fill="auto"/>
          </w:tcPr>
          <w:p>
            <w:pPr>
              <w:pStyle w:val="11"/>
              <w:spacing w:line="240" w:lineRule="auto"/>
              <w:jc w:val="center"/>
              <w:rPr>
                <w:rFonts w:eastAsia="Palatino Linotype" w:cs="Times New Roman"/>
                <w:sz w:val="20"/>
                <w:szCs w:val="20"/>
                <w:lang w:val="en-US"/>
              </w:rPr>
            </w:pPr>
            <w:r>
              <w:rPr>
                <w:rFonts w:eastAsia="Palatino Linotype" w:cs="Times New Roman"/>
                <w:sz w:val="20"/>
                <w:szCs w:val="20"/>
                <w:lang w:val="en-US"/>
              </w:rPr>
              <w:t>1937–1948</w:t>
            </w:r>
          </w:p>
        </w:tc>
        <w:tc>
          <w:tcPr>
            <w:tcW w:w="714" w:type="pct"/>
            <w:shd w:val="clear" w:color="auto" w:fill="auto"/>
          </w:tcPr>
          <w:p>
            <w:pPr>
              <w:pStyle w:val="11"/>
              <w:spacing w:line="240" w:lineRule="auto"/>
              <w:jc w:val="center"/>
              <w:rPr>
                <w:rFonts w:eastAsia="Palatino Linotype" w:cs="Times New Roman"/>
                <w:sz w:val="20"/>
                <w:szCs w:val="20"/>
                <w:lang w:val="en-US"/>
              </w:rPr>
            </w:pPr>
            <w:r>
              <w:rPr>
                <w:rFonts w:eastAsia="Palatino Linotype" w:cs="Times New Roman"/>
                <w:sz w:val="20"/>
                <w:szCs w:val="20"/>
                <w:lang w:val="en-US"/>
              </w:rPr>
              <w:t>98.48°E, 38.30°N</w:t>
            </w:r>
          </w:p>
        </w:tc>
        <w:tc>
          <w:tcPr>
            <w:tcW w:w="575" w:type="pct"/>
            <w:shd w:val="clear" w:color="auto" w:fill="auto"/>
          </w:tcPr>
          <w:p>
            <w:pPr>
              <w:pStyle w:val="11"/>
              <w:spacing w:line="240" w:lineRule="auto"/>
              <w:jc w:val="center"/>
              <w:rPr>
                <w:rFonts w:eastAsia="Palatino Linotype" w:cs="Times New Roman"/>
                <w:sz w:val="20"/>
                <w:szCs w:val="20"/>
                <w:lang w:val="en-US"/>
              </w:rPr>
            </w:pPr>
            <w:r>
              <w:rPr>
                <w:rFonts w:eastAsia="Palatino Linotype" w:cs="Times New Roman"/>
                <w:sz w:val="20"/>
                <w:szCs w:val="20"/>
                <w:lang w:val="en-US"/>
              </w:rPr>
              <w:t>32.35°</w:t>
            </w:r>
          </w:p>
        </w:tc>
        <w:tc>
          <w:tcPr>
            <w:tcW w:w="486" w:type="pct"/>
            <w:shd w:val="clear" w:color="auto" w:fill="auto"/>
          </w:tcPr>
          <w:p>
            <w:pPr>
              <w:pStyle w:val="11"/>
              <w:spacing w:line="240" w:lineRule="auto"/>
              <w:jc w:val="center"/>
              <w:rPr>
                <w:rFonts w:eastAsia="Palatino Linotype" w:cs="Times New Roman"/>
                <w:sz w:val="20"/>
                <w:szCs w:val="20"/>
                <w:lang w:val="en-US"/>
              </w:rPr>
            </w:pPr>
            <w:r>
              <w:rPr>
                <w:rFonts w:eastAsia="Palatino Linotype" w:cs="Times New Roman"/>
                <w:sz w:val="20"/>
                <w:szCs w:val="20"/>
                <w:lang w:val="en-US"/>
              </w:rPr>
              <w:t>1194.72</w:t>
            </w:r>
          </w:p>
        </w:tc>
        <w:tc>
          <w:tcPr>
            <w:tcW w:w="435" w:type="pct"/>
            <w:shd w:val="clear" w:color="auto" w:fill="auto"/>
          </w:tcPr>
          <w:p>
            <w:pPr>
              <w:pStyle w:val="11"/>
              <w:spacing w:line="240" w:lineRule="auto"/>
              <w:jc w:val="center"/>
              <w:rPr>
                <w:rFonts w:eastAsia="Palatino Linotype" w:cs="Times New Roman"/>
                <w:sz w:val="20"/>
                <w:szCs w:val="20"/>
                <w:lang w:val="en-US"/>
              </w:rPr>
            </w:pPr>
            <w:r>
              <w:rPr>
                <w:rFonts w:eastAsia="Palatino Linotype" w:cs="Times New Roman"/>
                <w:sz w:val="20"/>
                <w:szCs w:val="20"/>
                <w:lang w:val="en-US"/>
              </w:rPr>
              <w:t>660.75</w:t>
            </w:r>
          </w:p>
        </w:tc>
        <w:tc>
          <w:tcPr>
            <w:tcW w:w="562" w:type="pct"/>
            <w:shd w:val="clear" w:color="auto" w:fill="auto"/>
          </w:tcPr>
          <w:p>
            <w:pPr>
              <w:pStyle w:val="11"/>
              <w:spacing w:line="240" w:lineRule="auto"/>
              <w:jc w:val="center"/>
              <w:rPr>
                <w:rFonts w:eastAsia="Palatino Linotype" w:cs="Times New Roman"/>
                <w:sz w:val="20"/>
                <w:szCs w:val="20"/>
                <w:lang w:val="en-US"/>
              </w:rPr>
            </w:pPr>
            <w:r>
              <w:rPr>
                <w:rFonts w:eastAsia="Palatino Linotype" w:cs="Times New Roman"/>
                <w:sz w:val="20"/>
                <w:szCs w:val="20"/>
                <w:lang w:val="en-US"/>
              </w:rPr>
              <w:t>0.45</w:t>
            </w:r>
          </w:p>
        </w:tc>
        <w:tc>
          <w:tcPr>
            <w:tcW w:w="589" w:type="pct"/>
            <w:shd w:val="clear" w:color="auto" w:fill="auto"/>
          </w:tcPr>
          <w:p>
            <w:pPr>
              <w:pStyle w:val="11"/>
              <w:spacing w:line="240" w:lineRule="auto"/>
              <w:jc w:val="center"/>
              <w:rPr>
                <w:rFonts w:eastAsia="Palatino Linotype" w:cs="Times New Roman"/>
                <w:sz w:val="20"/>
                <w:szCs w:val="20"/>
                <w:lang w:val="en-US"/>
              </w:rPr>
            </w:pPr>
            <w:r>
              <w:rPr>
                <w:rFonts w:eastAsia="Palatino Linotype" w:cs="Times New Roman"/>
                <w:sz w:val="20"/>
                <w:szCs w:val="20"/>
                <w:lang w:val="en-US"/>
              </w:rPr>
              <w:t>2479783.44</w:t>
            </w:r>
          </w:p>
        </w:tc>
        <w:tc>
          <w:tcPr>
            <w:tcW w:w="502" w:type="pct"/>
            <w:shd w:val="clear" w:color="auto" w:fill="auto"/>
          </w:tcPr>
          <w:p>
            <w:pPr>
              <w:pStyle w:val="11"/>
              <w:spacing w:line="240" w:lineRule="auto"/>
              <w:jc w:val="center"/>
              <w:rPr>
                <w:rFonts w:eastAsia="Palatino Linotype" w:cs="Times New Roman"/>
                <w:sz w:val="20"/>
                <w:szCs w:val="20"/>
                <w:lang w:val="en-US"/>
              </w:rPr>
            </w:pPr>
            <w:r>
              <w:rPr>
                <w:rFonts w:eastAsia="Palatino Linotype" w:cs="Times New Roman"/>
                <w:sz w:val="20"/>
                <w:szCs w:val="20"/>
                <w:lang w:val="en-US"/>
              </w:rPr>
              <w:t>Northwest</w:t>
            </w:r>
          </w:p>
        </w:tc>
        <w:tc>
          <w:tcPr>
            <w:tcW w:w="592" w:type="pct"/>
            <w:shd w:val="clear" w:color="auto" w:fill="auto"/>
          </w:tcPr>
          <w:p>
            <w:pPr>
              <w:pStyle w:val="11"/>
              <w:spacing w:line="240" w:lineRule="auto"/>
              <w:jc w:val="center"/>
              <w:rPr>
                <w:rFonts w:eastAsia="Palatino Linotype" w:cs="Times New Roman"/>
                <w:sz w:val="20"/>
                <w:szCs w:val="20"/>
                <w:lang w:val="en-US"/>
              </w:rPr>
            </w:pPr>
            <w:r>
              <w:rPr>
                <w:rFonts w:eastAsia="Palatino Linotype" w:cs="Times New Roman"/>
                <w:sz w:val="20"/>
                <w:szCs w:val="20"/>
                <w:lang w:val="en-US"/>
              </w:rPr>
              <w:t>192.57</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0" w:type="dxa"/>
            <w:bottom w:w="0" w:type="dxa"/>
            <w:right w:w="0" w:type="dxa"/>
          </w:tblCellMar>
        </w:tblPrEx>
        <w:trPr>
          <w:trHeight w:val="267" w:hRule="atLeast"/>
        </w:trPr>
        <w:tc>
          <w:tcPr>
            <w:tcW w:w="541" w:type="pct"/>
            <w:shd w:val="clear" w:color="auto" w:fill="auto"/>
          </w:tcPr>
          <w:p>
            <w:pPr>
              <w:pStyle w:val="11"/>
              <w:spacing w:line="240" w:lineRule="auto"/>
              <w:jc w:val="center"/>
              <w:rPr>
                <w:rFonts w:eastAsia="Palatino Linotype" w:cs="Times New Roman"/>
                <w:sz w:val="20"/>
                <w:szCs w:val="20"/>
                <w:lang w:val="en-US"/>
              </w:rPr>
            </w:pPr>
            <w:r>
              <w:rPr>
                <w:rFonts w:eastAsia="Palatino Linotype" w:cs="Times New Roman"/>
                <w:sz w:val="20"/>
                <w:szCs w:val="20"/>
                <w:lang w:val="en-US"/>
              </w:rPr>
              <w:t>1949–1957</w:t>
            </w:r>
          </w:p>
        </w:tc>
        <w:tc>
          <w:tcPr>
            <w:tcW w:w="714" w:type="pct"/>
            <w:shd w:val="clear" w:color="auto" w:fill="auto"/>
          </w:tcPr>
          <w:p>
            <w:pPr>
              <w:pStyle w:val="11"/>
              <w:spacing w:line="240" w:lineRule="auto"/>
              <w:jc w:val="center"/>
              <w:rPr>
                <w:rFonts w:eastAsia="Palatino Linotype" w:cs="Times New Roman"/>
                <w:sz w:val="20"/>
                <w:szCs w:val="20"/>
                <w:lang w:val="en-US"/>
              </w:rPr>
            </w:pPr>
            <w:r>
              <w:rPr>
                <w:rFonts w:eastAsia="Palatino Linotype" w:cs="Times New Roman"/>
                <w:sz w:val="20"/>
                <w:szCs w:val="20"/>
                <w:lang w:val="en-US"/>
              </w:rPr>
              <w:t>84.41°E, 37.94°N</w:t>
            </w:r>
          </w:p>
        </w:tc>
        <w:tc>
          <w:tcPr>
            <w:tcW w:w="575" w:type="pct"/>
            <w:shd w:val="clear" w:color="auto" w:fill="auto"/>
          </w:tcPr>
          <w:p>
            <w:pPr>
              <w:pStyle w:val="11"/>
              <w:spacing w:line="240" w:lineRule="auto"/>
              <w:jc w:val="center"/>
              <w:rPr>
                <w:rFonts w:eastAsia="Palatino Linotype" w:cs="Times New Roman"/>
                <w:sz w:val="20"/>
                <w:szCs w:val="20"/>
                <w:lang w:val="en-US"/>
              </w:rPr>
            </w:pPr>
            <w:r>
              <w:rPr>
                <w:rFonts w:eastAsia="Palatino Linotype" w:cs="Times New Roman"/>
                <w:sz w:val="20"/>
                <w:szCs w:val="20"/>
                <w:lang w:val="en-US"/>
              </w:rPr>
              <w:t>8.62°</w:t>
            </w:r>
          </w:p>
        </w:tc>
        <w:tc>
          <w:tcPr>
            <w:tcW w:w="486" w:type="pct"/>
            <w:shd w:val="clear" w:color="auto" w:fill="auto"/>
          </w:tcPr>
          <w:p>
            <w:pPr>
              <w:pStyle w:val="11"/>
              <w:spacing w:line="240" w:lineRule="auto"/>
              <w:jc w:val="center"/>
              <w:rPr>
                <w:rFonts w:eastAsia="Palatino Linotype" w:cs="Times New Roman"/>
                <w:sz w:val="20"/>
                <w:szCs w:val="20"/>
                <w:lang w:val="en-US"/>
              </w:rPr>
            </w:pPr>
            <w:r>
              <w:rPr>
                <w:rFonts w:eastAsia="Palatino Linotype" w:cs="Times New Roman"/>
                <w:sz w:val="20"/>
                <w:szCs w:val="20"/>
                <w:lang w:val="en-US"/>
              </w:rPr>
              <w:t>1116.01</w:t>
            </w:r>
          </w:p>
        </w:tc>
        <w:tc>
          <w:tcPr>
            <w:tcW w:w="435" w:type="pct"/>
            <w:shd w:val="clear" w:color="auto" w:fill="auto"/>
          </w:tcPr>
          <w:p>
            <w:pPr>
              <w:pStyle w:val="11"/>
              <w:spacing w:line="240" w:lineRule="auto"/>
              <w:jc w:val="center"/>
              <w:rPr>
                <w:rFonts w:eastAsia="Palatino Linotype" w:cs="Times New Roman"/>
                <w:sz w:val="20"/>
                <w:szCs w:val="20"/>
                <w:lang w:val="en-US"/>
              </w:rPr>
            </w:pPr>
            <w:r>
              <w:rPr>
                <w:rFonts w:eastAsia="Palatino Linotype" w:cs="Times New Roman"/>
                <w:sz w:val="20"/>
                <w:szCs w:val="20"/>
                <w:lang w:val="en-US"/>
              </w:rPr>
              <w:t>963.35</w:t>
            </w:r>
          </w:p>
        </w:tc>
        <w:tc>
          <w:tcPr>
            <w:tcW w:w="562" w:type="pct"/>
            <w:shd w:val="clear" w:color="auto" w:fill="auto"/>
          </w:tcPr>
          <w:p>
            <w:pPr>
              <w:pStyle w:val="11"/>
              <w:spacing w:line="240" w:lineRule="auto"/>
              <w:jc w:val="center"/>
              <w:rPr>
                <w:rFonts w:eastAsia="Palatino Linotype" w:cs="Times New Roman"/>
                <w:sz w:val="20"/>
                <w:szCs w:val="20"/>
                <w:lang w:val="en-US"/>
              </w:rPr>
            </w:pPr>
            <w:r>
              <w:rPr>
                <w:rFonts w:eastAsia="Palatino Linotype" w:cs="Times New Roman"/>
                <w:sz w:val="20"/>
                <w:szCs w:val="20"/>
                <w:lang w:val="en-US"/>
              </w:rPr>
              <w:t>0.14</w:t>
            </w:r>
          </w:p>
        </w:tc>
        <w:tc>
          <w:tcPr>
            <w:tcW w:w="589" w:type="pct"/>
            <w:shd w:val="clear" w:color="auto" w:fill="auto"/>
          </w:tcPr>
          <w:p>
            <w:pPr>
              <w:pStyle w:val="11"/>
              <w:spacing w:line="240" w:lineRule="auto"/>
              <w:jc w:val="center"/>
              <w:rPr>
                <w:rFonts w:eastAsia="Palatino Linotype" w:cs="Times New Roman"/>
                <w:sz w:val="20"/>
                <w:szCs w:val="20"/>
                <w:lang w:val="en-US"/>
              </w:rPr>
            </w:pPr>
            <w:r>
              <w:rPr>
                <w:rFonts w:eastAsia="Palatino Linotype" w:cs="Times New Roman"/>
                <w:sz w:val="20"/>
                <w:szCs w:val="20"/>
                <w:lang w:val="en-US"/>
              </w:rPr>
              <w:t>3377385.80</w:t>
            </w:r>
          </w:p>
        </w:tc>
        <w:tc>
          <w:tcPr>
            <w:tcW w:w="502" w:type="pct"/>
            <w:shd w:val="clear" w:color="auto" w:fill="auto"/>
          </w:tcPr>
          <w:p>
            <w:pPr>
              <w:pStyle w:val="11"/>
              <w:spacing w:line="240" w:lineRule="auto"/>
              <w:jc w:val="center"/>
              <w:rPr>
                <w:rFonts w:eastAsia="Palatino Linotype" w:cs="Times New Roman"/>
                <w:sz w:val="20"/>
                <w:szCs w:val="20"/>
                <w:lang w:val="en-US"/>
              </w:rPr>
            </w:pPr>
            <w:r>
              <w:rPr>
                <w:rFonts w:eastAsia="Palatino Linotype" w:cs="Times New Roman"/>
                <w:sz w:val="20"/>
                <w:szCs w:val="20"/>
                <w:lang w:val="en-US"/>
              </w:rPr>
              <w:t>Southwest</w:t>
            </w:r>
          </w:p>
        </w:tc>
        <w:tc>
          <w:tcPr>
            <w:tcW w:w="592" w:type="pct"/>
            <w:shd w:val="clear" w:color="auto" w:fill="auto"/>
          </w:tcPr>
          <w:p>
            <w:pPr>
              <w:pStyle w:val="11"/>
              <w:spacing w:line="240" w:lineRule="auto"/>
              <w:jc w:val="center"/>
              <w:rPr>
                <w:rFonts w:eastAsia="Palatino Linotype" w:cs="Times New Roman"/>
                <w:sz w:val="20"/>
                <w:szCs w:val="20"/>
                <w:lang w:val="en-US"/>
              </w:rPr>
            </w:pPr>
            <w:r>
              <w:rPr>
                <w:rFonts w:eastAsia="Palatino Linotype" w:cs="Times New Roman"/>
                <w:sz w:val="20"/>
                <w:szCs w:val="20"/>
                <w:lang w:val="en-US"/>
              </w:rPr>
              <w:t>145.12</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0" w:type="dxa"/>
            <w:bottom w:w="0" w:type="dxa"/>
            <w:right w:w="0" w:type="dxa"/>
          </w:tblCellMar>
        </w:tblPrEx>
        <w:trPr>
          <w:trHeight w:val="197" w:hRule="atLeast"/>
        </w:trPr>
        <w:tc>
          <w:tcPr>
            <w:tcW w:w="541" w:type="pct"/>
            <w:shd w:val="clear" w:color="auto" w:fill="auto"/>
          </w:tcPr>
          <w:p>
            <w:pPr>
              <w:pStyle w:val="11"/>
              <w:spacing w:line="240" w:lineRule="auto"/>
              <w:jc w:val="center"/>
              <w:rPr>
                <w:rFonts w:eastAsia="Palatino Linotype" w:cs="Times New Roman"/>
                <w:sz w:val="20"/>
                <w:szCs w:val="20"/>
                <w:lang w:val="en-US"/>
              </w:rPr>
            </w:pPr>
            <w:r>
              <w:rPr>
                <w:rFonts w:eastAsia="Palatino Linotype" w:cs="Times New Roman"/>
                <w:sz w:val="20"/>
                <w:szCs w:val="20"/>
                <w:lang w:val="en-US"/>
              </w:rPr>
              <w:t>1958–1963</w:t>
            </w:r>
          </w:p>
        </w:tc>
        <w:tc>
          <w:tcPr>
            <w:tcW w:w="714" w:type="pct"/>
            <w:shd w:val="clear" w:color="auto" w:fill="auto"/>
          </w:tcPr>
          <w:p>
            <w:pPr>
              <w:pStyle w:val="11"/>
              <w:spacing w:line="240" w:lineRule="auto"/>
              <w:jc w:val="center"/>
              <w:rPr>
                <w:rFonts w:eastAsia="Palatino Linotype" w:cs="Times New Roman"/>
                <w:sz w:val="20"/>
                <w:szCs w:val="20"/>
                <w:lang w:val="en-US"/>
              </w:rPr>
            </w:pPr>
            <w:r>
              <w:rPr>
                <w:rFonts w:eastAsia="Palatino Linotype" w:cs="Times New Roman"/>
                <w:sz w:val="20"/>
                <w:szCs w:val="20"/>
                <w:lang w:val="en-US"/>
              </w:rPr>
              <w:t>73.50°E, 37.01°N</w:t>
            </w:r>
          </w:p>
        </w:tc>
        <w:tc>
          <w:tcPr>
            <w:tcW w:w="575" w:type="pct"/>
            <w:shd w:val="clear" w:color="auto" w:fill="auto"/>
          </w:tcPr>
          <w:p>
            <w:pPr>
              <w:pStyle w:val="11"/>
              <w:spacing w:line="240" w:lineRule="auto"/>
              <w:jc w:val="center"/>
              <w:rPr>
                <w:rFonts w:eastAsia="Palatino Linotype" w:cs="Times New Roman"/>
                <w:sz w:val="20"/>
                <w:szCs w:val="20"/>
                <w:lang w:val="en-US"/>
              </w:rPr>
            </w:pPr>
            <w:r>
              <w:rPr>
                <w:rFonts w:eastAsia="Palatino Linotype" w:cs="Times New Roman"/>
                <w:sz w:val="20"/>
                <w:szCs w:val="20"/>
                <w:lang w:val="en-US"/>
              </w:rPr>
              <w:t>90.01°</w:t>
            </w:r>
          </w:p>
        </w:tc>
        <w:tc>
          <w:tcPr>
            <w:tcW w:w="486" w:type="pct"/>
            <w:shd w:val="clear" w:color="auto" w:fill="auto"/>
          </w:tcPr>
          <w:p>
            <w:pPr>
              <w:pStyle w:val="11"/>
              <w:spacing w:line="240" w:lineRule="auto"/>
              <w:jc w:val="center"/>
              <w:rPr>
                <w:rFonts w:eastAsia="Palatino Linotype" w:cs="Times New Roman"/>
                <w:sz w:val="20"/>
                <w:szCs w:val="20"/>
                <w:lang w:val="en-US"/>
              </w:rPr>
            </w:pPr>
            <w:r>
              <w:rPr>
                <w:rFonts w:eastAsia="Palatino Linotype" w:cs="Times New Roman"/>
                <w:sz w:val="20"/>
                <w:szCs w:val="20"/>
                <w:lang w:val="en-US"/>
              </w:rPr>
              <w:t>974.36</w:t>
            </w:r>
          </w:p>
        </w:tc>
        <w:tc>
          <w:tcPr>
            <w:tcW w:w="435" w:type="pct"/>
            <w:shd w:val="clear" w:color="auto" w:fill="auto"/>
          </w:tcPr>
          <w:p>
            <w:pPr>
              <w:pStyle w:val="11"/>
              <w:spacing w:line="240" w:lineRule="auto"/>
              <w:jc w:val="center"/>
              <w:rPr>
                <w:rFonts w:eastAsia="Palatino Linotype" w:cs="Times New Roman"/>
                <w:sz w:val="20"/>
                <w:szCs w:val="20"/>
                <w:lang w:val="en-US"/>
              </w:rPr>
            </w:pPr>
            <w:r>
              <w:rPr>
                <w:rFonts w:eastAsia="Palatino Linotype" w:cs="Times New Roman"/>
                <w:sz w:val="20"/>
                <w:szCs w:val="20"/>
                <w:lang w:val="en-US"/>
              </w:rPr>
              <w:t>955.00</w:t>
            </w:r>
          </w:p>
        </w:tc>
        <w:tc>
          <w:tcPr>
            <w:tcW w:w="562" w:type="pct"/>
            <w:shd w:val="clear" w:color="auto" w:fill="auto"/>
          </w:tcPr>
          <w:p>
            <w:pPr>
              <w:pStyle w:val="11"/>
              <w:spacing w:line="240" w:lineRule="auto"/>
              <w:jc w:val="center"/>
              <w:rPr>
                <w:rFonts w:eastAsia="Palatino Linotype" w:cs="Times New Roman"/>
                <w:sz w:val="20"/>
                <w:szCs w:val="20"/>
                <w:lang w:val="en-US"/>
              </w:rPr>
            </w:pPr>
            <w:r>
              <w:rPr>
                <w:rFonts w:eastAsia="Palatino Linotype" w:cs="Times New Roman"/>
                <w:sz w:val="20"/>
                <w:szCs w:val="20"/>
                <w:lang w:val="en-US"/>
              </w:rPr>
              <w:t>0.02</w:t>
            </w:r>
          </w:p>
        </w:tc>
        <w:tc>
          <w:tcPr>
            <w:tcW w:w="589" w:type="pct"/>
            <w:shd w:val="clear" w:color="auto" w:fill="auto"/>
          </w:tcPr>
          <w:p>
            <w:pPr>
              <w:pStyle w:val="11"/>
              <w:spacing w:line="240" w:lineRule="auto"/>
              <w:jc w:val="center"/>
              <w:rPr>
                <w:rFonts w:eastAsia="Palatino Linotype" w:cs="Times New Roman"/>
                <w:sz w:val="20"/>
                <w:szCs w:val="20"/>
                <w:lang w:val="en-US"/>
              </w:rPr>
            </w:pPr>
            <w:r>
              <w:rPr>
                <w:rFonts w:eastAsia="Palatino Linotype" w:cs="Times New Roman"/>
                <w:sz w:val="20"/>
                <w:szCs w:val="20"/>
                <w:lang w:val="en-US"/>
              </w:rPr>
              <w:t>2923143.34</w:t>
            </w:r>
          </w:p>
        </w:tc>
        <w:tc>
          <w:tcPr>
            <w:tcW w:w="502" w:type="pct"/>
            <w:shd w:val="clear" w:color="auto" w:fill="auto"/>
          </w:tcPr>
          <w:p>
            <w:pPr>
              <w:pStyle w:val="11"/>
              <w:spacing w:line="240" w:lineRule="auto"/>
              <w:jc w:val="center"/>
              <w:rPr>
                <w:rFonts w:eastAsia="Palatino Linotype" w:cs="Times New Roman"/>
                <w:sz w:val="20"/>
                <w:szCs w:val="20"/>
                <w:lang w:val="en-US"/>
              </w:rPr>
            </w:pPr>
            <w:r>
              <w:rPr>
                <w:rFonts w:eastAsia="Palatino Linotype" w:cs="Times New Roman"/>
                <w:sz w:val="20"/>
                <w:szCs w:val="20"/>
                <w:lang w:val="en-US"/>
              </w:rPr>
              <w:t>Southwest</w:t>
            </w:r>
          </w:p>
        </w:tc>
        <w:tc>
          <w:tcPr>
            <w:tcW w:w="592" w:type="pct"/>
            <w:shd w:val="clear" w:color="auto" w:fill="auto"/>
          </w:tcPr>
          <w:p>
            <w:pPr>
              <w:pStyle w:val="11"/>
              <w:spacing w:line="240" w:lineRule="auto"/>
              <w:jc w:val="center"/>
              <w:rPr>
                <w:rFonts w:eastAsia="Palatino Linotype" w:cs="Times New Roman"/>
                <w:sz w:val="20"/>
                <w:szCs w:val="20"/>
                <w:lang w:val="en-US"/>
              </w:rPr>
            </w:pPr>
            <w:r>
              <w:rPr>
                <w:rFonts w:eastAsia="Palatino Linotype" w:cs="Times New Roman"/>
                <w:sz w:val="20"/>
                <w:szCs w:val="20"/>
                <w:lang w:val="en-US"/>
              </w:rPr>
              <w:t>143.57</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0" w:type="dxa"/>
            <w:bottom w:w="0" w:type="dxa"/>
            <w:right w:w="0" w:type="dxa"/>
          </w:tblCellMar>
        </w:tblPrEx>
        <w:trPr>
          <w:trHeight w:val="157" w:hRule="atLeast"/>
        </w:trPr>
        <w:tc>
          <w:tcPr>
            <w:tcW w:w="541" w:type="pct"/>
            <w:shd w:val="clear" w:color="auto" w:fill="auto"/>
          </w:tcPr>
          <w:p>
            <w:pPr>
              <w:pStyle w:val="11"/>
              <w:spacing w:line="240" w:lineRule="auto"/>
              <w:jc w:val="center"/>
              <w:rPr>
                <w:rFonts w:eastAsia="Palatino Linotype" w:cs="Times New Roman"/>
                <w:sz w:val="20"/>
                <w:szCs w:val="20"/>
                <w:lang w:val="en-US"/>
              </w:rPr>
            </w:pPr>
            <w:r>
              <w:rPr>
                <w:rFonts w:eastAsia="Palatino Linotype" w:cs="Times New Roman"/>
                <w:sz w:val="20"/>
                <w:szCs w:val="20"/>
                <w:lang w:val="en-US"/>
              </w:rPr>
              <w:t>1964–1978</w:t>
            </w:r>
          </w:p>
        </w:tc>
        <w:tc>
          <w:tcPr>
            <w:tcW w:w="714" w:type="pct"/>
            <w:shd w:val="clear" w:color="auto" w:fill="auto"/>
          </w:tcPr>
          <w:p>
            <w:pPr>
              <w:pStyle w:val="11"/>
              <w:spacing w:line="240" w:lineRule="auto"/>
              <w:jc w:val="center"/>
              <w:rPr>
                <w:rFonts w:eastAsia="Palatino Linotype" w:cs="Times New Roman"/>
                <w:sz w:val="20"/>
                <w:szCs w:val="20"/>
                <w:lang w:val="en-US"/>
              </w:rPr>
            </w:pPr>
            <w:r>
              <w:rPr>
                <w:rFonts w:eastAsia="Palatino Linotype" w:cs="Times New Roman"/>
                <w:sz w:val="20"/>
                <w:szCs w:val="20"/>
                <w:lang w:val="en-US"/>
              </w:rPr>
              <w:t>54.94°E, 30.38°N</w:t>
            </w:r>
          </w:p>
        </w:tc>
        <w:tc>
          <w:tcPr>
            <w:tcW w:w="575" w:type="pct"/>
            <w:shd w:val="clear" w:color="auto" w:fill="auto"/>
          </w:tcPr>
          <w:p>
            <w:pPr>
              <w:pStyle w:val="11"/>
              <w:spacing w:line="240" w:lineRule="auto"/>
              <w:jc w:val="center"/>
              <w:rPr>
                <w:rFonts w:eastAsia="Palatino Linotype" w:cs="Times New Roman"/>
                <w:sz w:val="20"/>
                <w:szCs w:val="20"/>
                <w:lang w:val="en-US"/>
              </w:rPr>
            </w:pPr>
            <w:r>
              <w:rPr>
                <w:rFonts w:eastAsia="Palatino Linotype" w:cs="Times New Roman"/>
                <w:sz w:val="20"/>
                <w:szCs w:val="20"/>
                <w:lang w:val="en-US"/>
              </w:rPr>
              <w:t>23.75°</w:t>
            </w:r>
          </w:p>
        </w:tc>
        <w:tc>
          <w:tcPr>
            <w:tcW w:w="486" w:type="pct"/>
            <w:shd w:val="clear" w:color="auto" w:fill="auto"/>
          </w:tcPr>
          <w:p>
            <w:pPr>
              <w:pStyle w:val="11"/>
              <w:spacing w:line="240" w:lineRule="auto"/>
              <w:jc w:val="center"/>
              <w:rPr>
                <w:rFonts w:eastAsia="Palatino Linotype" w:cs="Times New Roman"/>
                <w:sz w:val="20"/>
                <w:szCs w:val="20"/>
                <w:lang w:val="en-US"/>
              </w:rPr>
            </w:pPr>
            <w:r>
              <w:rPr>
                <w:rFonts w:eastAsia="Palatino Linotype" w:cs="Times New Roman"/>
                <w:sz w:val="20"/>
                <w:szCs w:val="20"/>
                <w:lang w:val="en-US"/>
              </w:rPr>
              <w:t>947.74</w:t>
            </w:r>
          </w:p>
        </w:tc>
        <w:tc>
          <w:tcPr>
            <w:tcW w:w="435" w:type="pct"/>
            <w:shd w:val="clear" w:color="auto" w:fill="auto"/>
          </w:tcPr>
          <w:p>
            <w:pPr>
              <w:pStyle w:val="11"/>
              <w:spacing w:line="240" w:lineRule="auto"/>
              <w:jc w:val="center"/>
              <w:rPr>
                <w:rFonts w:eastAsia="Palatino Linotype" w:cs="Times New Roman"/>
                <w:sz w:val="20"/>
                <w:szCs w:val="20"/>
                <w:lang w:val="en-US"/>
              </w:rPr>
            </w:pPr>
            <w:r>
              <w:rPr>
                <w:rFonts w:eastAsia="Palatino Linotype" w:cs="Times New Roman"/>
                <w:sz w:val="20"/>
                <w:szCs w:val="20"/>
                <w:lang w:val="en-US"/>
              </w:rPr>
              <w:t>795.47</w:t>
            </w:r>
          </w:p>
        </w:tc>
        <w:tc>
          <w:tcPr>
            <w:tcW w:w="562" w:type="pct"/>
            <w:shd w:val="clear" w:color="auto" w:fill="auto"/>
          </w:tcPr>
          <w:p>
            <w:pPr>
              <w:pStyle w:val="11"/>
              <w:spacing w:line="240" w:lineRule="auto"/>
              <w:jc w:val="center"/>
              <w:rPr>
                <w:rFonts w:eastAsia="Palatino Linotype" w:cs="Times New Roman"/>
                <w:sz w:val="20"/>
                <w:szCs w:val="20"/>
                <w:lang w:val="en-US"/>
              </w:rPr>
            </w:pPr>
            <w:r>
              <w:rPr>
                <w:rFonts w:eastAsia="Palatino Linotype" w:cs="Times New Roman"/>
                <w:sz w:val="20"/>
                <w:szCs w:val="20"/>
                <w:lang w:val="en-US"/>
              </w:rPr>
              <w:t>0.16</w:t>
            </w:r>
          </w:p>
        </w:tc>
        <w:tc>
          <w:tcPr>
            <w:tcW w:w="589" w:type="pct"/>
            <w:shd w:val="clear" w:color="auto" w:fill="auto"/>
          </w:tcPr>
          <w:p>
            <w:pPr>
              <w:pStyle w:val="11"/>
              <w:spacing w:line="240" w:lineRule="auto"/>
              <w:jc w:val="center"/>
              <w:rPr>
                <w:rFonts w:eastAsia="Palatino Linotype" w:cs="Times New Roman"/>
                <w:sz w:val="20"/>
                <w:szCs w:val="20"/>
                <w:lang w:val="en-US"/>
              </w:rPr>
            </w:pPr>
            <w:r>
              <w:rPr>
                <w:rFonts w:eastAsia="Palatino Linotype" w:cs="Times New Roman"/>
                <w:sz w:val="20"/>
                <w:szCs w:val="20"/>
                <w:lang w:val="en-US"/>
              </w:rPr>
              <w:t>2368318.73</w:t>
            </w:r>
          </w:p>
        </w:tc>
        <w:tc>
          <w:tcPr>
            <w:tcW w:w="502" w:type="pct"/>
            <w:shd w:val="clear" w:color="auto" w:fill="auto"/>
          </w:tcPr>
          <w:p>
            <w:pPr>
              <w:pStyle w:val="11"/>
              <w:spacing w:line="240" w:lineRule="auto"/>
              <w:jc w:val="center"/>
              <w:rPr>
                <w:rFonts w:eastAsia="Palatino Linotype" w:cs="Times New Roman"/>
                <w:sz w:val="20"/>
                <w:szCs w:val="20"/>
                <w:lang w:val="en-US"/>
              </w:rPr>
            </w:pPr>
            <w:r>
              <w:rPr>
                <w:rFonts w:eastAsia="Palatino Linotype" w:cs="Times New Roman"/>
                <w:sz w:val="20"/>
                <w:szCs w:val="20"/>
                <w:lang w:val="en-US"/>
              </w:rPr>
              <w:t>Southwest</w:t>
            </w:r>
          </w:p>
        </w:tc>
        <w:tc>
          <w:tcPr>
            <w:tcW w:w="592" w:type="pct"/>
            <w:shd w:val="clear" w:color="auto" w:fill="auto"/>
          </w:tcPr>
          <w:p>
            <w:pPr>
              <w:pStyle w:val="11"/>
              <w:spacing w:line="240" w:lineRule="auto"/>
              <w:jc w:val="center"/>
              <w:rPr>
                <w:rFonts w:eastAsia="Palatino Linotype" w:cs="Times New Roman"/>
                <w:sz w:val="20"/>
                <w:szCs w:val="20"/>
                <w:lang w:val="en-US"/>
              </w:rPr>
            </w:pPr>
            <w:r>
              <w:rPr>
                <w:rFonts w:eastAsia="Palatino Linotype" w:cs="Times New Roman"/>
                <w:sz w:val="20"/>
                <w:szCs w:val="20"/>
                <w:lang w:val="en-US"/>
              </w:rPr>
              <w:t>407.74</w:t>
            </w:r>
          </w:p>
        </w:tc>
      </w:tr>
    </w:tbl>
    <w:p>
      <w:pPr>
        <w:rPr>
          <w:rFonts w:ascii="Times New Roman" w:hAnsi="Times New Roman" w:eastAsia="Palatino Linotype"/>
          <w:b/>
          <w:color w:val="auto"/>
          <w:sz w:val="24"/>
          <w:szCs w:val="24"/>
        </w:rPr>
      </w:pPr>
    </w:p>
    <w:p>
      <w:pPr>
        <w:rPr>
          <w:rFonts w:ascii="Times New Roman" w:hAnsi="Times New Roman" w:eastAsia="Palatino Linotype"/>
          <w:color w:val="auto"/>
          <w:sz w:val="24"/>
          <w:szCs w:val="24"/>
        </w:rPr>
      </w:pPr>
      <w:r>
        <w:rPr>
          <w:rFonts w:ascii="Times New Roman" w:hAnsi="Times New Roman" w:eastAsia="Palatino Linotype"/>
          <w:b/>
          <w:color w:val="auto"/>
          <w:sz w:val="24"/>
          <w:szCs w:val="24"/>
        </w:rPr>
        <w:t xml:space="preserve">Table </w:t>
      </w:r>
      <w:r>
        <w:rPr>
          <w:rFonts w:hint="eastAsia" w:ascii="Times New Roman" w:hAnsi="Times New Roman" w:eastAsia="宋体"/>
          <w:b/>
          <w:color w:val="auto"/>
          <w:sz w:val="24"/>
          <w:szCs w:val="24"/>
          <w:lang w:val="en-US" w:eastAsia="zh-CN"/>
        </w:rPr>
        <w:t>S2</w:t>
      </w:r>
      <w:r>
        <w:rPr>
          <w:rFonts w:ascii="Times New Roman" w:hAnsi="Times New Roman" w:eastAsia="Palatino Linotype"/>
          <w:b/>
          <w:color w:val="auto"/>
          <w:sz w:val="24"/>
          <w:szCs w:val="24"/>
        </w:rPr>
        <w:t>.</w:t>
      </w:r>
      <w:r>
        <w:rPr>
          <w:rFonts w:ascii="Times New Roman" w:hAnsi="Times New Roman" w:eastAsia="Palatino Linotype"/>
          <w:color w:val="auto"/>
          <w:sz w:val="24"/>
          <w:szCs w:val="24"/>
        </w:rPr>
        <w:t xml:space="preserve"> Spatial distribution </w:t>
      </w:r>
      <w:r>
        <w:rPr>
          <w:rFonts w:ascii="Times New Roman" w:hAnsi="Times New Roman"/>
          <w:color w:val="auto"/>
          <w:sz w:val="24"/>
          <w:szCs w:val="24"/>
        </w:rPr>
        <w:t>center</w:t>
      </w:r>
      <w:r>
        <w:rPr>
          <w:rFonts w:ascii="Times New Roman" w:hAnsi="Times New Roman" w:eastAsia="Palatino Linotype"/>
          <w:color w:val="auto"/>
          <w:sz w:val="24"/>
          <w:szCs w:val="24"/>
        </w:rPr>
        <w:t xml:space="preserve"> of gravity and standard deviation ellipse parameters by period.</w:t>
      </w:r>
    </w:p>
    <w:p>
      <w:pPr>
        <w:rPr>
          <w:rFonts w:ascii="Times New Roman" w:hAnsi="Times New Roman" w:eastAsia="Palatino Linotype"/>
          <w:color w:val="auto"/>
          <w:sz w:val="24"/>
          <w:szCs w:val="24"/>
        </w:rPr>
      </w:pPr>
    </w:p>
    <w:p>
      <w:pPr>
        <w:rPr>
          <w:rFonts w:ascii="Times New Roman" w:hAnsi="Times New Roman" w:eastAsia="Palatino Linotype"/>
          <w:color w:val="auto"/>
          <w:sz w:val="24"/>
          <w:szCs w:val="24"/>
        </w:rPr>
      </w:pPr>
    </w:p>
    <w:p>
      <w:pPr>
        <w:rPr>
          <w:rFonts w:ascii="Times New Roman" w:hAnsi="Times New Roman" w:eastAsia="Palatino Linotype"/>
          <w:color w:val="auto"/>
          <w:sz w:val="24"/>
          <w:szCs w:val="24"/>
        </w:rPr>
      </w:pPr>
    </w:p>
    <w:p>
      <w:pPr>
        <w:rPr>
          <w:rFonts w:ascii="Times New Roman" w:hAnsi="Times New Roman" w:eastAsia="Palatino Linotype"/>
          <w:color w:val="auto"/>
          <w:sz w:val="24"/>
          <w:szCs w:val="24"/>
        </w:rPr>
      </w:pPr>
    </w:p>
    <w:p>
      <w:pPr>
        <w:pStyle w:val="8"/>
        <w:spacing w:line="480" w:lineRule="auto"/>
        <w:ind w:left="0"/>
        <w:rPr>
          <w:rFonts w:ascii="Times New Roman" w:hAnsi="Times New Roman" w:cs="Times New Roman"/>
          <w:color w:val="auto"/>
          <w:sz w:val="24"/>
          <w:szCs w:val="24"/>
        </w:rPr>
      </w:pPr>
      <w:r>
        <w:rPr>
          <w:rFonts w:ascii="Times New Roman" w:hAnsi="Times New Roman" w:eastAsia="Palatino Linotype" w:cs="Times New Roman"/>
          <w:b/>
          <w:color w:val="auto"/>
          <w:sz w:val="24"/>
          <w:szCs w:val="24"/>
        </w:rPr>
        <w:t xml:space="preserve">Table </w:t>
      </w:r>
      <w:r>
        <w:rPr>
          <w:rFonts w:hint="eastAsia" w:ascii="Times New Roman" w:hAnsi="Times New Roman" w:eastAsia="宋体" w:cs="Times New Roman"/>
          <w:b/>
          <w:color w:val="auto"/>
          <w:sz w:val="24"/>
          <w:szCs w:val="24"/>
          <w:lang w:val="en-US" w:eastAsia="zh-CN"/>
        </w:rPr>
        <w:t>S3</w:t>
      </w:r>
      <w:r>
        <w:rPr>
          <w:rFonts w:ascii="Times New Roman" w:hAnsi="Times New Roman" w:eastAsia="Palatino Linotype" w:cs="Times New Roman"/>
          <w:b/>
          <w:color w:val="auto"/>
          <w:sz w:val="24"/>
          <w:szCs w:val="24"/>
        </w:rPr>
        <w:t xml:space="preserve">. </w:t>
      </w:r>
      <w:r>
        <w:rPr>
          <w:rFonts w:ascii="Times New Roman" w:hAnsi="Times New Roman" w:eastAsia="Palatino Linotype" w:cs="Times New Roman"/>
          <w:color w:val="auto"/>
          <w:sz w:val="24"/>
          <w:szCs w:val="24"/>
        </w:rPr>
        <w:t>List of CRIH Key Sites.</w:t>
      </w:r>
    </w:p>
    <w:tbl>
      <w:tblPr>
        <w:tblStyle w:val="4"/>
        <w:tblW w:w="5000" w:type="pct"/>
        <w:tblInd w:w="0" w:type="dxa"/>
        <w:tblBorders>
          <w:top w:val="single" w:color="auto" w:sz="8" w:space="0"/>
          <w:left w:val="none" w:color="auto" w:sz="0" w:space="0"/>
          <w:bottom w:val="single" w:color="auto" w:sz="8" w:space="0"/>
          <w:right w:val="none" w:color="auto" w:sz="0" w:space="0"/>
          <w:insideH w:val="none" w:color="auto" w:sz="0" w:space="0"/>
          <w:insideV w:val="none" w:color="auto" w:sz="0" w:space="0"/>
        </w:tblBorders>
        <w:tblLayout w:type="autofit"/>
        <w:tblCellMar>
          <w:top w:w="0" w:type="dxa"/>
          <w:left w:w="29" w:type="dxa"/>
          <w:bottom w:w="0" w:type="dxa"/>
          <w:right w:w="29" w:type="dxa"/>
        </w:tblCellMar>
      </w:tblPr>
      <w:tblGrid>
        <w:gridCol w:w="1444"/>
        <w:gridCol w:w="6920"/>
      </w:tblGrid>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29" w:type="dxa"/>
            <w:bottom w:w="0" w:type="dxa"/>
            <w:right w:w="29" w:type="dxa"/>
          </w:tblCellMar>
        </w:tblPrEx>
        <w:trPr>
          <w:trHeight w:val="90" w:hRule="atLeast"/>
        </w:trPr>
        <w:tc>
          <w:tcPr>
            <w:tcW w:w="863" w:type="pct"/>
            <w:tcBorders>
              <w:bottom w:val="single" w:color="auto" w:sz="4" w:space="0"/>
            </w:tcBorders>
            <w:shd w:val="clear" w:color="auto" w:fill="auto"/>
          </w:tcPr>
          <w:p>
            <w:pPr>
              <w:pStyle w:val="7"/>
              <w:spacing w:line="240" w:lineRule="auto"/>
              <w:rPr>
                <w:rFonts w:ascii="Times New Roman" w:hAnsi="Times New Roman"/>
                <w:b/>
                <w:color w:val="auto"/>
                <w:sz w:val="18"/>
                <w:szCs w:val="18"/>
              </w:rPr>
            </w:pPr>
            <w:r>
              <w:rPr>
                <w:rFonts w:ascii="Times New Roman" w:hAnsi="Times New Roman" w:eastAsia="Palatino Linotype"/>
                <w:b/>
                <w:color w:val="auto"/>
                <w:sz w:val="18"/>
                <w:szCs w:val="18"/>
              </w:rPr>
              <w:t>Level</w:t>
            </w:r>
          </w:p>
        </w:tc>
        <w:tc>
          <w:tcPr>
            <w:tcW w:w="4137" w:type="pct"/>
            <w:tcBorders>
              <w:bottom w:val="single" w:color="auto" w:sz="4" w:space="0"/>
            </w:tcBorders>
            <w:shd w:val="clear" w:color="auto" w:fill="auto"/>
          </w:tcPr>
          <w:p>
            <w:pPr>
              <w:pStyle w:val="7"/>
              <w:spacing w:line="240" w:lineRule="auto"/>
              <w:rPr>
                <w:rFonts w:ascii="Times New Roman" w:hAnsi="Times New Roman"/>
                <w:b/>
                <w:color w:val="auto"/>
                <w:sz w:val="18"/>
                <w:szCs w:val="18"/>
              </w:rPr>
            </w:pPr>
            <w:r>
              <w:rPr>
                <w:rFonts w:ascii="Times New Roman" w:hAnsi="Times New Roman" w:eastAsia="Palatino Linotype"/>
                <w:b/>
                <w:color w:val="auto"/>
                <w:sz w:val="18"/>
                <w:szCs w:val="18"/>
              </w:rPr>
              <w:t>Specific items</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29" w:type="dxa"/>
            <w:bottom w:w="0" w:type="dxa"/>
            <w:right w:w="29" w:type="dxa"/>
          </w:tblCellMar>
        </w:tblPrEx>
        <w:trPr>
          <w:trHeight w:val="740" w:hRule="atLeast"/>
        </w:trPr>
        <w:tc>
          <w:tcPr>
            <w:tcW w:w="863" w:type="pct"/>
            <w:shd w:val="clear" w:color="auto" w:fill="auto"/>
          </w:tcPr>
          <w:p>
            <w:pPr>
              <w:pStyle w:val="11"/>
              <w:spacing w:line="240" w:lineRule="auto"/>
              <w:jc w:val="center"/>
              <w:rPr>
                <w:rFonts w:eastAsia="Palatino Linotype" w:cs="Times New Roman"/>
                <w:sz w:val="18"/>
                <w:szCs w:val="18"/>
                <w:lang w:val="en-US"/>
              </w:rPr>
            </w:pPr>
            <w:r>
              <w:rPr>
                <w:rFonts w:eastAsia="Palatino Linotype" w:cs="Times New Roman"/>
                <w:sz w:val="18"/>
                <w:szCs w:val="18"/>
                <w:lang w:val="en-US"/>
              </w:rPr>
              <w:t>Class 1 (21 items in total)</w:t>
            </w:r>
          </w:p>
        </w:tc>
        <w:tc>
          <w:tcPr>
            <w:tcW w:w="4137" w:type="pct"/>
            <w:shd w:val="clear" w:color="auto" w:fill="auto"/>
          </w:tcPr>
          <w:p>
            <w:pPr>
              <w:spacing w:line="240" w:lineRule="auto"/>
              <w:rPr>
                <w:rFonts w:ascii="Times New Roman" w:hAnsi="Times New Roman" w:cs="Times New Roman"/>
                <w:sz w:val="18"/>
                <w:szCs w:val="18"/>
              </w:rPr>
            </w:pPr>
            <w:r>
              <w:rPr>
                <w:rFonts w:ascii="Times New Roman" w:hAnsi="Times New Roman" w:eastAsia="Palatino Linotype" w:cs="Times New Roman"/>
                <w:sz w:val="18"/>
                <w:szCs w:val="18"/>
              </w:rPr>
              <w:t>Degree Branch Printing Bureau (Beijing); Kailuan Coal Mine (Tangshan)</w:t>
            </w:r>
            <w:r>
              <w:rPr>
                <w:rFonts w:ascii="Times New Roman" w:hAnsi="Times New Roman" w:cs="Times New Roman"/>
                <w:sz w:val="18"/>
                <w:szCs w:val="18"/>
              </w:rPr>
              <w:t>;</w:t>
            </w:r>
            <w:r>
              <w:rPr>
                <w:rFonts w:ascii="Times New Roman" w:hAnsi="Times New Roman" w:eastAsia="Palatino Linotype" w:cs="Times New Roman"/>
                <w:sz w:val="18"/>
                <w:szCs w:val="18"/>
              </w:rPr>
              <w:t xml:space="preserve"> Qinhuangdao Port (Qinhuangdao); China’s first tractor factory (Luoyang); Daqing Oilfield (including the first well of Iron Man, Daqing); Zhangyu Brewing Company (Yantai)</w:t>
            </w:r>
            <w:r>
              <w:rPr>
                <w:rFonts w:ascii="Times New Roman" w:hAnsi="Times New Roman" w:cs="Times New Roman"/>
                <w:sz w:val="18"/>
                <w:szCs w:val="18"/>
              </w:rPr>
              <w:t>;</w:t>
            </w:r>
            <w:r>
              <w:rPr>
                <w:rFonts w:ascii="Times New Roman" w:hAnsi="Times New Roman" w:eastAsia="Palatino Linotype" w:cs="Times New Roman"/>
                <w:sz w:val="18"/>
                <w:szCs w:val="18"/>
              </w:rPr>
              <w:t xml:space="preserve"> Tsingtao Brewery (Qingdao)</w:t>
            </w:r>
            <w:r>
              <w:rPr>
                <w:rFonts w:ascii="Times New Roman" w:hAnsi="Times New Roman" w:cs="Times New Roman"/>
                <w:sz w:val="18"/>
                <w:szCs w:val="18"/>
              </w:rPr>
              <w:t>;</w:t>
            </w:r>
            <w:r>
              <w:rPr>
                <w:rFonts w:ascii="Times New Roman" w:hAnsi="Times New Roman" w:eastAsia="Palatino Linotype" w:cs="Times New Roman"/>
                <w:sz w:val="18"/>
                <w:szCs w:val="18"/>
              </w:rPr>
              <w:t xml:space="preserve"> the former site of Zhongxing Coal Mining Company (Zaozhuang); Anshan Steelworks (Anshan); Jinling Machine Manufacturing Bureau (Nanjing)</w:t>
            </w:r>
            <w:r>
              <w:rPr>
                <w:rFonts w:ascii="Times New Roman" w:hAnsi="Times New Roman" w:cs="Times New Roman"/>
                <w:sz w:val="18"/>
                <w:szCs w:val="18"/>
              </w:rPr>
              <w:t>;</w:t>
            </w:r>
            <w:r>
              <w:rPr>
                <w:rFonts w:ascii="Times New Roman" w:hAnsi="Times New Roman" w:eastAsia="Palatino Linotype" w:cs="Times New Roman"/>
                <w:sz w:val="18"/>
                <w:szCs w:val="18"/>
              </w:rPr>
              <w:t xml:space="preserve"> the former site of Maoxin Flour Mill (Wuxi)</w:t>
            </w:r>
            <w:r>
              <w:rPr>
                <w:rFonts w:ascii="Times New Roman" w:hAnsi="Times New Roman" w:cs="Times New Roman"/>
                <w:sz w:val="18"/>
                <w:szCs w:val="18"/>
              </w:rPr>
              <w:t>;</w:t>
            </w:r>
            <w:r>
              <w:rPr>
                <w:rFonts w:ascii="Times New Roman" w:hAnsi="Times New Roman" w:eastAsia="Palatino Linotype" w:cs="Times New Roman"/>
                <w:sz w:val="18"/>
                <w:szCs w:val="18"/>
              </w:rPr>
              <w:t xml:space="preserve"> the former site of Dasheng Yarn Factory (Nantong); Wanshan mercury mine site (Tongren); Yanchang Petroleum (Yan’an): First Arsenal (Chongqing); Shilongba Hydropower Station (Kunming); Dongwo Hydropower Station (Luzhou); Huaxin Cement Plant (Huangshi); Xihuashan Tungsten Mine (Ganzhou); Hanyeping Company (Wuhan, Huangshi, Pingxiang); Yumen Oilfield </w:t>
            </w:r>
            <w:r>
              <w:rPr>
                <w:rFonts w:ascii="Times New Roman" w:hAnsi="Times New Roman" w:cs="Times New Roman"/>
                <w:sz w:val="18"/>
                <w:szCs w:val="18"/>
              </w:rPr>
              <w:t>No. 1</w:t>
            </w:r>
            <w:r>
              <w:rPr>
                <w:rFonts w:ascii="Times New Roman" w:hAnsi="Times New Roman" w:eastAsia="Palatino Linotype" w:cs="Times New Roman"/>
                <w:sz w:val="18"/>
                <w:szCs w:val="18"/>
              </w:rPr>
              <w:t xml:space="preserve"> </w:t>
            </w:r>
            <w:r>
              <w:rPr>
                <w:rFonts w:ascii="Times New Roman" w:hAnsi="Times New Roman" w:cs="Times New Roman"/>
                <w:sz w:val="18"/>
                <w:szCs w:val="18"/>
              </w:rPr>
              <w:t>Oil</w:t>
            </w:r>
            <w:r>
              <w:rPr>
                <w:rFonts w:ascii="Times New Roman" w:hAnsi="Times New Roman" w:eastAsia="Palatino Linotype" w:cs="Times New Roman"/>
                <w:sz w:val="18"/>
                <w:szCs w:val="18"/>
              </w:rPr>
              <w:t>well (Yumen)</w:t>
            </w:r>
            <w:r>
              <w:rPr>
                <w:rFonts w:ascii="Times New Roman" w:hAnsi="Times New Roman" w:cs="Times New Roman"/>
                <w:sz w:val="18"/>
                <w:szCs w:val="18"/>
              </w:rPr>
              <w:t>.</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29" w:type="dxa"/>
            <w:bottom w:w="0" w:type="dxa"/>
            <w:right w:w="29" w:type="dxa"/>
          </w:tblCellMar>
        </w:tblPrEx>
        <w:trPr>
          <w:trHeight w:val="367" w:hRule="atLeast"/>
        </w:trPr>
        <w:tc>
          <w:tcPr>
            <w:tcW w:w="863" w:type="pct"/>
            <w:shd w:val="clear" w:color="auto" w:fill="auto"/>
          </w:tcPr>
          <w:p>
            <w:pPr>
              <w:pStyle w:val="11"/>
              <w:spacing w:line="240" w:lineRule="auto"/>
              <w:jc w:val="center"/>
              <w:rPr>
                <w:rFonts w:eastAsia="Palatino Linotype" w:cs="Times New Roman"/>
                <w:sz w:val="18"/>
                <w:szCs w:val="18"/>
                <w:lang w:val="en-US"/>
              </w:rPr>
            </w:pPr>
            <w:r>
              <w:rPr>
                <w:rFonts w:eastAsia="Palatino Linotype" w:cs="Times New Roman"/>
                <w:sz w:val="18"/>
                <w:szCs w:val="18"/>
                <w:lang w:val="en-US"/>
              </w:rPr>
              <w:t>Class 2 (79 items in total)</w:t>
            </w:r>
          </w:p>
        </w:tc>
        <w:tc>
          <w:tcPr>
            <w:tcW w:w="4137" w:type="pct"/>
            <w:shd w:val="clear" w:color="auto" w:fill="auto"/>
          </w:tcPr>
          <w:p>
            <w:pPr>
              <w:spacing w:line="240" w:lineRule="auto"/>
              <w:rPr>
                <w:rFonts w:ascii="Times New Roman" w:hAnsi="Times New Roman" w:cs="Times New Roman"/>
                <w:sz w:val="18"/>
                <w:szCs w:val="18"/>
              </w:rPr>
            </w:pPr>
            <w:r>
              <w:rPr>
                <w:rFonts w:ascii="Times New Roman" w:hAnsi="Times New Roman" w:eastAsia="Palatino Linotype" w:cs="Times New Roman"/>
                <w:sz w:val="18"/>
                <w:szCs w:val="18"/>
              </w:rPr>
              <w:t>Fuziling Reservoir with Arch Dam (Lu’an)</w:t>
            </w:r>
            <w:r>
              <w:rPr>
                <w:rFonts w:ascii="Times New Roman" w:hAnsi="Times New Roman" w:cs="Times New Roman"/>
                <w:sz w:val="18"/>
                <w:szCs w:val="18"/>
              </w:rPr>
              <w:t>;</w:t>
            </w:r>
            <w:r>
              <w:rPr>
                <w:rFonts w:ascii="Times New Roman" w:hAnsi="Times New Roman" w:eastAsia="Palatino Linotype" w:cs="Times New Roman"/>
                <w:sz w:val="18"/>
                <w:szCs w:val="18"/>
              </w:rPr>
              <w:t xml:space="preserve"> Huaihe River big iron bridge (Bengbu); 491 radio station</w:t>
            </w:r>
            <w:r>
              <w:rPr>
                <w:rFonts w:ascii="Times New Roman" w:hAnsi="Times New Roman" w:cs="Times New Roman"/>
                <w:sz w:val="18"/>
                <w:szCs w:val="18"/>
              </w:rPr>
              <w:t xml:space="preserve"> </w:t>
            </w:r>
            <w:r>
              <w:rPr>
                <w:rFonts w:ascii="Times New Roman" w:hAnsi="Times New Roman" w:eastAsia="Palatino Linotype" w:cs="Times New Roman"/>
                <w:sz w:val="18"/>
                <w:szCs w:val="18"/>
              </w:rPr>
              <w:t>(B</w:t>
            </w:r>
            <w:r>
              <w:rPr>
                <w:rFonts w:ascii="Times New Roman" w:hAnsi="Times New Roman" w:cs="Times New Roman"/>
                <w:sz w:val="18"/>
                <w:szCs w:val="18"/>
              </w:rPr>
              <w:t>eijing</w:t>
            </w:r>
            <w:r>
              <w:rPr>
                <w:rFonts w:ascii="Times New Roman" w:hAnsi="Times New Roman" w:eastAsia="Palatino Linotype" w:cs="Times New Roman"/>
                <w:sz w:val="18"/>
                <w:szCs w:val="18"/>
              </w:rPr>
              <w:t>)</w:t>
            </w:r>
            <w:r>
              <w:rPr>
                <w:rFonts w:ascii="Times New Roman" w:hAnsi="Times New Roman" w:cs="Times New Roman"/>
                <w:sz w:val="18"/>
                <w:szCs w:val="18"/>
              </w:rPr>
              <w:t>;</w:t>
            </w:r>
            <w:r>
              <w:rPr>
                <w:rFonts w:ascii="Times New Roman" w:hAnsi="Times New Roman" w:eastAsia="Palatino Linotype" w:cs="Times New Roman"/>
                <w:sz w:val="18"/>
                <w:szCs w:val="18"/>
              </w:rPr>
              <w:t xml:space="preserve"> atomic energy “</w:t>
            </w:r>
            <w:r>
              <w:rPr>
                <w:rFonts w:ascii="Times New Roman" w:hAnsi="Times New Roman" w:cs="Times New Roman"/>
                <w:sz w:val="18"/>
                <w:szCs w:val="18"/>
              </w:rPr>
              <w:t>Yi Dui Yi Qi</w:t>
            </w:r>
            <w:r>
              <w:rPr>
                <w:rFonts w:ascii="Times New Roman" w:hAnsi="Times New Roman" w:eastAsia="Palatino Linotype" w:cs="Times New Roman"/>
                <w:sz w:val="18"/>
                <w:szCs w:val="18"/>
              </w:rPr>
              <w:t>”</w:t>
            </w:r>
            <w:r>
              <w:rPr>
                <w:rFonts w:ascii="Times New Roman" w:hAnsi="Times New Roman" w:cs="Times New Roman"/>
                <w:sz w:val="18"/>
                <w:szCs w:val="18"/>
              </w:rPr>
              <w:t xml:space="preserve"> </w:t>
            </w:r>
            <w:r>
              <w:rPr>
                <w:rFonts w:ascii="Times New Roman" w:hAnsi="Times New Roman" w:eastAsia="Palatino Linotype" w:cs="Times New Roman"/>
                <w:sz w:val="18"/>
                <w:szCs w:val="18"/>
              </w:rPr>
              <w:t>(</w:t>
            </w:r>
            <w:r>
              <w:rPr>
                <w:rFonts w:ascii="Times New Roman" w:hAnsi="Times New Roman" w:cs="Times New Roman"/>
                <w:sz w:val="18"/>
                <w:szCs w:val="18"/>
              </w:rPr>
              <w:t>The</w:t>
            </w:r>
            <w:r>
              <w:rPr>
                <w:rFonts w:ascii="Times New Roman" w:hAnsi="Times New Roman" w:eastAsia="Palatino Linotype" w:cs="Times New Roman"/>
                <w:sz w:val="18"/>
                <w:szCs w:val="18"/>
              </w:rPr>
              <w:t xml:space="preserve"> China’s first heavy water reactor and cyclotron</w:t>
            </w:r>
            <w:r>
              <w:rPr>
                <w:rFonts w:ascii="Times New Roman" w:hAnsi="Times New Roman" w:cs="Times New Roman"/>
                <w:sz w:val="18"/>
                <w:szCs w:val="18"/>
              </w:rPr>
              <w:t xml:space="preserve">, </w:t>
            </w:r>
            <w:r>
              <w:rPr>
                <w:rFonts w:ascii="Times New Roman" w:hAnsi="Times New Roman" w:eastAsia="Palatino Linotype" w:cs="Times New Roman"/>
                <w:sz w:val="18"/>
                <w:szCs w:val="18"/>
              </w:rPr>
              <w:t>B</w:t>
            </w:r>
            <w:r>
              <w:rPr>
                <w:rFonts w:ascii="Times New Roman" w:hAnsi="Times New Roman" w:cs="Times New Roman"/>
                <w:sz w:val="18"/>
                <w:szCs w:val="18"/>
              </w:rPr>
              <w:t>eijing</w:t>
            </w:r>
            <w:r>
              <w:rPr>
                <w:rFonts w:ascii="Times New Roman" w:hAnsi="Times New Roman" w:eastAsia="Palatino Linotype" w:cs="Times New Roman"/>
                <w:sz w:val="18"/>
                <w:szCs w:val="18"/>
              </w:rPr>
              <w:t>)</w:t>
            </w:r>
            <w:r>
              <w:rPr>
                <w:rFonts w:ascii="Times New Roman" w:hAnsi="Times New Roman" w:cs="Times New Roman"/>
                <w:sz w:val="18"/>
                <w:szCs w:val="18"/>
              </w:rPr>
              <w:t>;</w:t>
            </w:r>
            <w:r>
              <w:rPr>
                <w:rFonts w:ascii="Times New Roman" w:hAnsi="Times New Roman" w:eastAsia="Palatino Linotype" w:cs="Times New Roman"/>
                <w:sz w:val="18"/>
                <w:szCs w:val="18"/>
              </w:rPr>
              <w:t xml:space="preserve"> Jingzhang Railway</w:t>
            </w:r>
            <w:r>
              <w:rPr>
                <w:rFonts w:ascii="Times New Roman" w:hAnsi="Times New Roman" w:cs="Times New Roman"/>
                <w:sz w:val="18"/>
                <w:szCs w:val="18"/>
              </w:rPr>
              <w:t xml:space="preserve"> </w:t>
            </w:r>
            <w:r>
              <w:rPr>
                <w:rFonts w:ascii="Times New Roman" w:hAnsi="Times New Roman" w:eastAsia="Palatino Linotype" w:cs="Times New Roman"/>
                <w:sz w:val="18"/>
                <w:szCs w:val="18"/>
              </w:rPr>
              <w:t>Nankou section to Badaling section</w:t>
            </w:r>
            <w:r>
              <w:rPr>
                <w:rStyle w:val="6"/>
                <w:rFonts w:ascii="Times New Roman" w:hAnsi="Times New Roman" w:cs="Times New Roman"/>
                <w:sz w:val="18"/>
                <w:szCs w:val="18"/>
              </w:rPr>
              <w:t xml:space="preserve"> </w:t>
            </w:r>
            <w:r>
              <w:rPr>
                <w:rFonts w:ascii="Times New Roman" w:hAnsi="Times New Roman" w:eastAsia="Palatino Linotype" w:cs="Times New Roman"/>
                <w:sz w:val="18"/>
                <w:szCs w:val="18"/>
              </w:rPr>
              <w:t>(B</w:t>
            </w:r>
            <w:r>
              <w:rPr>
                <w:rFonts w:ascii="Times New Roman" w:hAnsi="Times New Roman" w:cs="Times New Roman"/>
                <w:sz w:val="18"/>
                <w:szCs w:val="18"/>
              </w:rPr>
              <w:t>eijing</w:t>
            </w:r>
            <w:r>
              <w:rPr>
                <w:rFonts w:ascii="Times New Roman" w:hAnsi="Times New Roman" w:eastAsia="Palatino Linotype" w:cs="Times New Roman"/>
                <w:sz w:val="18"/>
                <w:szCs w:val="18"/>
              </w:rPr>
              <w:t>)</w:t>
            </w:r>
            <w:r>
              <w:rPr>
                <w:rFonts w:ascii="Times New Roman" w:hAnsi="Times New Roman" w:cs="Times New Roman"/>
                <w:sz w:val="18"/>
                <w:szCs w:val="18"/>
              </w:rPr>
              <w:t>;</w:t>
            </w:r>
            <w:r>
              <w:rPr>
                <w:rFonts w:ascii="Times New Roman" w:hAnsi="Times New Roman" w:eastAsia="Palatino Linotype" w:cs="Times New Roman"/>
                <w:sz w:val="18"/>
                <w:szCs w:val="18"/>
              </w:rPr>
              <w:t xml:space="preserve"> Fuzhou Mawei Shipyard (Fuzhou); China National Nuclear Plant 404 (Lanzhou)</w:t>
            </w:r>
            <w:r>
              <w:rPr>
                <w:rFonts w:ascii="Times New Roman" w:hAnsi="Times New Roman" w:cs="Times New Roman"/>
                <w:sz w:val="18"/>
                <w:szCs w:val="18"/>
              </w:rPr>
              <w:t>;</w:t>
            </w:r>
            <w:r>
              <w:rPr>
                <w:rFonts w:ascii="Times New Roman" w:hAnsi="Times New Roman" w:eastAsia="Palatino Linotype" w:cs="Times New Roman"/>
                <w:sz w:val="18"/>
                <w:szCs w:val="18"/>
              </w:rPr>
              <w:t xml:space="preserve"> Liujiaxia Hydropower Station (Linxia); Shunde Sugar Factory (Foshan)</w:t>
            </w:r>
            <w:r>
              <w:rPr>
                <w:rFonts w:ascii="Times New Roman" w:hAnsi="Times New Roman" w:cs="Times New Roman"/>
                <w:sz w:val="18"/>
                <w:szCs w:val="18"/>
              </w:rPr>
              <w:t>;</w:t>
            </w:r>
            <w:r>
              <w:rPr>
                <w:rFonts w:ascii="Times New Roman" w:hAnsi="Times New Roman" w:eastAsia="Palatino Linotype" w:cs="Times New Roman"/>
                <w:sz w:val="18"/>
                <w:szCs w:val="18"/>
              </w:rPr>
              <w:t xml:space="preserve"> Ancient Nanfeng Kiln (Foshan)</w:t>
            </w:r>
            <w:r>
              <w:rPr>
                <w:rFonts w:ascii="Times New Roman" w:hAnsi="Times New Roman" w:cs="Times New Roman"/>
                <w:sz w:val="18"/>
                <w:szCs w:val="18"/>
              </w:rPr>
              <w:t>;</w:t>
            </w:r>
            <w:r>
              <w:rPr>
                <w:rFonts w:ascii="Times New Roman" w:hAnsi="Times New Roman" w:eastAsia="Palatino Linotype" w:cs="Times New Roman"/>
                <w:sz w:val="18"/>
                <w:szCs w:val="18"/>
              </w:rPr>
              <w:t xml:space="preserve"> Shinan Bridge (Dongguan); Maotai Brewery Industrial Heritage Group (Zunyi)</w:t>
            </w:r>
            <w:r>
              <w:rPr>
                <w:rFonts w:ascii="Times New Roman" w:hAnsi="Times New Roman" w:cs="Times New Roman"/>
                <w:sz w:val="18"/>
                <w:szCs w:val="18"/>
              </w:rPr>
              <w:t>;</w:t>
            </w:r>
            <w:r>
              <w:rPr>
                <w:rFonts w:ascii="Times New Roman" w:hAnsi="Times New Roman" w:eastAsia="Palatino Linotype" w:cs="Times New Roman"/>
                <w:sz w:val="18"/>
                <w:szCs w:val="18"/>
              </w:rPr>
              <w:t xml:space="preserve"> Tianmen River Hydropower Station (Zunyi); Lingao Cape Lighthouse (Lingao)</w:t>
            </w:r>
            <w:r>
              <w:rPr>
                <w:rFonts w:ascii="Times New Roman" w:hAnsi="Times New Roman" w:cs="Times New Roman"/>
                <w:sz w:val="18"/>
                <w:szCs w:val="18"/>
              </w:rPr>
              <w:t>;</w:t>
            </w:r>
            <w:r>
              <w:rPr>
                <w:rFonts w:ascii="Times New Roman" w:hAnsi="Times New Roman" w:eastAsia="Palatino Linotype" w:cs="Times New Roman"/>
                <w:sz w:val="18"/>
                <w:szCs w:val="18"/>
              </w:rPr>
              <w:t xml:space="preserve"> Shiluo Iron Mine (Changjiang); Tangshan Locomotive and Rolling Stock Plant (Tangshan)</w:t>
            </w:r>
            <w:r>
              <w:rPr>
                <w:rFonts w:ascii="Times New Roman" w:hAnsi="Times New Roman" w:cs="Times New Roman"/>
                <w:sz w:val="18"/>
                <w:szCs w:val="18"/>
              </w:rPr>
              <w:t>;</w:t>
            </w:r>
            <w:r>
              <w:rPr>
                <w:rFonts w:ascii="Times New Roman" w:hAnsi="Times New Roman" w:eastAsia="Palatino Linotype" w:cs="Times New Roman"/>
                <w:sz w:val="18"/>
                <w:szCs w:val="18"/>
              </w:rPr>
              <w:t xml:space="preserve"> Qixin Cement Plant (Tangshan)</w:t>
            </w:r>
            <w:r>
              <w:rPr>
                <w:rFonts w:ascii="Times New Roman" w:hAnsi="Times New Roman" w:cs="Times New Roman"/>
                <w:sz w:val="18"/>
                <w:szCs w:val="18"/>
              </w:rPr>
              <w:t>;</w:t>
            </w:r>
            <w:r>
              <w:rPr>
                <w:rFonts w:ascii="Times New Roman" w:hAnsi="Times New Roman" w:eastAsia="Palatino Linotype" w:cs="Times New Roman"/>
                <w:sz w:val="18"/>
                <w:szCs w:val="18"/>
              </w:rPr>
              <w:t xml:space="preserve"> Jingxing Mining Bureau (Shijiazhuang)</w:t>
            </w:r>
            <w:r>
              <w:rPr>
                <w:rFonts w:ascii="Times New Roman" w:hAnsi="Times New Roman" w:cs="Times New Roman"/>
                <w:sz w:val="18"/>
                <w:szCs w:val="18"/>
              </w:rPr>
              <w:t>;</w:t>
            </w:r>
            <w:r>
              <w:rPr>
                <w:rFonts w:ascii="Times New Roman" w:hAnsi="Times New Roman" w:eastAsia="Palatino Linotype" w:cs="Times New Roman"/>
                <w:sz w:val="18"/>
                <w:szCs w:val="18"/>
              </w:rPr>
              <w:t xml:space="preserve"> former site of Yaohua Glass Factory (Qinhuangdao)</w:t>
            </w:r>
            <w:r>
              <w:rPr>
                <w:rFonts w:ascii="Times New Roman" w:hAnsi="Times New Roman" w:cs="Times New Roman"/>
                <w:sz w:val="18"/>
                <w:szCs w:val="18"/>
              </w:rPr>
              <w:t>;</w:t>
            </w:r>
            <w:r>
              <w:rPr>
                <w:rFonts w:ascii="Times New Roman" w:hAnsi="Times New Roman" w:eastAsia="Palatino Linotype" w:cs="Times New Roman"/>
                <w:sz w:val="18"/>
                <w:szCs w:val="18"/>
              </w:rPr>
              <w:t xml:space="preserve"> Kailuan Mining Bureau Qinhuangdao Power Plant (Qinhuangdao); Jiaozuo Yingfu Coal Mine (Jiaozuo); Middle East Railway Complex (Heilongjiang, Jilin, Liaoning, Inner Mongolia)</w:t>
            </w:r>
            <w:r>
              <w:rPr>
                <w:rFonts w:ascii="Times New Roman" w:hAnsi="Times New Roman" w:cs="Times New Roman"/>
                <w:sz w:val="18"/>
                <w:szCs w:val="18"/>
              </w:rPr>
              <w:t>;</w:t>
            </w:r>
            <w:r>
              <w:rPr>
                <w:rFonts w:ascii="Times New Roman" w:hAnsi="Times New Roman" w:eastAsia="Palatino Linotype" w:cs="Times New Roman"/>
                <w:sz w:val="18"/>
                <w:szCs w:val="18"/>
              </w:rPr>
              <w:t xml:space="preserve"> Harbin Cigarette Factory (Harbin); Wuhan Yangtze River Bridge (Wuhan)</w:t>
            </w:r>
            <w:r>
              <w:rPr>
                <w:rFonts w:ascii="Times New Roman" w:hAnsi="Times New Roman" w:cs="Times New Roman"/>
                <w:sz w:val="18"/>
                <w:szCs w:val="18"/>
              </w:rPr>
              <w:t>;</w:t>
            </w:r>
            <w:r>
              <w:rPr>
                <w:rFonts w:ascii="Times New Roman" w:hAnsi="Times New Roman" w:eastAsia="Palatino Linotype" w:cs="Times New Roman"/>
                <w:sz w:val="18"/>
                <w:szCs w:val="18"/>
              </w:rPr>
              <w:t xml:space="preserve"> Dazhimen Railway Station (Wuhan); Xiangtan Manganese Mine (Xiangtan)</w:t>
            </w:r>
            <w:r>
              <w:rPr>
                <w:rFonts w:ascii="Times New Roman" w:hAnsi="Times New Roman" w:cs="Times New Roman"/>
                <w:sz w:val="18"/>
                <w:szCs w:val="18"/>
              </w:rPr>
              <w:t>;</w:t>
            </w:r>
            <w:r>
              <w:rPr>
                <w:rFonts w:ascii="Times New Roman" w:hAnsi="Times New Roman" w:eastAsia="Palatino Linotype" w:cs="Times New Roman"/>
                <w:sz w:val="18"/>
                <w:szCs w:val="18"/>
              </w:rPr>
              <w:t xml:space="preserve"> the former site of the 711 Meritorious Uranium Mine (Chenzhou)</w:t>
            </w:r>
            <w:r>
              <w:rPr>
                <w:rFonts w:ascii="Times New Roman" w:hAnsi="Times New Roman" w:cs="Times New Roman"/>
                <w:sz w:val="18"/>
                <w:szCs w:val="18"/>
              </w:rPr>
              <w:t>;</w:t>
            </w:r>
            <w:r>
              <w:rPr>
                <w:rFonts w:ascii="Times New Roman" w:hAnsi="Times New Roman" w:eastAsia="Palatino Linotype" w:cs="Times New Roman"/>
                <w:sz w:val="18"/>
                <w:szCs w:val="18"/>
              </w:rPr>
              <w:t xml:space="preserve"> the Zhuzhou General Engine Factory of the Yuehan Railway (Zhuzhou)</w:t>
            </w:r>
            <w:r>
              <w:rPr>
                <w:rFonts w:ascii="Times New Roman" w:hAnsi="Times New Roman" w:cs="Times New Roman"/>
                <w:sz w:val="18"/>
                <w:szCs w:val="18"/>
              </w:rPr>
              <w:t>;</w:t>
            </w:r>
            <w:r>
              <w:rPr>
                <w:rFonts w:ascii="Times New Roman" w:hAnsi="Times New Roman" w:eastAsia="Palatino Linotype" w:cs="Times New Roman"/>
                <w:sz w:val="18"/>
                <w:szCs w:val="18"/>
              </w:rPr>
              <w:t xml:space="preserve"> the Antimony Mine</w:t>
            </w:r>
            <w:r>
              <w:rPr>
                <w:rFonts w:ascii="Times New Roman" w:hAnsi="Times New Roman" w:cs="Times New Roman"/>
                <w:sz w:val="18"/>
                <w:szCs w:val="18"/>
              </w:rPr>
              <w:t xml:space="preserve"> in the Xi </w:t>
            </w:r>
            <w:r>
              <w:rPr>
                <w:rFonts w:ascii="Times New Roman" w:hAnsi="Times New Roman" w:eastAsia="Palatino Linotype" w:cs="Times New Roman"/>
                <w:sz w:val="18"/>
                <w:szCs w:val="18"/>
              </w:rPr>
              <w:t>Mountain (Loudi); Tonghua Winery underground wine storage cellar (Tonghua)</w:t>
            </w:r>
            <w:r>
              <w:rPr>
                <w:rFonts w:ascii="Times New Roman" w:hAnsi="Times New Roman" w:cs="Times New Roman"/>
                <w:sz w:val="18"/>
                <w:szCs w:val="18"/>
              </w:rPr>
              <w:t>;</w:t>
            </w:r>
            <w:r>
              <w:rPr>
                <w:rFonts w:ascii="Times New Roman" w:hAnsi="Times New Roman" w:eastAsia="Palatino Linotype" w:cs="Times New Roman"/>
                <w:sz w:val="18"/>
                <w:szCs w:val="18"/>
              </w:rPr>
              <w:t xml:space="preserve"> Changchun First Automobile Manufacturing Plant (Changchun)</w:t>
            </w:r>
            <w:r>
              <w:rPr>
                <w:rFonts w:ascii="Times New Roman" w:hAnsi="Times New Roman" w:cs="Times New Roman"/>
                <w:sz w:val="18"/>
                <w:szCs w:val="18"/>
              </w:rPr>
              <w:t>;</w:t>
            </w:r>
            <w:r>
              <w:rPr>
                <w:rFonts w:ascii="Times New Roman" w:hAnsi="Times New Roman" w:eastAsia="Palatino Linotype" w:cs="Times New Roman"/>
                <w:sz w:val="18"/>
                <w:szCs w:val="18"/>
              </w:rPr>
              <w:t xml:space="preserve"> Changchun Film Studio (Changchun); Yongli Softsteel Factory (Nanjing)</w:t>
            </w:r>
            <w:r>
              <w:rPr>
                <w:rFonts w:ascii="Times New Roman" w:hAnsi="Times New Roman" w:cs="Times New Roman"/>
                <w:sz w:val="18"/>
                <w:szCs w:val="18"/>
              </w:rPr>
              <w:t>;</w:t>
            </w:r>
            <w:r>
              <w:rPr>
                <w:rFonts w:ascii="Times New Roman" w:hAnsi="Times New Roman" w:eastAsia="Palatino Linotype" w:cs="Times New Roman"/>
                <w:sz w:val="18"/>
                <w:szCs w:val="18"/>
              </w:rPr>
              <w:t xml:space="preserve"> Pukou Railway Station (Nanjing)</w:t>
            </w:r>
            <w:r>
              <w:rPr>
                <w:rFonts w:ascii="Times New Roman" w:hAnsi="Times New Roman" w:cs="Times New Roman"/>
                <w:sz w:val="18"/>
                <w:szCs w:val="18"/>
              </w:rPr>
              <w:t>;</w:t>
            </w:r>
            <w:r>
              <w:rPr>
                <w:rFonts w:ascii="Times New Roman" w:hAnsi="Times New Roman" w:eastAsia="Palatino Linotype" w:cs="Times New Roman"/>
                <w:sz w:val="18"/>
                <w:szCs w:val="18"/>
              </w:rPr>
              <w:t xml:space="preserve"> Yanghe Old Cellar Group (Suqian); Guantian Central Military Commission Arsenal (Ganzhou); Lushun Dockyard (Dalian)</w:t>
            </w:r>
            <w:r>
              <w:rPr>
                <w:rFonts w:ascii="Times New Roman" w:hAnsi="Times New Roman" w:cs="Times New Roman"/>
                <w:sz w:val="18"/>
                <w:szCs w:val="18"/>
              </w:rPr>
              <w:t>;</w:t>
            </w:r>
            <w:r>
              <w:rPr>
                <w:rFonts w:ascii="Times New Roman" w:hAnsi="Times New Roman" w:eastAsia="Palatino Linotype" w:cs="Times New Roman"/>
                <w:sz w:val="18"/>
                <w:szCs w:val="18"/>
              </w:rPr>
              <w:t xml:space="preserve"> Shenyang Foundry (Shenyang)</w:t>
            </w:r>
            <w:r>
              <w:rPr>
                <w:rFonts w:ascii="Times New Roman" w:hAnsi="Times New Roman" w:cs="Times New Roman"/>
                <w:sz w:val="18"/>
                <w:szCs w:val="18"/>
              </w:rPr>
              <w:t>;</w:t>
            </w:r>
            <w:r>
              <w:rPr>
                <w:rFonts w:ascii="Times New Roman" w:hAnsi="Times New Roman" w:eastAsia="Palatino Linotype" w:cs="Times New Roman"/>
                <w:sz w:val="18"/>
                <w:szCs w:val="18"/>
              </w:rPr>
              <w:t xml:space="preserve"> Fuxin Haizhou Open Pit Mine (Fuxin)</w:t>
            </w:r>
            <w:r>
              <w:rPr>
                <w:rFonts w:ascii="Times New Roman" w:hAnsi="Times New Roman" w:cs="Times New Roman"/>
                <w:sz w:val="18"/>
                <w:szCs w:val="18"/>
              </w:rPr>
              <w:t>;</w:t>
            </w:r>
            <w:r>
              <w:rPr>
                <w:rFonts w:ascii="Times New Roman" w:hAnsi="Times New Roman" w:eastAsia="Palatino Linotype" w:cs="Times New Roman"/>
                <w:sz w:val="18"/>
                <w:szCs w:val="18"/>
              </w:rPr>
              <w:t xml:space="preserve"> the former site of Benxi Lake Coal and Iron Company (Benxi); Dalian Shipyard (Dalian); National Cotton No.5 Factory (Qingdao); Lokou Yellow River Railway Bridge (Jinan); Fangzi Railway Station Complex (Weifang); Jinan Station Modern Complex (Jinan); Jinan Machine Works of Jinpu Railway (Jinan); Datong Coal Mine (Datong); Taiyuan Machine Bureau (Taiyuan); the former site of Huangyadong Arsenal (Changzhi); Shenxin Yarn Factory (Baoji); Wangshiwa Coal Mine (Tongchuan); Yangshupu Water Works</w:t>
            </w:r>
            <w:r>
              <w:rPr>
                <w:rFonts w:ascii="Times New Roman" w:hAnsi="Times New Roman" w:cs="Times New Roman"/>
                <w:sz w:val="18"/>
                <w:szCs w:val="18"/>
              </w:rPr>
              <w:t xml:space="preserve"> </w:t>
            </w:r>
            <w:r>
              <w:rPr>
                <w:rFonts w:ascii="Times New Roman" w:hAnsi="Times New Roman" w:eastAsia="Palatino Linotype" w:cs="Times New Roman"/>
                <w:sz w:val="18"/>
                <w:szCs w:val="18"/>
              </w:rPr>
              <w:t>(Shanghai), Bund Signal Station</w:t>
            </w:r>
            <w:r>
              <w:rPr>
                <w:rFonts w:ascii="Times New Roman" w:hAnsi="Times New Roman" w:cs="Times New Roman"/>
                <w:sz w:val="18"/>
                <w:szCs w:val="18"/>
              </w:rPr>
              <w:t xml:space="preserve"> </w:t>
            </w:r>
            <w:r>
              <w:rPr>
                <w:rFonts w:ascii="Times New Roman" w:hAnsi="Times New Roman" w:eastAsia="Palatino Linotype" w:cs="Times New Roman"/>
                <w:sz w:val="18"/>
                <w:szCs w:val="18"/>
              </w:rPr>
              <w:t>(Shanghai), the former site of the Central Mint</w:t>
            </w:r>
            <w:r>
              <w:rPr>
                <w:rFonts w:ascii="Times New Roman" w:hAnsi="Times New Roman" w:cs="Times New Roman"/>
                <w:sz w:val="18"/>
                <w:szCs w:val="18"/>
              </w:rPr>
              <w:t xml:space="preserve"> </w:t>
            </w:r>
            <w:r>
              <w:rPr>
                <w:rFonts w:ascii="Times New Roman" w:hAnsi="Times New Roman" w:eastAsia="Palatino Linotype" w:cs="Times New Roman"/>
                <w:sz w:val="18"/>
                <w:szCs w:val="18"/>
              </w:rPr>
              <w:t>(Shanghai), 1933 Old Field</w:t>
            </w:r>
            <w:r>
              <w:rPr>
                <w:rFonts w:ascii="Times New Roman" w:hAnsi="Times New Roman" w:cs="Times New Roman"/>
                <w:sz w:val="18"/>
                <w:szCs w:val="18"/>
              </w:rPr>
              <w:t xml:space="preserve"> </w:t>
            </w:r>
            <w:r>
              <w:rPr>
                <w:rFonts w:ascii="Times New Roman" w:hAnsi="Times New Roman" w:eastAsia="Palatino Linotype" w:cs="Times New Roman"/>
                <w:sz w:val="18"/>
                <w:szCs w:val="18"/>
              </w:rPr>
              <w:t>(Shanghai), Great Northern Telegraph Company</w:t>
            </w:r>
            <w:r>
              <w:rPr>
                <w:rFonts w:ascii="Times New Roman" w:hAnsi="Times New Roman" w:cs="Times New Roman"/>
                <w:sz w:val="18"/>
                <w:szCs w:val="18"/>
              </w:rPr>
              <w:t xml:space="preserve"> </w:t>
            </w:r>
            <w:r>
              <w:rPr>
                <w:rFonts w:ascii="Times New Roman" w:hAnsi="Times New Roman" w:eastAsia="Palatino Linotype" w:cs="Times New Roman"/>
                <w:sz w:val="18"/>
                <w:szCs w:val="18"/>
              </w:rPr>
              <w:t>(Shanghai)</w:t>
            </w:r>
            <w:r>
              <w:rPr>
                <w:rFonts w:ascii="Times New Roman" w:hAnsi="Times New Roman" w:cs="Times New Roman"/>
                <w:sz w:val="18"/>
                <w:szCs w:val="18"/>
              </w:rPr>
              <w:t xml:space="preserve">; </w:t>
            </w:r>
            <w:r>
              <w:rPr>
                <w:rFonts w:ascii="Times New Roman" w:hAnsi="Times New Roman" w:eastAsia="Palatino Linotype" w:cs="Times New Roman"/>
                <w:sz w:val="18"/>
                <w:szCs w:val="18"/>
              </w:rPr>
              <w:t>Luzhou Old Cellar Group and Brewing Workshop (Luzhou)</w:t>
            </w:r>
            <w:r>
              <w:rPr>
                <w:rFonts w:ascii="Times New Roman" w:hAnsi="Times New Roman" w:cs="Times New Roman"/>
                <w:sz w:val="18"/>
                <w:szCs w:val="18"/>
              </w:rPr>
              <w:t>;</w:t>
            </w:r>
            <w:r>
              <w:rPr>
                <w:rFonts w:ascii="Times New Roman" w:hAnsi="Times New Roman" w:eastAsia="Palatino Linotype" w:cs="Times New Roman"/>
                <w:sz w:val="18"/>
                <w:szCs w:val="18"/>
              </w:rPr>
              <w:t xml:space="preserve"> Xianshi Soy Sauce Brewing Workshop (Luzhou)</w:t>
            </w:r>
            <w:r>
              <w:rPr>
                <w:rFonts w:ascii="Times New Roman" w:hAnsi="Times New Roman" w:cs="Times New Roman"/>
                <w:sz w:val="18"/>
                <w:szCs w:val="18"/>
              </w:rPr>
              <w:t>;</w:t>
            </w:r>
            <w:r>
              <w:rPr>
                <w:rFonts w:ascii="Times New Roman" w:hAnsi="Times New Roman" w:eastAsia="Palatino Linotype" w:cs="Times New Roman"/>
                <w:sz w:val="18"/>
                <w:szCs w:val="18"/>
              </w:rPr>
              <w:t xml:space="preserve"> Zigong Well Salt (Zigong)</w:t>
            </w:r>
            <w:r>
              <w:rPr>
                <w:rFonts w:ascii="Times New Roman" w:hAnsi="Times New Roman" w:cs="Times New Roman"/>
                <w:sz w:val="18"/>
                <w:szCs w:val="18"/>
              </w:rPr>
              <w:t>;</w:t>
            </w:r>
            <w:r>
              <w:rPr>
                <w:rFonts w:ascii="Times New Roman" w:hAnsi="Times New Roman" w:eastAsia="Palatino Linotype" w:cs="Times New Roman"/>
                <w:sz w:val="18"/>
                <w:szCs w:val="18"/>
              </w:rPr>
              <w:t xml:space="preserve"> Jiayang Coal Mine (Leshan)</w:t>
            </w:r>
            <w:r>
              <w:rPr>
                <w:rFonts w:ascii="Times New Roman" w:hAnsi="Times New Roman" w:cs="Times New Roman"/>
                <w:sz w:val="18"/>
                <w:szCs w:val="18"/>
              </w:rPr>
              <w:t>;</w:t>
            </w:r>
            <w:r>
              <w:rPr>
                <w:rFonts w:ascii="Times New Roman" w:hAnsi="Times New Roman" w:eastAsia="Palatino Linotype" w:cs="Times New Roman"/>
                <w:sz w:val="18"/>
                <w:szCs w:val="18"/>
              </w:rPr>
              <w:t xml:space="preserve"> Panzhihua Iron and Steel Plant (Panzhihua)</w:t>
            </w:r>
            <w:r>
              <w:rPr>
                <w:rFonts w:ascii="Times New Roman" w:hAnsi="Times New Roman" w:cs="Times New Roman"/>
                <w:sz w:val="18"/>
                <w:szCs w:val="18"/>
              </w:rPr>
              <w:t>;</w:t>
            </w:r>
            <w:r>
              <w:rPr>
                <w:rFonts w:ascii="Times New Roman" w:hAnsi="Times New Roman" w:eastAsia="Palatino Linotype" w:cs="Times New Roman"/>
                <w:sz w:val="18"/>
                <w:szCs w:val="18"/>
              </w:rPr>
              <w:t xml:space="preserve"> the former site of the Third-Front Nuclear Weapons Development Base (Mianyang)</w:t>
            </w:r>
            <w:r>
              <w:rPr>
                <w:rFonts w:ascii="Times New Roman" w:hAnsi="Times New Roman" w:cs="Times New Roman"/>
                <w:sz w:val="18"/>
                <w:szCs w:val="18"/>
              </w:rPr>
              <w:t>;</w:t>
            </w:r>
            <w:r>
              <w:rPr>
                <w:rFonts w:ascii="Times New Roman" w:hAnsi="Times New Roman" w:eastAsia="Palatino Linotype" w:cs="Times New Roman"/>
                <w:sz w:val="18"/>
                <w:szCs w:val="18"/>
              </w:rPr>
              <w:t xml:space="preserve"> the former site of the first controlled fusion experimental device (Leshan)</w:t>
            </w:r>
            <w:r>
              <w:rPr>
                <w:rFonts w:ascii="Times New Roman" w:hAnsi="Times New Roman" w:cs="Times New Roman"/>
                <w:sz w:val="18"/>
                <w:szCs w:val="18"/>
              </w:rPr>
              <w:t>;</w:t>
            </w:r>
            <w:r>
              <w:rPr>
                <w:rFonts w:ascii="Times New Roman" w:hAnsi="Times New Roman" w:eastAsia="Palatino Linotype" w:cs="Times New Roman"/>
                <w:sz w:val="18"/>
                <w:szCs w:val="18"/>
              </w:rPr>
              <w:t xml:space="preserve"> Yonglichuan Factory (Leshan); Dagu Dockyard of the Beiyang Marine Division</w:t>
            </w:r>
            <w:r>
              <w:rPr>
                <w:rFonts w:ascii="Times New Roman" w:hAnsi="Times New Roman" w:cs="Times New Roman"/>
                <w:sz w:val="18"/>
                <w:szCs w:val="18"/>
              </w:rPr>
              <w:t xml:space="preserve"> </w:t>
            </w:r>
            <w:r>
              <w:rPr>
                <w:rFonts w:ascii="Times New Roman" w:hAnsi="Times New Roman" w:eastAsia="Palatino Linotype" w:cs="Times New Roman"/>
                <w:sz w:val="18"/>
                <w:szCs w:val="18"/>
              </w:rPr>
              <w:t>(</w:t>
            </w:r>
            <w:r>
              <w:rPr>
                <w:rFonts w:ascii="Times New Roman" w:hAnsi="Times New Roman" w:cs="Times New Roman"/>
                <w:sz w:val="18"/>
                <w:szCs w:val="18"/>
              </w:rPr>
              <w:t>Tianjin</w:t>
            </w:r>
            <w:r>
              <w:rPr>
                <w:rFonts w:ascii="Times New Roman" w:hAnsi="Times New Roman" w:eastAsia="Palatino Linotype" w:cs="Times New Roman"/>
                <w:sz w:val="18"/>
                <w:szCs w:val="18"/>
              </w:rPr>
              <w:t>)</w:t>
            </w:r>
            <w:r>
              <w:rPr>
                <w:rFonts w:ascii="Times New Roman" w:hAnsi="Times New Roman" w:cs="Times New Roman"/>
                <w:sz w:val="18"/>
                <w:szCs w:val="18"/>
              </w:rPr>
              <w:t>;</w:t>
            </w:r>
            <w:r>
              <w:rPr>
                <w:rFonts w:ascii="Times New Roman" w:hAnsi="Times New Roman" w:eastAsia="Palatino Linotype" w:cs="Times New Roman"/>
                <w:sz w:val="18"/>
                <w:szCs w:val="18"/>
              </w:rPr>
              <w:t xml:space="preserve"> Tianjin West Station (</w:t>
            </w:r>
            <w:r>
              <w:rPr>
                <w:rFonts w:ascii="Times New Roman" w:hAnsi="Times New Roman" w:cs="Times New Roman"/>
                <w:sz w:val="18"/>
                <w:szCs w:val="18"/>
              </w:rPr>
              <w:t>Tianjin</w:t>
            </w:r>
            <w:r>
              <w:rPr>
                <w:rFonts w:ascii="Times New Roman" w:hAnsi="Times New Roman" w:eastAsia="Palatino Linotype" w:cs="Times New Roman"/>
                <w:sz w:val="18"/>
                <w:szCs w:val="18"/>
              </w:rPr>
              <w:t>)</w:t>
            </w:r>
            <w:r>
              <w:rPr>
                <w:rFonts w:ascii="Times New Roman" w:hAnsi="Times New Roman" w:cs="Times New Roman"/>
                <w:sz w:val="18"/>
                <w:szCs w:val="18"/>
              </w:rPr>
              <w:t xml:space="preserve">; </w:t>
            </w:r>
            <w:r>
              <w:rPr>
                <w:rFonts w:ascii="Times New Roman" w:hAnsi="Times New Roman" w:eastAsia="Palatino Linotype" w:cs="Times New Roman"/>
                <w:sz w:val="18"/>
                <w:szCs w:val="18"/>
              </w:rPr>
              <w:t>Tanggu South Station</w:t>
            </w:r>
            <w:r>
              <w:rPr>
                <w:rFonts w:ascii="Times New Roman" w:hAnsi="Times New Roman" w:cs="Times New Roman"/>
                <w:sz w:val="18"/>
                <w:szCs w:val="18"/>
              </w:rPr>
              <w:t xml:space="preserve"> </w:t>
            </w:r>
            <w:r>
              <w:rPr>
                <w:rFonts w:ascii="Times New Roman" w:hAnsi="Times New Roman" w:eastAsia="Palatino Linotype" w:cs="Times New Roman"/>
                <w:sz w:val="18"/>
                <w:szCs w:val="18"/>
              </w:rPr>
              <w:t>(</w:t>
            </w:r>
            <w:r>
              <w:rPr>
                <w:rFonts w:ascii="Times New Roman" w:hAnsi="Times New Roman" w:cs="Times New Roman"/>
                <w:sz w:val="18"/>
                <w:szCs w:val="18"/>
              </w:rPr>
              <w:t>Tianjin</w:t>
            </w:r>
            <w:r>
              <w:rPr>
                <w:rFonts w:ascii="Times New Roman" w:hAnsi="Times New Roman" w:eastAsia="Palatino Linotype" w:cs="Times New Roman"/>
                <w:sz w:val="18"/>
                <w:szCs w:val="18"/>
              </w:rPr>
              <w:t>)</w:t>
            </w:r>
            <w:r>
              <w:rPr>
                <w:rFonts w:ascii="Times New Roman" w:hAnsi="Times New Roman" w:cs="Times New Roman"/>
                <w:sz w:val="18"/>
                <w:szCs w:val="18"/>
              </w:rPr>
              <w:t>;</w:t>
            </w:r>
            <w:r>
              <w:rPr>
                <w:rFonts w:ascii="Times New Roman" w:hAnsi="Times New Roman" w:eastAsia="Palatino Linotype" w:cs="Times New Roman"/>
                <w:sz w:val="18"/>
                <w:szCs w:val="18"/>
              </w:rPr>
              <w:t xml:space="preserve"> Xinkaihe Railway Station(</w:t>
            </w:r>
            <w:r>
              <w:rPr>
                <w:rFonts w:ascii="Times New Roman" w:hAnsi="Times New Roman" w:cs="Times New Roman"/>
                <w:sz w:val="18"/>
                <w:szCs w:val="18"/>
              </w:rPr>
              <w:t>Tianjin</w:t>
            </w:r>
            <w:r>
              <w:rPr>
                <w:rFonts w:ascii="Times New Roman" w:hAnsi="Times New Roman" w:eastAsia="Palatino Linotype" w:cs="Times New Roman"/>
                <w:sz w:val="18"/>
                <w:szCs w:val="18"/>
              </w:rPr>
              <w:t>)</w:t>
            </w:r>
            <w:r>
              <w:rPr>
                <w:rFonts w:ascii="Times New Roman" w:hAnsi="Times New Roman" w:cs="Times New Roman"/>
                <w:sz w:val="18"/>
                <w:szCs w:val="18"/>
              </w:rPr>
              <w:t>;</w:t>
            </w:r>
            <w:r>
              <w:rPr>
                <w:rFonts w:ascii="Times New Roman" w:hAnsi="Times New Roman" w:eastAsia="Palatino Linotype" w:cs="Times New Roman"/>
                <w:sz w:val="18"/>
                <w:szCs w:val="18"/>
              </w:rPr>
              <w:t xml:space="preserve"> Cocotohai 111 mine (Altay), Karamay No. 1 well (Karamay); Fengqing Tea Factory (Lincang)</w:t>
            </w:r>
            <w:r>
              <w:rPr>
                <w:rFonts w:ascii="Times New Roman" w:hAnsi="Times New Roman" w:cs="Times New Roman"/>
                <w:sz w:val="18"/>
                <w:szCs w:val="18"/>
              </w:rPr>
              <w:t>;</w:t>
            </w:r>
            <w:r>
              <w:rPr>
                <w:rFonts w:ascii="Times New Roman" w:hAnsi="Times New Roman" w:eastAsia="Palatino Linotype" w:cs="Times New Roman"/>
                <w:sz w:val="18"/>
                <w:szCs w:val="18"/>
              </w:rPr>
              <w:t xml:space="preserve"> Lufeng Lianxiangguan Bridge and Tunnel Group (Chuxiong)</w:t>
            </w:r>
            <w:r>
              <w:rPr>
                <w:rFonts w:ascii="Times New Roman" w:hAnsi="Times New Roman" w:cs="Times New Roman"/>
                <w:sz w:val="18"/>
                <w:szCs w:val="18"/>
              </w:rPr>
              <w:t>;</w:t>
            </w:r>
            <w:r>
              <w:rPr>
                <w:rFonts w:ascii="Times New Roman" w:hAnsi="Times New Roman" w:eastAsia="Palatino Linotype" w:cs="Times New Roman"/>
                <w:sz w:val="18"/>
                <w:szCs w:val="18"/>
              </w:rPr>
              <w:t xml:space="preserve"> Wujiazhai Railway Bridge</w:t>
            </w:r>
            <w:r>
              <w:rPr>
                <w:rFonts w:ascii="Times New Roman" w:hAnsi="Times New Roman" w:cs="Times New Roman"/>
                <w:sz w:val="18"/>
                <w:szCs w:val="18"/>
              </w:rPr>
              <w:t xml:space="preserve"> </w:t>
            </w:r>
            <w:r>
              <w:rPr>
                <w:rFonts w:ascii="Times New Roman" w:hAnsi="Times New Roman" w:eastAsia="Palatino Linotype" w:cs="Times New Roman"/>
                <w:sz w:val="18"/>
                <w:szCs w:val="18"/>
              </w:rPr>
              <w:t>(Honghe), Biseizhai Station(Honghe)</w:t>
            </w:r>
            <w:r>
              <w:rPr>
                <w:rFonts w:ascii="Times New Roman" w:hAnsi="Times New Roman" w:cs="Times New Roman"/>
                <w:sz w:val="18"/>
                <w:szCs w:val="18"/>
              </w:rPr>
              <w:t xml:space="preserve">; </w:t>
            </w:r>
            <w:r>
              <w:rPr>
                <w:rFonts w:ascii="Times New Roman" w:hAnsi="Times New Roman" w:eastAsia="Palatino Linotype" w:cs="Times New Roman"/>
                <w:sz w:val="18"/>
                <w:szCs w:val="18"/>
              </w:rPr>
              <w:t>Jijie Railway Station (Honghe); Huabushan Lighthouse (Zhoushan)</w:t>
            </w:r>
            <w:r>
              <w:rPr>
                <w:rFonts w:ascii="Times New Roman" w:hAnsi="Times New Roman" w:cs="Times New Roman"/>
                <w:sz w:val="18"/>
                <w:szCs w:val="18"/>
              </w:rPr>
              <w:t>;</w:t>
            </w:r>
            <w:r>
              <w:rPr>
                <w:rFonts w:ascii="Times New Roman" w:hAnsi="Times New Roman" w:eastAsia="Palatino Linotype" w:cs="Times New Roman"/>
                <w:sz w:val="18"/>
                <w:szCs w:val="18"/>
              </w:rPr>
              <w:t xml:space="preserve"> the former site of Tongyigong Yarn Factory (Hangzhou)</w:t>
            </w:r>
            <w:r>
              <w:rPr>
                <w:rFonts w:ascii="Times New Roman" w:hAnsi="Times New Roman" w:cs="Times New Roman"/>
                <w:sz w:val="18"/>
                <w:szCs w:val="18"/>
              </w:rPr>
              <w:t>;</w:t>
            </w:r>
            <w:r>
              <w:rPr>
                <w:rFonts w:ascii="Times New Roman" w:hAnsi="Times New Roman" w:eastAsia="Palatino Linotype" w:cs="Times New Roman"/>
                <w:sz w:val="18"/>
                <w:szCs w:val="18"/>
              </w:rPr>
              <w:t xml:space="preserve"> Qiantang River Bridge (Hangzhou)</w:t>
            </w:r>
            <w:r>
              <w:rPr>
                <w:rFonts w:ascii="Times New Roman" w:hAnsi="Times New Roman" w:cs="Times New Roman"/>
                <w:sz w:val="18"/>
                <w:szCs w:val="18"/>
              </w:rPr>
              <w:t xml:space="preserve">; </w:t>
            </w:r>
            <w:r>
              <w:rPr>
                <w:rFonts w:ascii="Times New Roman" w:hAnsi="Times New Roman" w:eastAsia="Palatino Linotype" w:cs="Times New Roman"/>
                <w:sz w:val="18"/>
                <w:szCs w:val="18"/>
              </w:rPr>
              <w:t>nuclear industry 816 project</w:t>
            </w:r>
            <w:r>
              <w:rPr>
                <w:rFonts w:ascii="Times New Roman" w:hAnsi="Times New Roman" w:cs="Times New Roman"/>
                <w:sz w:val="18"/>
                <w:szCs w:val="18"/>
              </w:rPr>
              <w:t xml:space="preserve"> (</w:t>
            </w:r>
            <w:r>
              <w:rPr>
                <w:rFonts w:ascii="Times New Roman" w:hAnsi="Times New Roman" w:eastAsia="Palatino Linotype" w:cs="Times New Roman"/>
                <w:sz w:val="18"/>
                <w:szCs w:val="18"/>
              </w:rPr>
              <w:t>Chongqing</w:t>
            </w:r>
            <w:r>
              <w:rPr>
                <w:rFonts w:ascii="Times New Roman" w:hAnsi="Times New Roman" w:cs="Times New Roman"/>
                <w:sz w:val="18"/>
                <w:szCs w:val="18"/>
              </w:rPr>
              <w:t>).</w:t>
            </w:r>
          </w:p>
        </w:tc>
      </w:tr>
    </w:tbl>
    <w:p>
      <w:pPr>
        <w:rPr>
          <w:rFonts w:ascii="Times New Roman" w:hAnsi="Times New Roman" w:eastAsia="Palatino Linotype"/>
          <w:color w:val="auto"/>
          <w:sz w:val="24"/>
          <w:szCs w:val="24"/>
        </w:rPr>
      </w:pPr>
    </w:p>
    <w:p>
      <w:pPr>
        <w:rPr>
          <w:rFonts w:ascii="Times New Roman" w:hAnsi="Times New Roman" w:eastAsia="Palatino Linotype"/>
          <w:color w:val="auto"/>
          <w:sz w:val="24"/>
          <w:szCs w:val="24"/>
        </w:rPr>
      </w:pPr>
      <w:bookmarkStart w:id="0" w:name="_GoBack"/>
      <w:bookmarkEnd w:id="0"/>
    </w:p>
    <w:p>
      <w:pPr>
        <w:pStyle w:val="8"/>
        <w:spacing w:line="480" w:lineRule="auto"/>
        <w:ind w:left="0"/>
        <w:rPr>
          <w:rFonts w:ascii="Times New Roman" w:hAnsi="Times New Roman" w:cs="Times New Roman"/>
          <w:color w:val="auto"/>
          <w:sz w:val="24"/>
          <w:szCs w:val="24"/>
        </w:rPr>
      </w:pPr>
      <w:r>
        <w:rPr>
          <w:rFonts w:ascii="Times New Roman" w:hAnsi="Times New Roman" w:eastAsia="Palatino Linotype" w:cs="Times New Roman"/>
          <w:b/>
          <w:color w:val="auto"/>
          <w:sz w:val="24"/>
          <w:szCs w:val="24"/>
        </w:rPr>
        <w:t xml:space="preserve">Table </w:t>
      </w:r>
      <w:r>
        <w:rPr>
          <w:rFonts w:hint="eastAsia" w:ascii="Times New Roman" w:hAnsi="Times New Roman" w:eastAsia="宋体" w:cs="Times New Roman"/>
          <w:b/>
          <w:color w:val="auto"/>
          <w:sz w:val="24"/>
          <w:szCs w:val="24"/>
          <w:lang w:val="en-US" w:eastAsia="zh-CN"/>
        </w:rPr>
        <w:t>S4</w:t>
      </w:r>
      <w:r>
        <w:rPr>
          <w:rFonts w:ascii="Times New Roman" w:hAnsi="Times New Roman" w:eastAsia="Palatino Linotype" w:cs="Times New Roman"/>
          <w:b/>
          <w:color w:val="auto"/>
          <w:sz w:val="24"/>
          <w:szCs w:val="24"/>
        </w:rPr>
        <w:t xml:space="preserve">. </w:t>
      </w:r>
      <w:r>
        <w:rPr>
          <w:rFonts w:ascii="Times New Roman" w:hAnsi="Times New Roman" w:eastAsia="Palatino Linotype" w:cs="Times New Roman"/>
          <w:color w:val="auto"/>
          <w:sz w:val="24"/>
          <w:szCs w:val="24"/>
        </w:rPr>
        <w:t>List of CRIH Key Areas.</w:t>
      </w:r>
    </w:p>
    <w:tbl>
      <w:tblPr>
        <w:tblStyle w:val="4"/>
        <w:tblpPr w:leftFromText="180" w:rightFromText="180" w:vertAnchor="text" w:horzAnchor="page" w:tblpX="1784" w:tblpY="241"/>
        <w:tblOverlap w:val="never"/>
        <w:tblW w:w="4998" w:type="pct"/>
        <w:tblInd w:w="0" w:type="dxa"/>
        <w:tblBorders>
          <w:top w:val="single" w:color="auto" w:sz="8" w:space="0"/>
          <w:left w:val="none" w:color="auto" w:sz="0" w:space="0"/>
          <w:bottom w:val="single" w:color="auto" w:sz="8" w:space="0"/>
          <w:right w:val="none" w:color="auto" w:sz="0" w:space="0"/>
          <w:insideH w:val="none" w:color="auto" w:sz="0" w:space="0"/>
          <w:insideV w:val="none" w:color="auto" w:sz="0" w:space="0"/>
        </w:tblBorders>
        <w:tblLayout w:type="autofit"/>
        <w:tblCellMar>
          <w:top w:w="0" w:type="dxa"/>
          <w:left w:w="29" w:type="dxa"/>
          <w:bottom w:w="0" w:type="dxa"/>
          <w:right w:w="29" w:type="dxa"/>
        </w:tblCellMar>
      </w:tblPr>
      <w:tblGrid>
        <w:gridCol w:w="1139"/>
        <w:gridCol w:w="7222"/>
      </w:tblGrid>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29" w:type="dxa"/>
            <w:bottom w:w="0" w:type="dxa"/>
            <w:right w:w="29" w:type="dxa"/>
          </w:tblCellMar>
        </w:tblPrEx>
        <w:trPr>
          <w:trHeight w:val="247" w:hRule="atLeast"/>
        </w:trPr>
        <w:tc>
          <w:tcPr>
            <w:tcW w:w="681" w:type="pct"/>
            <w:tcBorders>
              <w:bottom w:val="single" w:color="auto" w:sz="4" w:space="0"/>
            </w:tcBorders>
            <w:shd w:val="clear" w:color="auto" w:fill="auto"/>
          </w:tcPr>
          <w:p>
            <w:pPr>
              <w:pStyle w:val="7"/>
              <w:spacing w:line="240" w:lineRule="auto"/>
              <w:rPr>
                <w:rFonts w:ascii="Times New Roman" w:hAnsi="Times New Roman"/>
                <w:b/>
                <w:color w:val="auto"/>
                <w:sz w:val="18"/>
                <w:szCs w:val="18"/>
              </w:rPr>
            </w:pPr>
            <w:r>
              <w:rPr>
                <w:rFonts w:ascii="Times New Roman" w:hAnsi="Times New Roman" w:eastAsia="Palatino Linotype"/>
                <w:b/>
                <w:color w:val="auto"/>
                <w:sz w:val="18"/>
                <w:szCs w:val="18"/>
              </w:rPr>
              <w:t>Categories</w:t>
            </w:r>
          </w:p>
        </w:tc>
        <w:tc>
          <w:tcPr>
            <w:tcW w:w="4318" w:type="pct"/>
            <w:tcBorders>
              <w:bottom w:val="single" w:color="auto" w:sz="4" w:space="0"/>
            </w:tcBorders>
            <w:shd w:val="clear" w:color="auto" w:fill="auto"/>
          </w:tcPr>
          <w:p>
            <w:pPr>
              <w:pStyle w:val="7"/>
              <w:spacing w:line="240" w:lineRule="auto"/>
              <w:rPr>
                <w:rFonts w:ascii="Times New Roman" w:hAnsi="Times New Roman"/>
                <w:b/>
                <w:color w:val="auto"/>
                <w:sz w:val="18"/>
                <w:szCs w:val="18"/>
              </w:rPr>
            </w:pPr>
            <w:r>
              <w:rPr>
                <w:rFonts w:ascii="Times New Roman" w:hAnsi="Times New Roman" w:eastAsia="Palatino Linotype"/>
                <w:b/>
                <w:color w:val="auto"/>
                <w:sz w:val="18"/>
                <w:szCs w:val="18"/>
              </w:rPr>
              <w:t>Specific items</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29" w:type="dxa"/>
            <w:bottom w:w="0" w:type="dxa"/>
            <w:right w:w="29" w:type="dxa"/>
          </w:tblCellMar>
        </w:tblPrEx>
        <w:trPr>
          <w:trHeight w:val="315" w:hRule="atLeast"/>
        </w:trPr>
        <w:tc>
          <w:tcPr>
            <w:tcW w:w="681" w:type="pct"/>
            <w:vMerge w:val="restart"/>
            <w:shd w:val="clear" w:color="auto" w:fill="auto"/>
          </w:tcPr>
          <w:p>
            <w:pPr>
              <w:pStyle w:val="11"/>
              <w:spacing w:line="240" w:lineRule="auto"/>
              <w:jc w:val="left"/>
              <w:rPr>
                <w:rFonts w:eastAsia="Palatino Linotype" w:cs="Times New Roman"/>
                <w:sz w:val="18"/>
                <w:szCs w:val="18"/>
                <w:lang w:val="en-US"/>
              </w:rPr>
            </w:pPr>
            <w:r>
              <w:rPr>
                <w:rFonts w:eastAsia="Palatino Linotype" w:cs="Times New Roman"/>
                <w:sz w:val="18"/>
                <w:szCs w:val="18"/>
                <w:lang w:val="en-US"/>
              </w:rPr>
              <w:t>Industrial Heritage Key Regions(3)</w:t>
            </w:r>
          </w:p>
        </w:tc>
        <w:tc>
          <w:tcPr>
            <w:tcW w:w="4318" w:type="pct"/>
            <w:shd w:val="clear" w:color="auto" w:fill="auto"/>
          </w:tcPr>
          <w:p>
            <w:pPr>
              <w:pStyle w:val="11"/>
              <w:spacing w:line="240" w:lineRule="auto"/>
              <w:rPr>
                <w:rFonts w:eastAsia="Palatino Linotype" w:cs="Times New Roman"/>
                <w:sz w:val="18"/>
                <w:szCs w:val="18"/>
                <w:lang w:val="en-US"/>
              </w:rPr>
            </w:pPr>
            <w:r>
              <w:rPr>
                <w:rFonts w:eastAsia="Palatino Linotype" w:cs="Times New Roman"/>
                <w:sz w:val="18"/>
                <w:szCs w:val="18"/>
                <w:lang w:val="en-US"/>
              </w:rPr>
              <w:t>Northeast Region (Heilongjiang, Jilin, Liaoning) 249 items, major cities: Harbin (38 items), Dalian (26 items), Shenyang (19 items), etc.</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29" w:type="dxa"/>
            <w:bottom w:w="0" w:type="dxa"/>
            <w:right w:w="29" w:type="dxa"/>
          </w:tblCellMar>
        </w:tblPrEx>
        <w:trPr>
          <w:trHeight w:val="315" w:hRule="atLeast"/>
        </w:trPr>
        <w:tc>
          <w:tcPr>
            <w:tcW w:w="681" w:type="pct"/>
            <w:vMerge w:val="continue"/>
            <w:tcBorders>
              <w:top w:val="nil"/>
              <w:bottom w:val="nil"/>
            </w:tcBorders>
            <w:shd w:val="clear" w:color="auto" w:fill="auto"/>
          </w:tcPr>
          <w:p>
            <w:pPr>
              <w:spacing w:line="240" w:lineRule="auto"/>
              <w:rPr>
                <w:rFonts w:ascii="Times New Roman" w:hAnsi="Times New Roman" w:cs="Times New Roman"/>
                <w:sz w:val="18"/>
                <w:szCs w:val="18"/>
              </w:rPr>
            </w:pPr>
          </w:p>
        </w:tc>
        <w:tc>
          <w:tcPr>
            <w:tcW w:w="4318" w:type="pct"/>
            <w:shd w:val="clear" w:color="auto" w:fill="auto"/>
          </w:tcPr>
          <w:p>
            <w:pPr>
              <w:pStyle w:val="11"/>
              <w:spacing w:line="240" w:lineRule="auto"/>
              <w:rPr>
                <w:rFonts w:eastAsia="Palatino Linotype" w:cs="Times New Roman"/>
                <w:sz w:val="18"/>
                <w:szCs w:val="18"/>
                <w:lang w:val="en-US"/>
              </w:rPr>
            </w:pPr>
            <w:r>
              <w:rPr>
                <w:rFonts w:eastAsia="Palatino Linotype" w:cs="Times New Roman"/>
                <w:sz w:val="18"/>
                <w:szCs w:val="18"/>
                <w:lang w:val="en-US"/>
              </w:rPr>
              <w:t>Beijing-Tianjin-Hebei Region (Beijing, Tianjin, Hebei) 226 items, major cities: Tianjin (109 items), Beijing (62 items), Shijiazhuang (18 items), etc.</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29" w:type="dxa"/>
            <w:bottom w:w="0" w:type="dxa"/>
            <w:right w:w="29" w:type="dxa"/>
          </w:tblCellMar>
        </w:tblPrEx>
        <w:trPr>
          <w:trHeight w:val="315" w:hRule="atLeast"/>
        </w:trPr>
        <w:tc>
          <w:tcPr>
            <w:tcW w:w="681" w:type="pct"/>
            <w:vMerge w:val="continue"/>
            <w:tcBorders>
              <w:top w:val="nil"/>
            </w:tcBorders>
            <w:shd w:val="clear" w:color="auto" w:fill="auto"/>
          </w:tcPr>
          <w:p>
            <w:pPr>
              <w:spacing w:line="240" w:lineRule="auto"/>
              <w:rPr>
                <w:rFonts w:ascii="Times New Roman" w:hAnsi="Times New Roman" w:cs="Times New Roman"/>
                <w:sz w:val="18"/>
                <w:szCs w:val="18"/>
              </w:rPr>
            </w:pPr>
          </w:p>
        </w:tc>
        <w:tc>
          <w:tcPr>
            <w:tcW w:w="4318" w:type="pct"/>
            <w:shd w:val="clear" w:color="auto" w:fill="auto"/>
          </w:tcPr>
          <w:p>
            <w:pPr>
              <w:pStyle w:val="11"/>
              <w:spacing w:line="240" w:lineRule="auto"/>
              <w:rPr>
                <w:rFonts w:eastAsia="Palatino Linotype" w:cs="Times New Roman"/>
                <w:sz w:val="18"/>
                <w:szCs w:val="18"/>
                <w:lang w:val="en-US"/>
              </w:rPr>
            </w:pPr>
            <w:r>
              <w:rPr>
                <w:rFonts w:eastAsia="Palatino Linotype" w:cs="Times New Roman"/>
                <w:sz w:val="18"/>
                <w:szCs w:val="18"/>
                <w:lang w:val="en-US"/>
              </w:rPr>
              <w:t>Yangtze River Delta Region (Shanghai, Jiangsu, Zhejiang) 272 items, major cities: Shanghai (134 items), Hangzhou (71 items), Nanjing (60 items), Wuxi (31 items), Suzhou (24 items), etc.</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29" w:type="dxa"/>
            <w:bottom w:w="0" w:type="dxa"/>
            <w:right w:w="29" w:type="dxa"/>
          </w:tblCellMar>
        </w:tblPrEx>
        <w:trPr>
          <w:trHeight w:val="367" w:hRule="atLeast"/>
        </w:trPr>
        <w:tc>
          <w:tcPr>
            <w:tcW w:w="681" w:type="pct"/>
            <w:shd w:val="clear" w:color="auto" w:fill="auto"/>
          </w:tcPr>
          <w:p>
            <w:pPr>
              <w:pStyle w:val="11"/>
              <w:spacing w:line="240" w:lineRule="auto"/>
              <w:jc w:val="left"/>
              <w:rPr>
                <w:rFonts w:eastAsia="Palatino Linotype" w:cs="Times New Roman"/>
                <w:sz w:val="18"/>
                <w:szCs w:val="18"/>
                <w:lang w:val="en-US"/>
              </w:rPr>
            </w:pPr>
            <w:r>
              <w:rPr>
                <w:rFonts w:eastAsia="Palatino Linotype" w:cs="Times New Roman"/>
                <w:sz w:val="18"/>
                <w:szCs w:val="18"/>
                <w:lang w:val="en-US"/>
              </w:rPr>
              <w:t>Industrial Heritage Key Cities(15)</w:t>
            </w:r>
          </w:p>
        </w:tc>
        <w:tc>
          <w:tcPr>
            <w:tcW w:w="4318" w:type="pct"/>
            <w:shd w:val="clear" w:color="auto" w:fill="auto"/>
          </w:tcPr>
          <w:p>
            <w:pPr>
              <w:pStyle w:val="11"/>
              <w:spacing w:line="240" w:lineRule="auto"/>
              <w:rPr>
                <w:rFonts w:eastAsia="Palatino Linotype" w:cs="Times New Roman"/>
                <w:sz w:val="18"/>
                <w:szCs w:val="18"/>
                <w:lang w:val="en-US"/>
              </w:rPr>
            </w:pPr>
            <w:r>
              <w:rPr>
                <w:rFonts w:eastAsia="Palatino Linotype" w:cs="Times New Roman"/>
                <w:sz w:val="18"/>
                <w:szCs w:val="18"/>
                <w:lang w:val="en-US"/>
              </w:rPr>
              <w:t>Guangzhou (116 items), Jinan (70 items), Liuzhou (65 items), Wuhan (41 items), Chongqing (36 items), Lanzhou (29 items), Qingdao (29 items), Xi’an (27 items), Quanzhou (27 items), Taiyuan (23 items), Changsha (15 items), Fuzhou (14 items), Kunming (14 items), Chengdu (13 items), and Luoyang (12 items).</w:t>
            </w:r>
          </w:p>
        </w:tc>
      </w:tr>
    </w:tbl>
    <w:p>
      <w:pPr>
        <w:rPr>
          <w:rFonts w:ascii="Times New Roman" w:hAnsi="Times New Roman" w:eastAsia="Palatino Linotype"/>
          <w:color w:val="auto"/>
          <w:sz w:val="24"/>
          <w:szCs w:val="24"/>
        </w:rPr>
      </w:pPr>
    </w:p>
    <w:p>
      <w:pPr>
        <w:rPr>
          <w:rFonts w:ascii="Times New Roman" w:hAnsi="Times New Roman" w:eastAsia="Palatino Linotype"/>
          <w:color w:val="auto"/>
          <w:sz w:val="24"/>
          <w:szCs w:val="24"/>
        </w:rPr>
      </w:pPr>
    </w:p>
    <w:p>
      <w:pPr>
        <w:pStyle w:val="8"/>
        <w:spacing w:line="480" w:lineRule="auto"/>
        <w:ind w:left="0"/>
        <w:rPr>
          <w:rFonts w:ascii="Times New Roman" w:hAnsi="Times New Roman" w:cs="Times New Roman"/>
          <w:color w:val="auto"/>
          <w:sz w:val="24"/>
          <w:szCs w:val="24"/>
        </w:rPr>
      </w:pPr>
      <w:r>
        <w:rPr>
          <w:rFonts w:ascii="Times New Roman" w:hAnsi="Times New Roman" w:eastAsia="Palatino Linotype" w:cs="Times New Roman"/>
          <w:b/>
          <w:color w:val="auto"/>
          <w:sz w:val="24"/>
          <w:szCs w:val="24"/>
        </w:rPr>
        <w:t xml:space="preserve">Table </w:t>
      </w:r>
      <w:r>
        <w:rPr>
          <w:rFonts w:hint="eastAsia" w:ascii="Times New Roman" w:hAnsi="Times New Roman" w:eastAsia="宋体" w:cs="Times New Roman"/>
          <w:b/>
          <w:color w:val="auto"/>
          <w:sz w:val="24"/>
          <w:szCs w:val="24"/>
          <w:lang w:val="en-US" w:eastAsia="zh-CN"/>
        </w:rPr>
        <w:t>S5</w:t>
      </w:r>
      <w:r>
        <w:rPr>
          <w:rFonts w:ascii="Times New Roman" w:hAnsi="Times New Roman" w:eastAsia="Palatino Linotype" w:cs="Times New Roman"/>
          <w:b/>
          <w:color w:val="auto"/>
          <w:sz w:val="24"/>
          <w:szCs w:val="24"/>
        </w:rPr>
        <w:t xml:space="preserve">. </w:t>
      </w:r>
      <w:r>
        <w:rPr>
          <w:rFonts w:ascii="Times New Roman" w:hAnsi="Times New Roman" w:eastAsia="Palatino Linotype" w:cs="Times New Roman"/>
          <w:color w:val="auto"/>
          <w:sz w:val="24"/>
          <w:szCs w:val="24"/>
        </w:rPr>
        <w:t>List of CRIH Key Routes.</w:t>
      </w:r>
    </w:p>
    <w:tbl>
      <w:tblPr>
        <w:tblStyle w:val="4"/>
        <w:tblW w:w="8420" w:type="dxa"/>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29" w:type="dxa"/>
          <w:bottom w:w="0" w:type="dxa"/>
          <w:right w:w="29" w:type="dxa"/>
        </w:tblCellMar>
      </w:tblPr>
      <w:tblGrid>
        <w:gridCol w:w="1195"/>
        <w:gridCol w:w="7225"/>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29" w:type="dxa"/>
            <w:bottom w:w="0" w:type="dxa"/>
            <w:right w:w="29" w:type="dxa"/>
          </w:tblCellMar>
        </w:tblPrEx>
        <w:trPr>
          <w:jc w:val="center"/>
        </w:trPr>
        <w:tc>
          <w:tcPr>
            <w:tcW w:w="1195" w:type="dxa"/>
            <w:tcBorders>
              <w:top w:val="single" w:color="auto" w:sz="8" w:space="0"/>
              <w:bottom w:val="single" w:color="auto" w:sz="4" w:space="0"/>
            </w:tcBorders>
            <w:shd w:val="clear" w:color="auto" w:fill="auto"/>
            <w:vAlign w:val="top"/>
          </w:tcPr>
          <w:p>
            <w:pPr>
              <w:pStyle w:val="7"/>
              <w:spacing w:line="240" w:lineRule="auto"/>
              <w:rPr>
                <w:rFonts w:ascii="Times New Roman" w:hAnsi="Times New Roman"/>
                <w:b/>
                <w:color w:val="auto"/>
                <w:sz w:val="20"/>
                <w:szCs w:val="20"/>
              </w:rPr>
            </w:pPr>
            <w:r>
              <w:rPr>
                <w:rFonts w:ascii="Times New Roman" w:hAnsi="Times New Roman" w:eastAsia="Palatino Linotype"/>
                <w:b/>
                <w:color w:val="auto"/>
                <w:sz w:val="20"/>
                <w:szCs w:val="20"/>
              </w:rPr>
              <w:t>Categories</w:t>
            </w:r>
          </w:p>
        </w:tc>
        <w:tc>
          <w:tcPr>
            <w:tcW w:w="7225" w:type="dxa"/>
            <w:tcBorders>
              <w:top w:val="single" w:color="auto" w:sz="8" w:space="0"/>
              <w:bottom w:val="single" w:color="auto" w:sz="4" w:space="0"/>
            </w:tcBorders>
            <w:shd w:val="clear" w:color="auto" w:fill="auto"/>
            <w:vAlign w:val="top"/>
          </w:tcPr>
          <w:p>
            <w:pPr>
              <w:pStyle w:val="7"/>
              <w:spacing w:line="240" w:lineRule="auto"/>
              <w:rPr>
                <w:rFonts w:ascii="Times New Roman" w:hAnsi="Times New Roman"/>
                <w:b/>
                <w:color w:val="auto"/>
                <w:sz w:val="20"/>
                <w:szCs w:val="20"/>
              </w:rPr>
            </w:pPr>
            <w:r>
              <w:rPr>
                <w:rFonts w:ascii="Times New Roman" w:hAnsi="Times New Roman" w:eastAsia="Palatino Linotype"/>
                <w:b/>
                <w:color w:val="auto"/>
                <w:sz w:val="20"/>
                <w:szCs w:val="20"/>
              </w:rPr>
              <w:t>Specific items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29" w:type="dxa"/>
            <w:bottom w:w="0" w:type="dxa"/>
            <w:right w:w="29" w:type="dxa"/>
          </w:tblCellMar>
        </w:tblPrEx>
        <w:trPr>
          <w:trHeight w:val="797" w:hRule="atLeast"/>
          <w:jc w:val="center"/>
        </w:trPr>
        <w:tc>
          <w:tcPr>
            <w:tcW w:w="1195" w:type="dxa"/>
            <w:tcBorders>
              <w:top w:val="single" w:color="auto" w:sz="4" w:space="0"/>
              <w:bottom w:val="single" w:color="auto" w:sz="4" w:space="0"/>
            </w:tcBorders>
            <w:shd w:val="clear" w:color="auto" w:fill="auto"/>
            <w:vAlign w:val="top"/>
          </w:tcPr>
          <w:p>
            <w:pPr>
              <w:pStyle w:val="7"/>
              <w:spacing w:line="240" w:lineRule="auto"/>
              <w:jc w:val="left"/>
              <w:rPr>
                <w:rFonts w:ascii="Times New Roman" w:hAnsi="Times New Roman"/>
                <w:color w:val="auto"/>
                <w:sz w:val="20"/>
                <w:szCs w:val="20"/>
              </w:rPr>
            </w:pPr>
            <w:r>
              <w:rPr>
                <w:rFonts w:ascii="Times New Roman" w:hAnsi="Times New Roman" w:eastAsia="Palatino Linotype"/>
                <w:color w:val="auto"/>
                <w:sz w:val="20"/>
                <w:szCs w:val="20"/>
              </w:rPr>
              <w:t>Important railways</w:t>
            </w:r>
          </w:p>
        </w:tc>
        <w:tc>
          <w:tcPr>
            <w:tcW w:w="7225" w:type="dxa"/>
            <w:tcBorders>
              <w:top w:val="single" w:color="auto" w:sz="4" w:space="0"/>
              <w:bottom w:val="single" w:color="auto" w:sz="4" w:space="0"/>
            </w:tcBorders>
            <w:shd w:val="clear" w:color="auto" w:fill="auto"/>
            <w:vAlign w:val="top"/>
          </w:tcPr>
          <w:p>
            <w:pPr>
              <w:pStyle w:val="7"/>
              <w:spacing w:line="240" w:lineRule="auto"/>
              <w:jc w:val="left"/>
              <w:rPr>
                <w:rFonts w:ascii="Times New Roman" w:hAnsi="Times New Roman"/>
                <w:color w:val="auto"/>
                <w:sz w:val="20"/>
                <w:szCs w:val="20"/>
              </w:rPr>
            </w:pPr>
            <w:r>
              <w:rPr>
                <w:rFonts w:ascii="Times New Roman" w:hAnsi="Times New Roman" w:eastAsia="Palatino Linotype"/>
                <w:color w:val="auto"/>
                <w:sz w:val="20"/>
                <w:szCs w:val="20"/>
              </w:rPr>
              <w:t>National railways: Middle East Railway, Jingguang Railway, Jiaoji Railway, Jinpu Railway, Jingfeng Railway, Longhai Railway, JiaoLiu Railway, Southwest Third Line Railway;</w:t>
            </w:r>
          </w:p>
          <w:p>
            <w:pPr>
              <w:pStyle w:val="7"/>
              <w:spacing w:line="240" w:lineRule="auto"/>
              <w:jc w:val="left"/>
              <w:rPr>
                <w:rFonts w:ascii="Times New Roman" w:hAnsi="Times New Roman"/>
                <w:color w:val="auto"/>
                <w:sz w:val="20"/>
                <w:szCs w:val="20"/>
              </w:rPr>
            </w:pPr>
            <w:r>
              <w:rPr>
                <w:rFonts w:ascii="Times New Roman" w:hAnsi="Times New Roman" w:eastAsia="Palatino Linotype"/>
                <w:color w:val="auto"/>
                <w:sz w:val="20"/>
                <w:szCs w:val="20"/>
              </w:rPr>
              <w:t>Regional railways: Shenji Railway, Shendan Railway, Beijing-Bao Railway, Shide Railway, Shitai Railway, Huning Railway, Huhang Railway, Ningwu Railway</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29" w:type="dxa"/>
            <w:bottom w:w="0" w:type="dxa"/>
            <w:right w:w="29" w:type="dxa"/>
          </w:tblCellMar>
        </w:tblPrEx>
        <w:trPr>
          <w:trHeight w:val="538" w:hRule="atLeast"/>
          <w:jc w:val="center"/>
        </w:trPr>
        <w:tc>
          <w:tcPr>
            <w:tcW w:w="1195" w:type="dxa"/>
            <w:tcBorders>
              <w:top w:val="single" w:color="auto" w:sz="4" w:space="0"/>
              <w:bottom w:val="single" w:color="auto" w:sz="4" w:space="0"/>
            </w:tcBorders>
            <w:shd w:val="clear" w:color="auto" w:fill="auto"/>
            <w:vAlign w:val="top"/>
          </w:tcPr>
          <w:p>
            <w:pPr>
              <w:pStyle w:val="7"/>
              <w:spacing w:line="240" w:lineRule="auto"/>
              <w:jc w:val="left"/>
              <w:rPr>
                <w:rFonts w:ascii="Times New Roman" w:hAnsi="Times New Roman"/>
                <w:color w:val="auto"/>
                <w:sz w:val="20"/>
                <w:szCs w:val="20"/>
              </w:rPr>
            </w:pPr>
            <w:r>
              <w:rPr>
                <w:rFonts w:ascii="Times New Roman" w:hAnsi="Times New Roman" w:eastAsia="Palatino Linotype"/>
                <w:color w:val="auto"/>
                <w:sz w:val="20"/>
                <w:szCs w:val="20"/>
              </w:rPr>
              <w:t>Important rivers</w:t>
            </w:r>
          </w:p>
        </w:tc>
        <w:tc>
          <w:tcPr>
            <w:tcW w:w="7225" w:type="dxa"/>
            <w:tcBorders>
              <w:top w:val="single" w:color="auto" w:sz="4" w:space="0"/>
              <w:bottom w:val="single" w:color="auto" w:sz="4" w:space="0"/>
            </w:tcBorders>
            <w:shd w:val="clear" w:color="auto" w:fill="auto"/>
            <w:vAlign w:val="top"/>
          </w:tcPr>
          <w:p>
            <w:pPr>
              <w:pStyle w:val="7"/>
              <w:spacing w:line="240" w:lineRule="auto"/>
              <w:jc w:val="left"/>
              <w:rPr>
                <w:rFonts w:ascii="Times New Roman" w:hAnsi="Times New Roman"/>
                <w:color w:val="auto"/>
                <w:sz w:val="20"/>
                <w:szCs w:val="20"/>
              </w:rPr>
            </w:pPr>
            <w:r>
              <w:rPr>
                <w:rFonts w:ascii="Times New Roman" w:hAnsi="Times New Roman" w:eastAsia="Palatino Linotype"/>
                <w:color w:val="auto"/>
                <w:sz w:val="20"/>
                <w:szCs w:val="20"/>
              </w:rPr>
              <w:t>Haihe River, Beijing-Hangzhou Grand Canal, Lower Yellow River, Yangtze River</w:t>
            </w:r>
          </w:p>
        </w:tc>
      </w:tr>
    </w:tbl>
    <w:p>
      <w:pPr>
        <w:rPr>
          <w:rFonts w:ascii="Times New Roman" w:hAnsi="Times New Roman" w:eastAsia="Palatino Linotype"/>
          <w:color w:val="auto"/>
          <w:sz w:val="24"/>
          <w:szCs w:val="24"/>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alatino Linotype">
    <w:panose1 w:val="02040502050505030304"/>
    <w:charset w:val="00"/>
    <w:family w:val="roman"/>
    <w:pitch w:val="default"/>
    <w:sig w:usb0="E0000287" w:usb1="40000013" w:usb2="00000000" w:usb3="00000000" w:csb0="2000019F" w:csb1="00000000"/>
  </w:font>
  <w:font w:name="Cordia New">
    <w:altName w:val="Leelawadee UI"/>
    <w:panose1 w:val="020B0304020202020204"/>
    <w:charset w:val="DE"/>
    <w:family w:val="swiss"/>
    <w:pitch w:val="default"/>
    <w:sig w:usb0="00000000" w:usb1="00000000" w:usb2="00000000" w:usb3="00000000" w:csb0="00010001" w:csb1="00000000"/>
  </w:font>
  <w:font w:name="Leelawadee UI">
    <w:panose1 w:val="020B0502040204020203"/>
    <w:charset w:val="00"/>
    <w:family w:val="auto"/>
    <w:pitch w:val="default"/>
    <w:sig w:usb0="83000003" w:usb1="00000000" w:usb2="00010000" w:usb3="00000001" w:csb0="000101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FmODc2YWIwZTUxOWU4OGFiMjczZWRiNGQ1ZDk0ZmEifQ=="/>
  </w:docVars>
  <w:rsids>
    <w:rsidRoot w:val="007C69FE"/>
    <w:rsid w:val="00274F69"/>
    <w:rsid w:val="003C52E5"/>
    <w:rsid w:val="006F46A0"/>
    <w:rsid w:val="007C69FE"/>
    <w:rsid w:val="030F4DF4"/>
    <w:rsid w:val="13FB5D41"/>
    <w:rsid w:val="16D50F3F"/>
    <w:rsid w:val="1F90634B"/>
    <w:rsid w:val="2DB079F5"/>
    <w:rsid w:val="38A30713"/>
    <w:rsid w:val="3CDC2A41"/>
    <w:rsid w:val="3D97386A"/>
    <w:rsid w:val="4915120E"/>
    <w:rsid w:val="4DA73F42"/>
    <w:rsid w:val="56F34E49"/>
    <w:rsid w:val="577141A8"/>
    <w:rsid w:val="59561490"/>
    <w:rsid w:val="5D0509DE"/>
    <w:rsid w:val="611D243C"/>
    <w:rsid w:val="6B9E6D1B"/>
    <w:rsid w:val="797A2B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kern w:val="2"/>
      <w:sz w:val="22"/>
      <w:szCs w:val="22"/>
      <w:lang w:val="en-US" w:eastAsia="en-US" w:bidi="ar-SA"/>
      <w14:ligatures w14:val="standardContextual"/>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annotation reference"/>
    <w:qFormat/>
    <w:uiPriority w:val="0"/>
    <w:rPr>
      <w:sz w:val="21"/>
      <w:szCs w:val="21"/>
    </w:rPr>
  </w:style>
  <w:style w:type="paragraph" w:customStyle="1" w:styleId="7">
    <w:name w:val="MDPI_4.2_table_body"/>
    <w:qFormat/>
    <w:uiPriority w:val="0"/>
    <w:pPr>
      <w:adjustRightInd w:val="0"/>
      <w:snapToGrid w:val="0"/>
      <w:spacing w:line="260" w:lineRule="atLeast"/>
      <w:jc w:val="center"/>
    </w:pPr>
    <w:rPr>
      <w:rFonts w:ascii="Palatino Linotype" w:hAnsi="Palatino Linotype" w:eastAsia="Times New Roman" w:cs="Times New Roman"/>
      <w:snapToGrid w:val="0"/>
      <w:color w:val="000000"/>
      <w:lang w:val="en-US" w:eastAsia="de-DE" w:bidi="en-US"/>
    </w:rPr>
  </w:style>
  <w:style w:type="paragraph" w:customStyle="1" w:styleId="8">
    <w:name w:val="MDPI_4.1_table_caption"/>
    <w:qFormat/>
    <w:uiPriority w:val="0"/>
    <w:pPr>
      <w:adjustRightInd w:val="0"/>
      <w:snapToGrid w:val="0"/>
      <w:spacing w:before="240" w:after="120" w:line="228" w:lineRule="auto"/>
      <w:ind w:left="2608"/>
      <w:jc w:val="both"/>
    </w:pPr>
    <w:rPr>
      <w:rFonts w:ascii="Palatino Linotype" w:hAnsi="Palatino Linotype" w:eastAsia="Times New Roman" w:cs="Cordia New"/>
      <w:color w:val="000000"/>
      <w:sz w:val="18"/>
      <w:szCs w:val="22"/>
      <w:lang w:val="en-US" w:eastAsia="de-DE" w:bidi="en-US"/>
    </w:rPr>
  </w:style>
  <w:style w:type="paragraph" w:customStyle="1" w:styleId="9">
    <w:name w:val="Revision"/>
    <w:hidden/>
    <w:semiHidden/>
    <w:qFormat/>
    <w:uiPriority w:val="99"/>
    <w:rPr>
      <w:rFonts w:asciiTheme="minorHAnsi" w:hAnsiTheme="minorHAnsi" w:eastAsiaTheme="minorEastAsia" w:cstheme="minorBidi"/>
      <w:kern w:val="2"/>
      <w:sz w:val="21"/>
      <w:szCs w:val="24"/>
      <w:lang w:val="en-US" w:eastAsia="zh-CN" w:bidi="ar-SA"/>
    </w:rPr>
  </w:style>
  <w:style w:type="paragraph" w:customStyle="1" w:styleId="10">
    <w:name w:val="MDPI_3.1_text"/>
    <w:qFormat/>
    <w:uiPriority w:val="0"/>
    <w:pPr>
      <w:adjustRightInd w:val="0"/>
      <w:snapToGrid w:val="0"/>
      <w:spacing w:line="228" w:lineRule="auto"/>
      <w:ind w:left="2608" w:firstLine="425"/>
      <w:jc w:val="both"/>
    </w:pPr>
    <w:rPr>
      <w:rFonts w:ascii="Palatino Linotype" w:hAnsi="Palatino Linotype" w:eastAsia="Times New Roman" w:cs="Times New Roman"/>
      <w:snapToGrid w:val="0"/>
      <w:color w:val="000000"/>
      <w:szCs w:val="22"/>
      <w:lang w:val="en-US" w:eastAsia="de-DE" w:bidi="en-US"/>
    </w:rPr>
  </w:style>
  <w:style w:type="paragraph" w:customStyle="1" w:styleId="11">
    <w:name w:val="表格文字"/>
    <w:basedOn w:val="1"/>
    <w:qFormat/>
    <w:uiPriority w:val="0"/>
    <w:pPr>
      <w:spacing w:line="240" w:lineRule="auto"/>
    </w:pPr>
    <w:rPr>
      <w:rFonts w:ascii="Times New Roman" w:hAnsi="Times New Roman" w:eastAsia="Times New Roman"/>
      <w:lang w:val="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1363</Words>
  <Characters>8787</Characters>
  <Lines>26</Lines>
  <Paragraphs>7</Paragraphs>
  <TotalTime>1</TotalTime>
  <ScaleCrop>false</ScaleCrop>
  <LinksUpToDate>false</LinksUpToDate>
  <CharactersWithSpaces>10018</CharactersWithSpaces>
  <Application>WPS Office_11.1.0.13012_F1E327BC-269C-435d-A152-05C5408002CA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2023-02-27T06:04:00Z</dcterms:created>
  <dc:creator>96543</dc:creator>
  <cp:lastModifiedBy>HAO</cp:lastModifiedBy>
  <dcterms:modified xsi:type="dcterms:W3CDTF">2023-04-19T12:50:13Z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3AADCC15DCE3478BB35072D4A7237953</vt:lpwstr>
  </property>
  <property fmtid="{D5CDD505-2E9C-101B-9397-08002B2CF9AE}" pid="3" name="KSOProductBuildVer">
    <vt:lpwstr>2052-11.1.0.13012</vt:lpwstr>
  </property>
</Properties>
</file>