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34774" w14:textId="3A727656" w:rsidR="00885E92" w:rsidRDefault="000605C9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Materials</w:t>
      </w:r>
    </w:p>
    <w:p w14:paraId="74713DC3" w14:textId="17A761B9" w:rsidR="00A1463A" w:rsidRPr="00F90178" w:rsidRDefault="005F60D1" w:rsidP="00F90178">
      <w:pPr>
        <w:pStyle w:val="a8"/>
        <w:widowControl/>
        <w:numPr>
          <w:ilvl w:val="0"/>
          <w:numId w:val="1"/>
        </w:numPr>
        <w:autoSpaceDE w:val="0"/>
        <w:autoSpaceDN w:val="0"/>
        <w:spacing w:line="480" w:lineRule="auto"/>
        <w:ind w:firstLineChars="0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901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</w:t>
      </w:r>
    </w:p>
    <w:p w14:paraId="0851EEE3" w14:textId="27C4363C" w:rsidR="000605C9" w:rsidRPr="005F60D1" w:rsidRDefault="000605C9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Table </w:t>
      </w:r>
      <w:r w:rsidR="00085CA4"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The P-values for t-test differences in the immune microenvironment compared the co-occurring with wild-type groups</w:t>
      </w:r>
      <w:r w:rsidR="005F60D1"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0B9A668B" w14:textId="119C7F3E" w:rsidR="005F60D1" w:rsidRPr="00A1463A" w:rsidRDefault="00F90178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5FEF45AA" wp14:editId="21E0A627">
            <wp:extent cx="5274310" cy="37280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75A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0403A9B5" w14:textId="57439D12" w:rsidR="000605C9" w:rsidRPr="005F60D1" w:rsidRDefault="000605C9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Table </w:t>
      </w:r>
      <w:r w:rsidR="00085CA4"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Clinical characteristics of patients in </w:t>
      </w:r>
      <w:r w:rsidR="0087735B"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TCGA </w:t>
      </w:r>
      <w:r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databases</w:t>
      </w:r>
      <w:r w:rsidR="005F60D1" w:rsidRPr="005F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1B922A4C" w14:textId="178FA022" w:rsidR="005F60D1" w:rsidRDefault="00C840BB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097C94A" wp14:editId="602D644C">
            <wp:extent cx="5274310" cy="7461250"/>
            <wp:effectExtent l="0" t="0" r="2540" b="6350"/>
            <wp:docPr id="2" name="图片 2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DA243" w14:textId="77777777" w:rsidR="00C840BB" w:rsidRDefault="00C840BB" w:rsidP="00F90178">
      <w:pPr>
        <w:pStyle w:val="a8"/>
        <w:widowControl/>
        <w:numPr>
          <w:ilvl w:val="0"/>
          <w:numId w:val="1"/>
        </w:numPr>
        <w:autoSpaceDE w:val="0"/>
        <w:autoSpaceDN w:val="0"/>
        <w:spacing w:line="480" w:lineRule="auto"/>
        <w:ind w:firstLineChars="0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516D5929" w14:textId="68714763" w:rsidR="000605C9" w:rsidRDefault="005F60D1" w:rsidP="00C840BB">
      <w:pPr>
        <w:pStyle w:val="a8"/>
        <w:widowControl/>
        <w:numPr>
          <w:ilvl w:val="0"/>
          <w:numId w:val="2"/>
        </w:numPr>
        <w:autoSpaceDE w:val="0"/>
        <w:autoSpaceDN w:val="0"/>
        <w:spacing w:line="480" w:lineRule="auto"/>
        <w:ind w:firstLineChars="0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840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</w:t>
      </w:r>
    </w:p>
    <w:p w14:paraId="5CCC9866" w14:textId="01DEC524" w:rsidR="00C840BB" w:rsidRPr="00C840BB" w:rsidRDefault="00374F47" w:rsidP="00C840BB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5A3DB2EB" wp14:editId="4D981D04">
            <wp:extent cx="5274310" cy="5551170"/>
            <wp:effectExtent l="0" t="0" r="0" b="0"/>
            <wp:docPr id="5" name="图片 5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日历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5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6B83F" w14:textId="6EA50A04" w:rsidR="005F60D1" w:rsidRDefault="000605C9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1 Other clinicopathologic characteristics related to co-occurring TP53 or CDKN2A/B alterations in NSCLC harboring ALK/RET/ROS1- rearrangement. 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clinicopathologic characteristics including smoking, age, </w:t>
      </w:r>
      <w:r w:rsidR="00374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cancer stage.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</w:t>
      </w:r>
      <w:r w:rsidR="00AB4FDA" w:rsidRPr="00AB4FDA">
        <w:t xml:space="preserve">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TP53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>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(Left)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>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(Middle)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TP53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>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(Right)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>, the number and percentage of patients in these 3 groups who smoked or not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TP53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(Left)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(Middle)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TP53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(Right)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number and percentage of patients in these 3 groups who 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aged over 60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not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TP53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(Left)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(Middle)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TP53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CDKN2A </w:t>
      </w:r>
      <w:r w:rsidR="00AB4FDA" w:rsidRPr="00137B80">
        <w:rPr>
          <w:rFonts w:ascii="Times New Roman" w:hAnsi="Times New Roman" w:cs="Times New Roman"/>
          <w:color w:val="000000" w:themeColor="text1"/>
          <w:sz w:val="24"/>
          <w:szCs w:val="24"/>
        </w:rPr>
        <w:t>co-occurring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(Right)</w:t>
      </w:r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number and percentage of </w:t>
      </w:r>
      <w:proofErr w:type="spellStart"/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>tumour</w:t>
      </w:r>
      <w:proofErr w:type="spellEnd"/>
      <w:r w:rsidR="00AB4FDA" w:rsidRP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types in patients in these 3 groups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B4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Fisher-test was used to analysis the differences between the co-occurring and wild-type</w:t>
      </w:r>
      <w:r w:rsidR="004F57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575B"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group</w:t>
      </w:r>
      <w:r w:rsidR="004F575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. No significant difference about those characteristics was evident.</w:t>
      </w:r>
      <w:r w:rsidR="00AB4F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5CA32E7D" w14:textId="38CDE138" w:rsidR="009275A4" w:rsidRDefault="009275A4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BF0639B" w14:textId="0370A494" w:rsidR="005F60D1" w:rsidRDefault="00C840BB" w:rsidP="000605C9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55E17E" wp14:editId="42D51418">
            <wp:extent cx="5268595" cy="3815715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81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00027" w14:textId="5FD84FB9" w:rsidR="00874898" w:rsidRPr="009275A4" w:rsidRDefault="000605C9" w:rsidP="009275A4">
      <w:pPr>
        <w:widowControl/>
        <w:autoSpaceDE w:val="0"/>
        <w:autoSpaceDN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Figure 2 Heatmap</w:t>
      </w:r>
      <w:r w:rsidR="00683B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show</w:t>
      </w:r>
      <w:r w:rsidR="007C127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ed</w:t>
      </w: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the </w:t>
      </w:r>
      <w:r w:rsidR="004F575B"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percentage</w:t>
      </w:r>
      <w:r w:rsidR="004F57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classical markers of </w:t>
      </w: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micro-environment</w:t>
      </w:r>
      <w:r w:rsidR="004F57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C127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</w:t>
      </w:r>
      <w:r w:rsidRPr="006772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all samples</w:t>
      </w:r>
      <w:r w:rsidR="00B165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TP53 co-occurring 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mutation 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and TP53 wild-type groups in tumor areas (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, in stroma</w:t>
      </w:r>
      <w:r w:rsidR="00884277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areas (B), </w:t>
      </w:r>
      <w:r w:rsidR="00041E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in all areas (C).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CDKN2A/B co-occurring and CDKN2A/B wild-type groups in tumor areas (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, in stroma</w:t>
      </w:r>
      <w:r w:rsidR="00884277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areas (E), </w:t>
      </w:r>
      <w:r w:rsidR="008842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7C1272">
        <w:rPr>
          <w:rFonts w:ascii="Times New Roman" w:hAnsi="Times New Roman" w:cs="Times New Roman"/>
          <w:color w:val="000000" w:themeColor="text1"/>
          <w:sz w:val="24"/>
          <w:szCs w:val="24"/>
        </w:rPr>
        <w:t>in all areas (F).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Gradients indicated relative </w:t>
      </w:r>
      <w:r w:rsidR="00245A60">
        <w:rPr>
          <w:rFonts w:ascii="Times New Roman" w:hAnsi="Times New Roman" w:cs="Times New Roman"/>
          <w:color w:val="000000" w:themeColor="text1"/>
          <w:sz w:val="24"/>
          <w:szCs w:val="24"/>
        </w:rPr>
        <w:t>values</w:t>
      </w:r>
      <w:r w:rsidRPr="00677251">
        <w:rPr>
          <w:rFonts w:ascii="Times New Roman" w:hAnsi="Times New Roman" w:cs="Times New Roman"/>
          <w:color w:val="000000" w:themeColor="text1"/>
          <w:sz w:val="24"/>
          <w:szCs w:val="24"/>
        </w:rPr>
        <w:t>, with redder colors indicating higher percentage of expression.</w:t>
      </w:r>
    </w:p>
    <w:sectPr w:rsidR="00874898" w:rsidRPr="009275A4" w:rsidSect="000F53E8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71B5B" w14:textId="77777777" w:rsidR="00B16C4C" w:rsidRDefault="00B16C4C" w:rsidP="00085CA4">
      <w:r>
        <w:separator/>
      </w:r>
    </w:p>
  </w:endnote>
  <w:endnote w:type="continuationSeparator" w:id="0">
    <w:p w14:paraId="7C2A3643" w14:textId="77777777" w:rsidR="00B16C4C" w:rsidRDefault="00B16C4C" w:rsidP="00085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05819" w14:textId="77777777" w:rsidR="00B16C4C" w:rsidRDefault="00B16C4C" w:rsidP="00085CA4">
      <w:r>
        <w:separator/>
      </w:r>
    </w:p>
  </w:footnote>
  <w:footnote w:type="continuationSeparator" w:id="0">
    <w:p w14:paraId="4AB6BBB7" w14:textId="77777777" w:rsidR="00B16C4C" w:rsidRDefault="00B16C4C" w:rsidP="00085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C0022"/>
    <w:multiLevelType w:val="hybridMultilevel"/>
    <w:tmpl w:val="A4EECFB2"/>
    <w:lvl w:ilvl="0" w:tplc="B39E54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79235C"/>
    <w:multiLevelType w:val="hybridMultilevel"/>
    <w:tmpl w:val="838E4132"/>
    <w:lvl w:ilvl="0" w:tplc="BCF8083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29008870">
    <w:abstractNumId w:val="0"/>
  </w:num>
  <w:num w:numId="2" w16cid:durableId="862478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898"/>
    <w:rsid w:val="0002265C"/>
    <w:rsid w:val="00041E49"/>
    <w:rsid w:val="000605C9"/>
    <w:rsid w:val="00072B49"/>
    <w:rsid w:val="00085CA4"/>
    <w:rsid w:val="00135566"/>
    <w:rsid w:val="00164245"/>
    <w:rsid w:val="001D2568"/>
    <w:rsid w:val="00245A60"/>
    <w:rsid w:val="002C3B10"/>
    <w:rsid w:val="002C7884"/>
    <w:rsid w:val="00374F47"/>
    <w:rsid w:val="004A2232"/>
    <w:rsid w:val="004C0868"/>
    <w:rsid w:val="004F575B"/>
    <w:rsid w:val="00572E73"/>
    <w:rsid w:val="005B4EEE"/>
    <w:rsid w:val="005F60D1"/>
    <w:rsid w:val="00683B2A"/>
    <w:rsid w:val="00697C47"/>
    <w:rsid w:val="007C1272"/>
    <w:rsid w:val="00874898"/>
    <w:rsid w:val="0087735B"/>
    <w:rsid w:val="00884277"/>
    <w:rsid w:val="00885E92"/>
    <w:rsid w:val="008D3E75"/>
    <w:rsid w:val="009275A4"/>
    <w:rsid w:val="00A1463A"/>
    <w:rsid w:val="00AB4FDA"/>
    <w:rsid w:val="00AC628C"/>
    <w:rsid w:val="00B1658D"/>
    <w:rsid w:val="00B16C4C"/>
    <w:rsid w:val="00BA5560"/>
    <w:rsid w:val="00C840BB"/>
    <w:rsid w:val="00CA2138"/>
    <w:rsid w:val="00CD40C3"/>
    <w:rsid w:val="00E30F1E"/>
    <w:rsid w:val="00F90178"/>
    <w:rsid w:val="00F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578F3"/>
  <w15:chartTrackingRefBased/>
  <w15:docId w15:val="{8BD9C662-B877-6B48-AABF-4C7E899FC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28C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5B4E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605C9"/>
  </w:style>
  <w:style w:type="character" w:customStyle="1" w:styleId="10">
    <w:name w:val="标题 1 字符"/>
    <w:basedOn w:val="a0"/>
    <w:link w:val="1"/>
    <w:uiPriority w:val="9"/>
    <w:rsid w:val="005B4EEE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085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5C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5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5CA4"/>
    <w:rPr>
      <w:sz w:val="18"/>
      <w:szCs w:val="18"/>
    </w:rPr>
  </w:style>
  <w:style w:type="paragraph" w:styleId="a8">
    <w:name w:val="List Paragraph"/>
    <w:basedOn w:val="a"/>
    <w:uiPriority w:val="34"/>
    <w:qFormat/>
    <w:rsid w:val="00F901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0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销 售</cp:lastModifiedBy>
  <cp:revision>23</cp:revision>
  <dcterms:created xsi:type="dcterms:W3CDTF">2022-08-21T16:21:00Z</dcterms:created>
  <dcterms:modified xsi:type="dcterms:W3CDTF">2023-04-19T04:45:00Z</dcterms:modified>
</cp:coreProperties>
</file>