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5389" w14:textId="77777777" w:rsidR="004124F2" w:rsidRPr="0039017F" w:rsidRDefault="004124F2" w:rsidP="004124F2">
      <w:pPr>
        <w:widowControl/>
        <w:adjustRightInd w:val="0"/>
        <w:snapToGrid w:val="0"/>
        <w:spacing w:line="360" w:lineRule="auto"/>
        <w:rPr>
          <w:rFonts w:ascii="Times New Roman" w:eastAsia="宋体" w:hAnsi="Times New Roman" w:cs="Times New Roman"/>
          <w:sz w:val="24"/>
          <w:szCs w:val="24"/>
          <w:lang w:bidi="mn-Mong-CN"/>
        </w:rPr>
      </w:pPr>
      <w:r w:rsidRPr="0039017F">
        <w:rPr>
          <w:rFonts w:ascii="Times New Roman" w:eastAsia="宋体" w:hAnsi="Times New Roman" w:cs="Times New Roman"/>
          <w:sz w:val="24"/>
          <w:szCs w:val="24"/>
          <w:lang w:bidi="mn-Mong-CN"/>
        </w:rPr>
        <w:t>Supplemental Table S1: Comprehensive evaluation system for the indicators of technological innovation in China from 2007 to 2019.</w:t>
      </w:r>
      <w:r w:rsidRPr="0039017F">
        <w:t xml:space="preserve"> </w:t>
      </w:r>
      <w:r w:rsidRPr="0039017F">
        <w:rPr>
          <w:rFonts w:ascii="Times New Roman" w:eastAsia="宋体" w:hAnsi="Times New Roman" w:cs="Times New Roman"/>
          <w:sz w:val="24"/>
          <w:szCs w:val="24"/>
          <w:lang w:bidi="mn-Mong-CN"/>
        </w:rPr>
        <w:t>Technological innovation increases with increasing values of an indicator.</w:t>
      </w:r>
    </w:p>
    <w:tbl>
      <w:tblPr>
        <w:tblStyle w:val="12"/>
        <w:tblW w:w="4890" w:type="pct"/>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1701"/>
        <w:gridCol w:w="2342"/>
        <w:gridCol w:w="3312"/>
      </w:tblGrid>
      <w:tr w:rsidR="004124F2" w:rsidRPr="00565905" w14:paraId="79FA5EB6" w14:textId="77777777" w:rsidTr="009B4A1A">
        <w:trPr>
          <w:trHeight w:val="629"/>
        </w:trPr>
        <w:tc>
          <w:tcPr>
            <w:tcW w:w="815" w:type="pct"/>
            <w:tcBorders>
              <w:top w:val="single" w:sz="12" w:space="0" w:color="auto"/>
              <w:left w:val="nil"/>
              <w:bottom w:val="single" w:sz="8" w:space="0" w:color="auto"/>
              <w:right w:val="nil"/>
            </w:tcBorders>
            <w:vAlign w:val="center"/>
            <w:hideMark/>
          </w:tcPr>
          <w:p w14:paraId="3BA6A768" w14:textId="77777777" w:rsidR="004124F2" w:rsidRPr="0039017F" w:rsidRDefault="004124F2" w:rsidP="004124F2">
            <w:pPr>
              <w:adjustRightInd w:val="0"/>
              <w:snapToGrid w:val="0"/>
              <w:rPr>
                <w:b/>
                <w:bCs/>
              </w:rPr>
            </w:pPr>
            <w:r w:rsidRPr="0039017F">
              <w:rPr>
                <w:b/>
                <w:bCs/>
              </w:rPr>
              <w:t>System</w:t>
            </w:r>
          </w:p>
        </w:tc>
        <w:tc>
          <w:tcPr>
            <w:tcW w:w="970" w:type="pct"/>
            <w:tcBorders>
              <w:top w:val="single" w:sz="12" w:space="0" w:color="auto"/>
              <w:left w:val="nil"/>
              <w:bottom w:val="single" w:sz="8" w:space="0" w:color="auto"/>
              <w:right w:val="nil"/>
            </w:tcBorders>
            <w:vAlign w:val="center"/>
            <w:hideMark/>
          </w:tcPr>
          <w:p w14:paraId="03710532" w14:textId="77777777" w:rsidR="004124F2" w:rsidRPr="0039017F" w:rsidRDefault="004124F2" w:rsidP="004124F2">
            <w:pPr>
              <w:widowControl/>
              <w:adjustRightInd w:val="0"/>
              <w:snapToGrid w:val="0"/>
              <w:jc w:val="center"/>
              <w:rPr>
                <w:b/>
                <w:bCs/>
                <w:szCs w:val="28"/>
              </w:rPr>
            </w:pPr>
            <w:r w:rsidRPr="0039017F">
              <w:rPr>
                <w:b/>
                <w:bCs/>
                <w:szCs w:val="28"/>
              </w:rPr>
              <w:t>Target layer</w:t>
            </w:r>
          </w:p>
        </w:tc>
        <w:tc>
          <w:tcPr>
            <w:tcW w:w="1333" w:type="pct"/>
            <w:tcBorders>
              <w:top w:val="single" w:sz="12" w:space="0" w:color="auto"/>
              <w:left w:val="nil"/>
              <w:bottom w:val="single" w:sz="8" w:space="0" w:color="auto"/>
              <w:right w:val="nil"/>
            </w:tcBorders>
            <w:vAlign w:val="center"/>
            <w:hideMark/>
          </w:tcPr>
          <w:p w14:paraId="21E0FC6C" w14:textId="77777777" w:rsidR="004124F2" w:rsidRPr="0039017F" w:rsidRDefault="004124F2" w:rsidP="004124F2">
            <w:pPr>
              <w:widowControl/>
              <w:adjustRightInd w:val="0"/>
              <w:snapToGrid w:val="0"/>
              <w:jc w:val="center"/>
              <w:rPr>
                <w:b/>
                <w:bCs/>
                <w:szCs w:val="28"/>
              </w:rPr>
            </w:pPr>
            <w:r w:rsidRPr="0039017F">
              <w:rPr>
                <w:b/>
                <w:bCs/>
                <w:szCs w:val="28"/>
              </w:rPr>
              <w:t>Indicator layer</w:t>
            </w:r>
          </w:p>
        </w:tc>
        <w:tc>
          <w:tcPr>
            <w:tcW w:w="1882" w:type="pct"/>
            <w:tcBorders>
              <w:top w:val="single" w:sz="12" w:space="0" w:color="auto"/>
              <w:left w:val="nil"/>
              <w:bottom w:val="single" w:sz="8" w:space="0" w:color="auto"/>
              <w:right w:val="nil"/>
            </w:tcBorders>
            <w:vAlign w:val="center"/>
          </w:tcPr>
          <w:p w14:paraId="4F4089FC" w14:textId="77777777" w:rsidR="004124F2" w:rsidRPr="0039017F" w:rsidRDefault="004124F2" w:rsidP="004124F2">
            <w:pPr>
              <w:widowControl/>
              <w:adjustRightInd w:val="0"/>
              <w:snapToGrid w:val="0"/>
              <w:jc w:val="center"/>
              <w:rPr>
                <w:b/>
                <w:bCs/>
                <w:szCs w:val="28"/>
              </w:rPr>
            </w:pPr>
            <w:r w:rsidRPr="0039017F">
              <w:rPr>
                <w:b/>
                <w:bCs/>
                <w:szCs w:val="28"/>
              </w:rPr>
              <w:t>Calculation method</w:t>
            </w:r>
          </w:p>
        </w:tc>
      </w:tr>
      <w:tr w:rsidR="004124F2" w:rsidRPr="00565905" w14:paraId="546D4085" w14:textId="77777777" w:rsidTr="009B4A1A">
        <w:trPr>
          <w:trHeight w:val="856"/>
        </w:trPr>
        <w:tc>
          <w:tcPr>
            <w:tcW w:w="815" w:type="pct"/>
            <w:vMerge w:val="restart"/>
            <w:tcBorders>
              <w:top w:val="single" w:sz="8" w:space="0" w:color="auto"/>
              <w:left w:val="nil"/>
              <w:bottom w:val="nil"/>
              <w:right w:val="nil"/>
            </w:tcBorders>
            <w:vAlign w:val="center"/>
            <w:hideMark/>
          </w:tcPr>
          <w:p w14:paraId="151067FA" w14:textId="77777777" w:rsidR="004124F2" w:rsidRPr="0039017F" w:rsidRDefault="004124F2" w:rsidP="004124F2">
            <w:pPr>
              <w:adjustRightInd w:val="0"/>
              <w:snapToGrid w:val="0"/>
              <w:jc w:val="left"/>
            </w:pPr>
            <w:r w:rsidRPr="0039017F">
              <w:t>Comprehensive level of technological innovation</w:t>
            </w:r>
          </w:p>
        </w:tc>
        <w:tc>
          <w:tcPr>
            <w:tcW w:w="970" w:type="pct"/>
            <w:tcBorders>
              <w:top w:val="single" w:sz="8" w:space="0" w:color="auto"/>
              <w:left w:val="nil"/>
              <w:bottom w:val="nil"/>
              <w:right w:val="nil"/>
            </w:tcBorders>
            <w:vAlign w:val="center"/>
            <w:hideMark/>
          </w:tcPr>
          <w:p w14:paraId="31719F0A" w14:textId="77777777" w:rsidR="004124F2" w:rsidRPr="0039017F" w:rsidRDefault="004124F2" w:rsidP="004124F2">
            <w:pPr>
              <w:widowControl/>
              <w:adjustRightInd w:val="0"/>
              <w:snapToGrid w:val="0"/>
              <w:jc w:val="left"/>
              <w:rPr>
                <w:szCs w:val="28"/>
              </w:rPr>
            </w:pPr>
            <w:r w:rsidRPr="0039017F">
              <w:rPr>
                <w:szCs w:val="28"/>
              </w:rPr>
              <w:t>Technological innovation inputs</w:t>
            </w:r>
          </w:p>
        </w:tc>
        <w:tc>
          <w:tcPr>
            <w:tcW w:w="1333" w:type="pct"/>
            <w:tcBorders>
              <w:top w:val="single" w:sz="8" w:space="0" w:color="auto"/>
              <w:left w:val="nil"/>
              <w:bottom w:val="nil"/>
              <w:right w:val="nil"/>
            </w:tcBorders>
            <w:vAlign w:val="center"/>
            <w:hideMark/>
          </w:tcPr>
          <w:p w14:paraId="6EEF0577" w14:textId="77777777" w:rsidR="004124F2" w:rsidRPr="0039017F" w:rsidRDefault="004124F2" w:rsidP="004124F2">
            <w:pPr>
              <w:adjustRightInd w:val="0"/>
              <w:snapToGrid w:val="0"/>
              <w:jc w:val="left"/>
              <w:rPr>
                <w:szCs w:val="28"/>
              </w:rPr>
            </w:pPr>
            <w:r w:rsidRPr="0039017F">
              <w:rPr>
                <w:szCs w:val="28"/>
              </w:rPr>
              <w:t>Technology spending per capita</w:t>
            </w:r>
          </w:p>
        </w:tc>
        <w:tc>
          <w:tcPr>
            <w:tcW w:w="1882" w:type="pct"/>
            <w:tcBorders>
              <w:top w:val="single" w:sz="8" w:space="0" w:color="auto"/>
              <w:left w:val="nil"/>
              <w:bottom w:val="nil"/>
              <w:right w:val="nil"/>
            </w:tcBorders>
            <w:vAlign w:val="center"/>
          </w:tcPr>
          <w:p w14:paraId="62B1A755" w14:textId="77777777" w:rsidR="004124F2" w:rsidRPr="0039017F" w:rsidRDefault="004124F2" w:rsidP="004124F2">
            <w:pPr>
              <w:adjustRightInd w:val="0"/>
              <w:snapToGrid w:val="0"/>
              <w:jc w:val="left"/>
              <w:rPr>
                <w:szCs w:val="28"/>
              </w:rPr>
            </w:pPr>
            <w:r w:rsidRPr="0039017F">
              <w:rPr>
                <w:szCs w:val="28"/>
              </w:rPr>
              <w:t>Technology spending</w:t>
            </w:r>
            <w:r w:rsidRPr="0039017F">
              <w:rPr>
                <w:rFonts w:hint="eastAsia"/>
                <w:szCs w:val="28"/>
              </w:rPr>
              <w:t xml:space="preserve"> /</w:t>
            </w:r>
            <w:r w:rsidRPr="0039017F">
              <w:t xml:space="preserve"> </w:t>
            </w:r>
            <w:r w:rsidRPr="0039017F">
              <w:rPr>
                <w:szCs w:val="28"/>
              </w:rPr>
              <w:t>total population</w:t>
            </w:r>
          </w:p>
        </w:tc>
      </w:tr>
      <w:tr w:rsidR="004124F2" w:rsidRPr="00565905" w14:paraId="0DB727BD" w14:textId="77777777" w:rsidTr="009B4A1A">
        <w:trPr>
          <w:trHeight w:val="856"/>
        </w:trPr>
        <w:tc>
          <w:tcPr>
            <w:tcW w:w="815" w:type="pct"/>
            <w:vMerge/>
            <w:tcBorders>
              <w:top w:val="single" w:sz="12" w:space="0" w:color="auto"/>
              <w:left w:val="nil"/>
              <w:bottom w:val="nil"/>
              <w:right w:val="nil"/>
            </w:tcBorders>
            <w:vAlign w:val="center"/>
            <w:hideMark/>
          </w:tcPr>
          <w:p w14:paraId="7E510395" w14:textId="77777777" w:rsidR="004124F2" w:rsidRPr="0039017F" w:rsidRDefault="004124F2" w:rsidP="004124F2">
            <w:pPr>
              <w:adjustRightInd w:val="0"/>
              <w:snapToGrid w:val="0"/>
              <w:jc w:val="left"/>
              <w:rPr>
                <w:b/>
                <w:bCs/>
                <w:szCs w:val="28"/>
              </w:rPr>
            </w:pPr>
          </w:p>
        </w:tc>
        <w:tc>
          <w:tcPr>
            <w:tcW w:w="970" w:type="pct"/>
            <w:tcBorders>
              <w:top w:val="nil"/>
              <w:left w:val="nil"/>
              <w:bottom w:val="nil"/>
              <w:right w:val="nil"/>
            </w:tcBorders>
            <w:vAlign w:val="center"/>
            <w:hideMark/>
          </w:tcPr>
          <w:p w14:paraId="05036019" w14:textId="77777777" w:rsidR="004124F2" w:rsidRPr="0039017F" w:rsidRDefault="004124F2" w:rsidP="004124F2">
            <w:pPr>
              <w:widowControl/>
              <w:adjustRightInd w:val="0"/>
              <w:snapToGrid w:val="0"/>
              <w:jc w:val="left"/>
              <w:rPr>
                <w:szCs w:val="28"/>
              </w:rPr>
            </w:pPr>
            <w:r w:rsidRPr="0039017F">
              <w:rPr>
                <w:szCs w:val="28"/>
              </w:rPr>
              <w:t>Technological innovation outputs</w:t>
            </w:r>
          </w:p>
        </w:tc>
        <w:tc>
          <w:tcPr>
            <w:tcW w:w="1333" w:type="pct"/>
            <w:tcBorders>
              <w:top w:val="nil"/>
              <w:left w:val="nil"/>
              <w:bottom w:val="nil"/>
              <w:right w:val="nil"/>
            </w:tcBorders>
            <w:vAlign w:val="center"/>
            <w:hideMark/>
          </w:tcPr>
          <w:p w14:paraId="6D8A4106" w14:textId="77777777" w:rsidR="004124F2" w:rsidRPr="0039017F" w:rsidRDefault="004124F2" w:rsidP="004124F2">
            <w:pPr>
              <w:adjustRightInd w:val="0"/>
              <w:snapToGrid w:val="0"/>
              <w:jc w:val="left"/>
              <w:rPr>
                <w:szCs w:val="28"/>
              </w:rPr>
            </w:pPr>
            <w:r w:rsidRPr="0039017F">
              <w:rPr>
                <w:szCs w:val="28"/>
              </w:rPr>
              <w:t>Number of invention patents granted per 10 000 people</w:t>
            </w:r>
          </w:p>
        </w:tc>
        <w:tc>
          <w:tcPr>
            <w:tcW w:w="1882" w:type="pct"/>
            <w:tcBorders>
              <w:top w:val="nil"/>
              <w:left w:val="nil"/>
              <w:bottom w:val="nil"/>
              <w:right w:val="nil"/>
            </w:tcBorders>
            <w:vAlign w:val="center"/>
          </w:tcPr>
          <w:p w14:paraId="6BED67E2" w14:textId="77777777" w:rsidR="004124F2" w:rsidRPr="0039017F" w:rsidRDefault="004124F2" w:rsidP="004124F2">
            <w:pPr>
              <w:adjustRightInd w:val="0"/>
              <w:snapToGrid w:val="0"/>
              <w:jc w:val="left"/>
              <w:rPr>
                <w:szCs w:val="28"/>
              </w:rPr>
            </w:pPr>
            <w:r w:rsidRPr="0039017F">
              <w:rPr>
                <w:rFonts w:hint="eastAsia"/>
                <w:szCs w:val="28"/>
              </w:rPr>
              <w:t>(</w:t>
            </w:r>
            <w:r w:rsidRPr="0039017F">
              <w:rPr>
                <w:szCs w:val="28"/>
              </w:rPr>
              <w:t>Number of invention patents granted</w:t>
            </w:r>
            <w:r w:rsidRPr="0039017F">
              <w:rPr>
                <w:rFonts w:hint="eastAsia"/>
                <w:szCs w:val="28"/>
              </w:rPr>
              <w:t xml:space="preserve"> /</w:t>
            </w:r>
            <w:r w:rsidRPr="0039017F">
              <w:t xml:space="preserve"> </w:t>
            </w:r>
            <w:r w:rsidRPr="0039017F">
              <w:rPr>
                <w:szCs w:val="28"/>
              </w:rPr>
              <w:t>total population</w:t>
            </w:r>
            <w:r w:rsidRPr="0039017F">
              <w:rPr>
                <w:rFonts w:hint="eastAsia"/>
                <w:szCs w:val="28"/>
              </w:rPr>
              <w:t>)</w:t>
            </w:r>
            <w:r w:rsidRPr="0039017F">
              <w:rPr>
                <w:szCs w:val="28"/>
              </w:rPr>
              <w:t xml:space="preserve"> ×</w:t>
            </w:r>
            <w:r w:rsidRPr="0039017F" w:rsidDel="000B52EE">
              <w:rPr>
                <w:rFonts w:hint="eastAsia"/>
                <w:szCs w:val="28"/>
              </w:rPr>
              <w:t xml:space="preserve"> </w:t>
            </w:r>
            <w:r w:rsidRPr="0039017F">
              <w:rPr>
                <w:szCs w:val="28"/>
              </w:rPr>
              <w:t>10 000</w:t>
            </w:r>
          </w:p>
        </w:tc>
      </w:tr>
      <w:tr w:rsidR="004124F2" w:rsidRPr="00565905" w14:paraId="1E8FDB80" w14:textId="77777777" w:rsidTr="009B4A1A">
        <w:trPr>
          <w:trHeight w:val="856"/>
        </w:trPr>
        <w:tc>
          <w:tcPr>
            <w:tcW w:w="815" w:type="pct"/>
            <w:vMerge/>
            <w:tcBorders>
              <w:top w:val="nil"/>
              <w:left w:val="nil"/>
              <w:bottom w:val="single" w:sz="12" w:space="0" w:color="auto"/>
              <w:right w:val="nil"/>
            </w:tcBorders>
            <w:vAlign w:val="center"/>
            <w:hideMark/>
          </w:tcPr>
          <w:p w14:paraId="467C4105" w14:textId="77777777" w:rsidR="004124F2" w:rsidRPr="0039017F" w:rsidRDefault="004124F2" w:rsidP="004124F2">
            <w:pPr>
              <w:adjustRightInd w:val="0"/>
              <w:snapToGrid w:val="0"/>
              <w:jc w:val="left"/>
              <w:rPr>
                <w:b/>
                <w:bCs/>
                <w:szCs w:val="28"/>
              </w:rPr>
            </w:pPr>
          </w:p>
        </w:tc>
        <w:tc>
          <w:tcPr>
            <w:tcW w:w="970" w:type="pct"/>
            <w:tcBorders>
              <w:top w:val="nil"/>
              <w:left w:val="nil"/>
              <w:bottom w:val="single" w:sz="12" w:space="0" w:color="auto"/>
              <w:right w:val="nil"/>
            </w:tcBorders>
            <w:vAlign w:val="center"/>
            <w:hideMark/>
          </w:tcPr>
          <w:p w14:paraId="27D741F9" w14:textId="77777777" w:rsidR="004124F2" w:rsidRPr="0039017F" w:rsidRDefault="004124F2" w:rsidP="004124F2">
            <w:pPr>
              <w:widowControl/>
              <w:adjustRightInd w:val="0"/>
              <w:snapToGrid w:val="0"/>
              <w:jc w:val="left"/>
              <w:rPr>
                <w:szCs w:val="28"/>
              </w:rPr>
            </w:pPr>
            <w:r w:rsidRPr="0039017F">
              <w:rPr>
                <w:szCs w:val="28"/>
              </w:rPr>
              <w:t>Technological innovation applications</w:t>
            </w:r>
          </w:p>
        </w:tc>
        <w:tc>
          <w:tcPr>
            <w:tcW w:w="1333" w:type="pct"/>
            <w:tcBorders>
              <w:top w:val="nil"/>
              <w:left w:val="nil"/>
              <w:bottom w:val="single" w:sz="12" w:space="0" w:color="auto"/>
              <w:right w:val="nil"/>
            </w:tcBorders>
            <w:vAlign w:val="center"/>
            <w:hideMark/>
          </w:tcPr>
          <w:p w14:paraId="080AA92E" w14:textId="77777777" w:rsidR="004124F2" w:rsidRPr="0039017F" w:rsidRDefault="004124F2" w:rsidP="004124F2">
            <w:pPr>
              <w:widowControl/>
              <w:adjustRightInd w:val="0"/>
              <w:snapToGrid w:val="0"/>
              <w:jc w:val="left"/>
              <w:rPr>
                <w:szCs w:val="28"/>
              </w:rPr>
            </w:pPr>
            <w:r w:rsidRPr="0039017F">
              <w:rPr>
                <w:szCs w:val="28"/>
              </w:rPr>
              <w:t>Internet access users per 10000 people</w:t>
            </w:r>
          </w:p>
        </w:tc>
        <w:tc>
          <w:tcPr>
            <w:tcW w:w="1882" w:type="pct"/>
            <w:tcBorders>
              <w:top w:val="nil"/>
              <w:left w:val="nil"/>
              <w:bottom w:val="single" w:sz="12" w:space="0" w:color="auto"/>
              <w:right w:val="nil"/>
            </w:tcBorders>
            <w:vAlign w:val="center"/>
          </w:tcPr>
          <w:p w14:paraId="1C08F446" w14:textId="77777777" w:rsidR="004124F2" w:rsidRPr="0039017F" w:rsidRDefault="004124F2" w:rsidP="004124F2">
            <w:pPr>
              <w:adjustRightInd w:val="0"/>
              <w:snapToGrid w:val="0"/>
              <w:jc w:val="left"/>
              <w:rPr>
                <w:szCs w:val="28"/>
              </w:rPr>
            </w:pPr>
            <w:r w:rsidRPr="0039017F">
              <w:rPr>
                <w:szCs w:val="28"/>
              </w:rPr>
              <w:t>(Internet access users /total population</w:t>
            </w:r>
            <w:r w:rsidRPr="0039017F">
              <w:rPr>
                <w:rFonts w:hint="eastAsia"/>
                <w:szCs w:val="28"/>
              </w:rPr>
              <w:t>)</w:t>
            </w:r>
            <w:r w:rsidRPr="0039017F">
              <w:rPr>
                <w:szCs w:val="28"/>
              </w:rPr>
              <w:t xml:space="preserve"> × 10 000</w:t>
            </w:r>
          </w:p>
        </w:tc>
      </w:tr>
    </w:tbl>
    <w:p w14:paraId="0FE48E93" w14:textId="77777777" w:rsidR="004124F2" w:rsidRPr="0039017F" w:rsidRDefault="004124F2" w:rsidP="004124F2">
      <w:pPr>
        <w:adjustRightInd w:val="0"/>
        <w:snapToGrid w:val="0"/>
        <w:spacing w:line="360" w:lineRule="auto"/>
        <w:ind w:firstLineChars="200" w:firstLine="482"/>
        <w:rPr>
          <w:rFonts w:ascii="Times New Roman" w:eastAsia="宋体" w:hAnsi="Times New Roman" w:cs="Times New Roman"/>
          <w:b/>
          <w:bCs/>
          <w:sz w:val="24"/>
          <w:szCs w:val="24"/>
        </w:rPr>
      </w:pPr>
    </w:p>
    <w:p w14:paraId="4AC535F9" w14:textId="77777777" w:rsidR="004124F2" w:rsidRPr="0039017F" w:rsidRDefault="004124F2" w:rsidP="004124F2">
      <w:pPr>
        <w:widowControl/>
        <w:adjustRightInd w:val="0"/>
        <w:snapToGrid w:val="0"/>
        <w:spacing w:line="360" w:lineRule="auto"/>
        <w:rPr>
          <w:rFonts w:ascii="Times New Roman" w:eastAsia="宋体" w:hAnsi="Times New Roman" w:cs="Times New Roman"/>
          <w:sz w:val="24"/>
          <w:szCs w:val="24"/>
          <w:lang w:bidi="mn-Mong-CN"/>
        </w:rPr>
      </w:pPr>
      <w:r w:rsidRPr="0039017F">
        <w:rPr>
          <w:rFonts w:ascii="Times New Roman" w:eastAsia="宋体" w:hAnsi="Times New Roman" w:cs="Times New Roman"/>
          <w:sz w:val="24"/>
          <w:szCs w:val="24"/>
          <w:lang w:bidi="mn-Mong-CN"/>
        </w:rPr>
        <w:t>Supplemental</w:t>
      </w:r>
      <w:r w:rsidRPr="0039017F">
        <w:rPr>
          <w:rFonts w:ascii="Times New Roman" w:eastAsia="宋体" w:hAnsi="Times New Roman" w:cs="Times New Roman" w:hint="eastAsia"/>
          <w:sz w:val="24"/>
          <w:szCs w:val="24"/>
          <w:lang w:bidi="mn-Mong-CN"/>
        </w:rPr>
        <w:t xml:space="preserve"> </w:t>
      </w:r>
      <w:r w:rsidRPr="0039017F">
        <w:rPr>
          <w:rFonts w:ascii="Times New Roman" w:eastAsia="宋体" w:hAnsi="Times New Roman" w:cs="Times New Roman"/>
          <w:sz w:val="24"/>
          <w:szCs w:val="24"/>
          <w:lang w:bidi="mn-Mong-CN"/>
        </w:rPr>
        <w:t xml:space="preserve">Table S2: Names and calculation methods for the nine evaluated factors that drove China's technological innovation in the comprehensive framework developed in this study. The variable sign indicates whether the indicator is expected to increase (+) or decrease (–) technological innovation. Abbreviations: </w:t>
      </w:r>
      <w:r w:rsidRPr="0039017F">
        <w:rPr>
          <w:rFonts w:ascii="Times New Roman" w:eastAsia="宋体" w:hAnsi="Times New Roman" w:cs="Times New Roman"/>
          <w:i/>
          <w:iCs/>
          <w:sz w:val="24"/>
          <w:szCs w:val="24"/>
          <w:lang w:bidi="mn-Mong-CN"/>
        </w:rPr>
        <w:t>TOL</w:t>
      </w:r>
      <w:r w:rsidRPr="0039017F">
        <w:rPr>
          <w:rFonts w:ascii="Times New Roman" w:eastAsia="宋体" w:hAnsi="Times New Roman" w:cs="Times New Roman"/>
          <w:sz w:val="24"/>
          <w:szCs w:val="24"/>
          <w:lang w:bidi="mn-Mong-CN"/>
        </w:rPr>
        <w:t xml:space="preserve">, tolerance; </w:t>
      </w:r>
      <w:r w:rsidRPr="0039017F">
        <w:rPr>
          <w:rFonts w:ascii="Times New Roman" w:eastAsia="宋体" w:hAnsi="Times New Roman" w:cs="Times New Roman"/>
          <w:i/>
          <w:iCs/>
          <w:sz w:val="24"/>
          <w:szCs w:val="24"/>
          <w:lang w:bidi="mn-Mong-CN"/>
        </w:rPr>
        <w:t>VIF</w:t>
      </w:r>
      <w:r w:rsidRPr="0039017F">
        <w:rPr>
          <w:rFonts w:ascii="Times New Roman" w:eastAsia="宋体" w:hAnsi="Times New Roman" w:cs="Times New Roman"/>
          <w:sz w:val="24"/>
          <w:szCs w:val="24"/>
          <w:lang w:bidi="mn-Mong-CN"/>
        </w:rPr>
        <w:t>, variance inflation factor.</w:t>
      </w:r>
      <w:r w:rsidRPr="0039017F">
        <w:t xml:space="preserve"> </w:t>
      </w:r>
    </w:p>
    <w:tbl>
      <w:tblPr>
        <w:tblW w:w="4965" w:type="pct"/>
        <w:jc w:val="center"/>
        <w:tblLook w:val="04A0" w:firstRow="1" w:lastRow="0" w:firstColumn="1" w:lastColumn="0" w:noHBand="0" w:noVBand="1"/>
      </w:tblPr>
      <w:tblGrid>
        <w:gridCol w:w="2081"/>
        <w:gridCol w:w="4250"/>
        <w:gridCol w:w="984"/>
        <w:gridCol w:w="825"/>
        <w:gridCol w:w="823"/>
      </w:tblGrid>
      <w:tr w:rsidR="004124F2" w:rsidRPr="0039017F" w14:paraId="504953CB" w14:textId="77777777" w:rsidTr="004124F2">
        <w:trPr>
          <w:trHeight w:val="554"/>
          <w:jc w:val="center"/>
        </w:trPr>
        <w:tc>
          <w:tcPr>
            <w:tcW w:w="1161" w:type="pct"/>
            <w:tcBorders>
              <w:top w:val="single" w:sz="12" w:space="0" w:color="auto"/>
              <w:left w:val="nil"/>
              <w:bottom w:val="single" w:sz="8" w:space="0" w:color="auto"/>
              <w:right w:val="nil"/>
            </w:tcBorders>
            <w:vAlign w:val="center"/>
          </w:tcPr>
          <w:p w14:paraId="0AB48094" w14:textId="77777777" w:rsidR="004124F2" w:rsidRPr="0039017F" w:rsidRDefault="004124F2" w:rsidP="004124F2">
            <w:pPr>
              <w:adjustRightInd w:val="0"/>
              <w:snapToGrid w:val="0"/>
              <w:jc w:val="center"/>
              <w:textAlignment w:val="center"/>
              <w:rPr>
                <w:rFonts w:ascii="Times New Roman" w:eastAsia="宋体" w:hAnsi="Times New Roman" w:cs="Times New Roman"/>
                <w:b/>
                <w:bCs/>
                <w:color w:val="000000"/>
                <w:sz w:val="20"/>
                <w:szCs w:val="20"/>
                <w:lang w:bidi="ar"/>
              </w:rPr>
            </w:pPr>
            <w:r w:rsidRPr="0039017F">
              <w:rPr>
                <w:rFonts w:ascii="Times New Roman" w:eastAsia="宋体" w:hAnsi="Times New Roman" w:cs="Times New Roman"/>
                <w:b/>
                <w:bCs/>
                <w:color w:val="000000"/>
                <w:sz w:val="20"/>
                <w:szCs w:val="20"/>
                <w:lang w:bidi="ar"/>
              </w:rPr>
              <w:t>Variables</w:t>
            </w:r>
          </w:p>
        </w:tc>
        <w:tc>
          <w:tcPr>
            <w:tcW w:w="2371" w:type="pct"/>
            <w:tcBorders>
              <w:top w:val="single" w:sz="12" w:space="0" w:color="auto"/>
              <w:left w:val="nil"/>
              <w:bottom w:val="single" w:sz="8" w:space="0" w:color="auto"/>
              <w:right w:val="nil"/>
            </w:tcBorders>
            <w:vAlign w:val="center"/>
          </w:tcPr>
          <w:p w14:paraId="49B56F8D" w14:textId="77777777" w:rsidR="004124F2" w:rsidRPr="0039017F" w:rsidRDefault="004124F2" w:rsidP="004124F2">
            <w:pPr>
              <w:adjustRightInd w:val="0"/>
              <w:snapToGrid w:val="0"/>
              <w:jc w:val="center"/>
              <w:textAlignment w:val="center"/>
              <w:rPr>
                <w:rFonts w:ascii="Times New Roman" w:eastAsia="宋体" w:hAnsi="Times New Roman" w:cs="Times New Roman"/>
                <w:b/>
                <w:bCs/>
                <w:color w:val="000000"/>
                <w:sz w:val="20"/>
                <w:szCs w:val="20"/>
                <w:lang w:bidi="ar"/>
              </w:rPr>
            </w:pPr>
            <w:r w:rsidRPr="0039017F">
              <w:rPr>
                <w:rFonts w:ascii="Times New Roman" w:eastAsia="宋体" w:hAnsi="Times New Roman" w:cs="Times New Roman"/>
                <w:b/>
                <w:bCs/>
                <w:color w:val="000000"/>
                <w:sz w:val="20"/>
                <w:szCs w:val="20"/>
              </w:rPr>
              <w:t>Calculation method</w:t>
            </w:r>
          </w:p>
        </w:tc>
        <w:tc>
          <w:tcPr>
            <w:tcW w:w="549" w:type="pct"/>
            <w:tcBorders>
              <w:top w:val="single" w:sz="12" w:space="0" w:color="auto"/>
              <w:left w:val="nil"/>
              <w:bottom w:val="single" w:sz="8" w:space="0" w:color="auto"/>
              <w:right w:val="nil"/>
            </w:tcBorders>
            <w:vAlign w:val="center"/>
          </w:tcPr>
          <w:p w14:paraId="5085607E" w14:textId="77777777" w:rsidR="004124F2" w:rsidRPr="0039017F" w:rsidRDefault="004124F2" w:rsidP="004124F2">
            <w:pPr>
              <w:adjustRightInd w:val="0"/>
              <w:snapToGrid w:val="0"/>
              <w:jc w:val="center"/>
              <w:textAlignment w:val="center"/>
              <w:rPr>
                <w:rFonts w:ascii="Times New Roman" w:eastAsia="宋体" w:hAnsi="Times New Roman" w:cs="Times New Roman"/>
                <w:b/>
                <w:bCs/>
                <w:color w:val="000000"/>
                <w:sz w:val="20"/>
                <w:szCs w:val="20"/>
              </w:rPr>
            </w:pPr>
            <w:r w:rsidRPr="0039017F">
              <w:rPr>
                <w:rFonts w:ascii="Times New Roman" w:eastAsia="宋体" w:hAnsi="Times New Roman" w:cs="Times New Roman"/>
                <w:b/>
                <w:bCs/>
                <w:color w:val="000000"/>
                <w:sz w:val="20"/>
                <w:szCs w:val="20"/>
              </w:rPr>
              <w:t>Variable sign</w:t>
            </w:r>
          </w:p>
        </w:tc>
        <w:tc>
          <w:tcPr>
            <w:tcW w:w="460" w:type="pct"/>
            <w:tcBorders>
              <w:top w:val="single" w:sz="12" w:space="0" w:color="auto"/>
              <w:left w:val="nil"/>
              <w:bottom w:val="single" w:sz="8" w:space="0" w:color="auto"/>
              <w:right w:val="nil"/>
            </w:tcBorders>
            <w:vAlign w:val="center"/>
          </w:tcPr>
          <w:p w14:paraId="27D3ADAC" w14:textId="77777777" w:rsidR="004124F2" w:rsidRPr="0039017F" w:rsidRDefault="004124F2" w:rsidP="004124F2">
            <w:pPr>
              <w:adjustRightInd w:val="0"/>
              <w:snapToGrid w:val="0"/>
              <w:jc w:val="center"/>
              <w:textAlignment w:val="center"/>
              <w:rPr>
                <w:rFonts w:ascii="Times New Roman" w:eastAsia="宋体" w:hAnsi="Times New Roman" w:cs="Times New Roman"/>
                <w:b/>
                <w:bCs/>
                <w:i/>
                <w:iCs/>
                <w:color w:val="000000"/>
                <w:sz w:val="20"/>
                <w:szCs w:val="20"/>
              </w:rPr>
            </w:pPr>
            <w:r w:rsidRPr="0039017F">
              <w:rPr>
                <w:rFonts w:ascii="Times New Roman" w:eastAsia="宋体" w:hAnsi="Times New Roman" w:cs="Times New Roman"/>
                <w:b/>
                <w:bCs/>
                <w:i/>
                <w:iCs/>
                <w:color w:val="000000"/>
                <w:sz w:val="20"/>
                <w:szCs w:val="20"/>
              </w:rPr>
              <w:t>TOL</w:t>
            </w:r>
          </w:p>
        </w:tc>
        <w:tc>
          <w:tcPr>
            <w:tcW w:w="460" w:type="pct"/>
            <w:tcBorders>
              <w:top w:val="single" w:sz="12" w:space="0" w:color="auto"/>
              <w:left w:val="nil"/>
              <w:bottom w:val="single" w:sz="8" w:space="0" w:color="auto"/>
              <w:right w:val="nil"/>
            </w:tcBorders>
            <w:vAlign w:val="center"/>
          </w:tcPr>
          <w:p w14:paraId="7EBA6889" w14:textId="77777777" w:rsidR="004124F2" w:rsidRPr="0039017F" w:rsidRDefault="004124F2" w:rsidP="004124F2">
            <w:pPr>
              <w:adjustRightInd w:val="0"/>
              <w:snapToGrid w:val="0"/>
              <w:jc w:val="center"/>
              <w:textAlignment w:val="center"/>
              <w:rPr>
                <w:rFonts w:ascii="Times New Roman" w:eastAsia="宋体" w:hAnsi="Times New Roman" w:cs="Times New Roman"/>
                <w:b/>
                <w:bCs/>
                <w:i/>
                <w:iCs/>
                <w:color w:val="000000"/>
                <w:sz w:val="20"/>
                <w:szCs w:val="20"/>
              </w:rPr>
            </w:pPr>
            <w:r w:rsidRPr="0039017F">
              <w:rPr>
                <w:rFonts w:ascii="Times New Roman" w:eastAsia="宋体" w:hAnsi="Times New Roman" w:cs="Times New Roman"/>
                <w:b/>
                <w:bCs/>
                <w:i/>
                <w:iCs/>
                <w:color w:val="000000"/>
                <w:sz w:val="20"/>
                <w:szCs w:val="20"/>
              </w:rPr>
              <w:t>VIF</w:t>
            </w:r>
          </w:p>
        </w:tc>
      </w:tr>
      <w:tr w:rsidR="004124F2" w:rsidRPr="0039017F" w14:paraId="10885F25" w14:textId="77777777" w:rsidTr="004124F2">
        <w:trPr>
          <w:trHeight w:val="554"/>
          <w:jc w:val="center"/>
        </w:trPr>
        <w:tc>
          <w:tcPr>
            <w:tcW w:w="1161" w:type="pct"/>
            <w:tcBorders>
              <w:top w:val="single" w:sz="8" w:space="0" w:color="auto"/>
            </w:tcBorders>
            <w:vAlign w:val="center"/>
          </w:tcPr>
          <w:p w14:paraId="28206EAF"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Population density</w:t>
            </w:r>
          </w:p>
        </w:tc>
        <w:tc>
          <w:tcPr>
            <w:tcW w:w="2371" w:type="pct"/>
            <w:tcBorders>
              <w:top w:val="single" w:sz="8" w:space="0" w:color="auto"/>
              <w:left w:val="nil"/>
              <w:right w:val="nil"/>
            </w:tcBorders>
            <w:vAlign w:val="center"/>
          </w:tcPr>
          <w:p w14:paraId="7F43048A"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Population per unit regional area</w:t>
            </w:r>
          </w:p>
        </w:tc>
        <w:tc>
          <w:tcPr>
            <w:tcW w:w="549" w:type="pct"/>
            <w:tcBorders>
              <w:top w:val="single" w:sz="8" w:space="0" w:color="auto"/>
              <w:left w:val="nil"/>
              <w:right w:val="nil"/>
            </w:tcBorders>
            <w:vAlign w:val="center"/>
          </w:tcPr>
          <w:p w14:paraId="49122196"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top w:val="single" w:sz="8" w:space="0" w:color="auto"/>
              <w:left w:val="nil"/>
              <w:right w:val="nil"/>
            </w:tcBorders>
            <w:vAlign w:val="center"/>
          </w:tcPr>
          <w:p w14:paraId="579F5048"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.621</w:t>
            </w:r>
          </w:p>
        </w:tc>
        <w:tc>
          <w:tcPr>
            <w:tcW w:w="460" w:type="pct"/>
            <w:tcBorders>
              <w:top w:val="single" w:sz="8" w:space="0" w:color="auto"/>
              <w:left w:val="nil"/>
              <w:right w:val="nil"/>
            </w:tcBorders>
            <w:vAlign w:val="center"/>
          </w:tcPr>
          <w:p w14:paraId="15D7BD5D"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.611</w:t>
            </w:r>
          </w:p>
        </w:tc>
      </w:tr>
      <w:tr w:rsidR="004124F2" w:rsidRPr="0039017F" w14:paraId="325511DD" w14:textId="77777777" w:rsidTr="004124F2">
        <w:trPr>
          <w:trHeight w:val="554"/>
          <w:jc w:val="center"/>
        </w:trPr>
        <w:tc>
          <w:tcPr>
            <w:tcW w:w="1161" w:type="pct"/>
            <w:vAlign w:val="center"/>
          </w:tcPr>
          <w:p w14:paraId="5AB6D76C"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 xml:space="preserve">Marketization </w:t>
            </w:r>
          </w:p>
        </w:tc>
        <w:tc>
          <w:tcPr>
            <w:tcW w:w="2371" w:type="pct"/>
            <w:tcBorders>
              <w:left w:val="nil"/>
              <w:bottom w:val="nil"/>
              <w:right w:val="nil"/>
            </w:tcBorders>
            <w:vAlign w:val="center"/>
          </w:tcPr>
          <w:p w14:paraId="337320ED"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Number of urban workers employed by the private sector or self-employed as a proportion of the total workers</w:t>
            </w:r>
          </w:p>
        </w:tc>
        <w:tc>
          <w:tcPr>
            <w:tcW w:w="549" w:type="pct"/>
            <w:tcBorders>
              <w:left w:val="nil"/>
              <w:bottom w:val="nil"/>
              <w:right w:val="nil"/>
            </w:tcBorders>
            <w:vAlign w:val="center"/>
          </w:tcPr>
          <w:p w14:paraId="62C30401"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left w:val="nil"/>
              <w:bottom w:val="nil"/>
              <w:right w:val="nil"/>
            </w:tcBorders>
          </w:tcPr>
          <w:p w14:paraId="6E7D8762"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.625</w:t>
            </w:r>
          </w:p>
        </w:tc>
        <w:tc>
          <w:tcPr>
            <w:tcW w:w="460" w:type="pct"/>
            <w:tcBorders>
              <w:left w:val="nil"/>
              <w:bottom w:val="nil"/>
              <w:right w:val="nil"/>
            </w:tcBorders>
          </w:tcPr>
          <w:p w14:paraId="60BF9F74"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.599</w:t>
            </w:r>
          </w:p>
        </w:tc>
      </w:tr>
      <w:tr w:rsidR="004124F2" w:rsidRPr="0039017F" w14:paraId="4A2005AE" w14:textId="77777777" w:rsidTr="004124F2">
        <w:trPr>
          <w:trHeight w:val="554"/>
          <w:jc w:val="center"/>
        </w:trPr>
        <w:tc>
          <w:tcPr>
            <w:tcW w:w="1161" w:type="pct"/>
            <w:vAlign w:val="center"/>
          </w:tcPr>
          <w:p w14:paraId="049B1445"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 xml:space="preserve">Fiscal decentralization </w:t>
            </w:r>
          </w:p>
        </w:tc>
        <w:tc>
          <w:tcPr>
            <w:tcW w:w="2371" w:type="pct"/>
            <w:tcBorders>
              <w:top w:val="nil"/>
              <w:left w:val="nil"/>
              <w:right w:val="nil"/>
            </w:tcBorders>
            <w:vAlign w:val="center"/>
          </w:tcPr>
          <w:p w14:paraId="4C654B65"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Local fiscal revenue</w:t>
            </w:r>
            <w:r w:rsidRPr="0039017F">
              <w:t xml:space="preserve"> </w:t>
            </w:r>
            <w:r w:rsidRPr="0039017F">
              <w:rPr>
                <w:rFonts w:ascii="Times New Roman" w:eastAsia="宋体" w:hAnsi="Times New Roman" w:cs="Times New Roman"/>
                <w:sz w:val="20"/>
                <w:szCs w:val="20"/>
              </w:rPr>
              <w:t>divided by regional GDP</w:t>
            </w:r>
          </w:p>
        </w:tc>
        <w:tc>
          <w:tcPr>
            <w:tcW w:w="549" w:type="pct"/>
            <w:tcBorders>
              <w:top w:val="nil"/>
              <w:left w:val="nil"/>
              <w:right w:val="nil"/>
            </w:tcBorders>
            <w:vAlign w:val="center"/>
          </w:tcPr>
          <w:p w14:paraId="650A4199"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top w:val="nil"/>
              <w:left w:val="nil"/>
              <w:right w:val="nil"/>
            </w:tcBorders>
          </w:tcPr>
          <w:p w14:paraId="5583779A"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.731</w:t>
            </w:r>
          </w:p>
        </w:tc>
        <w:tc>
          <w:tcPr>
            <w:tcW w:w="460" w:type="pct"/>
            <w:tcBorders>
              <w:top w:val="nil"/>
              <w:left w:val="nil"/>
              <w:right w:val="nil"/>
            </w:tcBorders>
          </w:tcPr>
          <w:p w14:paraId="2F9033CD"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.368</w:t>
            </w:r>
          </w:p>
        </w:tc>
      </w:tr>
      <w:tr w:rsidR="004124F2" w:rsidRPr="0039017F" w14:paraId="6CD9D897" w14:textId="77777777" w:rsidTr="004124F2">
        <w:trPr>
          <w:trHeight w:val="554"/>
          <w:jc w:val="center"/>
        </w:trPr>
        <w:tc>
          <w:tcPr>
            <w:tcW w:w="1161" w:type="pct"/>
            <w:vAlign w:val="center"/>
          </w:tcPr>
          <w:p w14:paraId="4986C59E"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Industrialization</w:t>
            </w:r>
          </w:p>
        </w:tc>
        <w:tc>
          <w:tcPr>
            <w:tcW w:w="2371" w:type="pct"/>
            <w:tcBorders>
              <w:top w:val="nil"/>
              <w:left w:val="nil"/>
              <w:bottom w:val="nil"/>
              <w:right w:val="nil"/>
            </w:tcBorders>
          </w:tcPr>
          <w:p w14:paraId="52581D55"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Value added by secondary industries divided by regional GDP</w:t>
            </w:r>
          </w:p>
        </w:tc>
        <w:tc>
          <w:tcPr>
            <w:tcW w:w="549" w:type="pct"/>
            <w:tcBorders>
              <w:top w:val="nil"/>
              <w:left w:val="nil"/>
              <w:bottom w:val="nil"/>
              <w:right w:val="nil"/>
            </w:tcBorders>
          </w:tcPr>
          <w:p w14:paraId="196A250A"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rPr>
              <w:t>+</w:t>
            </w:r>
          </w:p>
        </w:tc>
        <w:tc>
          <w:tcPr>
            <w:tcW w:w="460" w:type="pct"/>
            <w:tcBorders>
              <w:top w:val="nil"/>
              <w:left w:val="nil"/>
              <w:bottom w:val="nil"/>
              <w:right w:val="nil"/>
            </w:tcBorders>
          </w:tcPr>
          <w:p w14:paraId="181BBE56"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.331</w:t>
            </w:r>
          </w:p>
        </w:tc>
        <w:tc>
          <w:tcPr>
            <w:tcW w:w="460" w:type="pct"/>
            <w:tcBorders>
              <w:top w:val="nil"/>
              <w:left w:val="nil"/>
              <w:bottom w:val="nil"/>
              <w:right w:val="nil"/>
            </w:tcBorders>
          </w:tcPr>
          <w:p w14:paraId="7B61AA94"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3</w:t>
            </w:r>
            <w:r w:rsidRPr="0039017F">
              <w:rPr>
                <w:rFonts w:ascii="Times New Roman" w:eastAsia="宋体" w:hAnsi="Times New Roman" w:cs="Times New Roman"/>
                <w:sz w:val="20"/>
                <w:szCs w:val="20"/>
              </w:rPr>
              <w:t>.020</w:t>
            </w:r>
          </w:p>
        </w:tc>
      </w:tr>
      <w:tr w:rsidR="004124F2" w:rsidRPr="0039017F" w14:paraId="7CF631C0" w14:textId="77777777" w:rsidTr="004124F2">
        <w:trPr>
          <w:trHeight w:val="554"/>
          <w:jc w:val="center"/>
        </w:trPr>
        <w:tc>
          <w:tcPr>
            <w:tcW w:w="1161" w:type="pct"/>
            <w:vAlign w:val="center"/>
          </w:tcPr>
          <w:p w14:paraId="7C56F730"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Industrial upgrading</w:t>
            </w:r>
          </w:p>
        </w:tc>
        <w:tc>
          <w:tcPr>
            <w:tcW w:w="2371" w:type="pct"/>
            <w:tcBorders>
              <w:top w:val="nil"/>
              <w:left w:val="nil"/>
              <w:bottom w:val="nil"/>
              <w:right w:val="nil"/>
            </w:tcBorders>
            <w:vAlign w:val="center"/>
          </w:tcPr>
          <w:p w14:paraId="2F55E0A7"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Value added by tertiary industries divided by regional GDP</w:t>
            </w:r>
          </w:p>
        </w:tc>
        <w:tc>
          <w:tcPr>
            <w:tcW w:w="549" w:type="pct"/>
            <w:tcBorders>
              <w:top w:val="nil"/>
              <w:left w:val="nil"/>
              <w:bottom w:val="nil"/>
              <w:right w:val="nil"/>
            </w:tcBorders>
            <w:vAlign w:val="center"/>
          </w:tcPr>
          <w:p w14:paraId="0C983605"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top w:val="nil"/>
              <w:left w:val="nil"/>
              <w:bottom w:val="nil"/>
              <w:right w:val="nil"/>
            </w:tcBorders>
          </w:tcPr>
          <w:p w14:paraId="465D1F01"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.247</w:t>
            </w:r>
          </w:p>
        </w:tc>
        <w:tc>
          <w:tcPr>
            <w:tcW w:w="460" w:type="pct"/>
            <w:tcBorders>
              <w:top w:val="nil"/>
              <w:left w:val="nil"/>
              <w:bottom w:val="nil"/>
              <w:right w:val="nil"/>
            </w:tcBorders>
          </w:tcPr>
          <w:p w14:paraId="7D7B443F"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4</w:t>
            </w:r>
            <w:r w:rsidRPr="0039017F">
              <w:rPr>
                <w:rFonts w:ascii="Times New Roman" w:eastAsia="宋体" w:hAnsi="Times New Roman" w:cs="Times New Roman"/>
                <w:sz w:val="20"/>
                <w:szCs w:val="20"/>
              </w:rPr>
              <w:t>.043</w:t>
            </w:r>
          </w:p>
        </w:tc>
      </w:tr>
      <w:tr w:rsidR="004124F2" w:rsidRPr="0039017F" w14:paraId="3E4608F7" w14:textId="77777777" w:rsidTr="004124F2">
        <w:trPr>
          <w:trHeight w:val="554"/>
          <w:jc w:val="center"/>
        </w:trPr>
        <w:tc>
          <w:tcPr>
            <w:tcW w:w="1161" w:type="pct"/>
            <w:vAlign w:val="center"/>
          </w:tcPr>
          <w:p w14:paraId="0BDF7F2D"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Infrastructure</w:t>
            </w:r>
          </w:p>
        </w:tc>
        <w:tc>
          <w:tcPr>
            <w:tcW w:w="2371" w:type="pct"/>
            <w:tcBorders>
              <w:left w:val="nil"/>
              <w:bottom w:val="nil"/>
              <w:right w:val="nil"/>
            </w:tcBorders>
            <w:vAlign w:val="center"/>
          </w:tcPr>
          <w:p w14:paraId="181E8E88"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Length of road divided by the urban population</w:t>
            </w:r>
          </w:p>
        </w:tc>
        <w:tc>
          <w:tcPr>
            <w:tcW w:w="549" w:type="pct"/>
            <w:tcBorders>
              <w:left w:val="nil"/>
              <w:bottom w:val="nil"/>
              <w:right w:val="nil"/>
            </w:tcBorders>
            <w:vAlign w:val="center"/>
          </w:tcPr>
          <w:p w14:paraId="674EBF2F"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left w:val="nil"/>
              <w:bottom w:val="nil"/>
              <w:right w:val="nil"/>
            </w:tcBorders>
            <w:vAlign w:val="center"/>
          </w:tcPr>
          <w:p w14:paraId="53096EBA"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.694</w:t>
            </w:r>
          </w:p>
        </w:tc>
        <w:tc>
          <w:tcPr>
            <w:tcW w:w="460" w:type="pct"/>
            <w:tcBorders>
              <w:left w:val="nil"/>
              <w:bottom w:val="nil"/>
              <w:right w:val="nil"/>
            </w:tcBorders>
            <w:vAlign w:val="center"/>
          </w:tcPr>
          <w:p w14:paraId="2BE9AAB1"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.441</w:t>
            </w:r>
          </w:p>
        </w:tc>
      </w:tr>
      <w:tr w:rsidR="004124F2" w:rsidRPr="0039017F" w14:paraId="1DE169DE" w14:textId="77777777" w:rsidTr="004124F2">
        <w:trPr>
          <w:trHeight w:val="554"/>
          <w:jc w:val="center"/>
        </w:trPr>
        <w:tc>
          <w:tcPr>
            <w:tcW w:w="1161" w:type="pct"/>
            <w:vAlign w:val="center"/>
          </w:tcPr>
          <w:p w14:paraId="1FD2BC35"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Basic education</w:t>
            </w:r>
          </w:p>
        </w:tc>
        <w:tc>
          <w:tcPr>
            <w:tcW w:w="2371" w:type="pct"/>
            <w:tcBorders>
              <w:top w:val="nil"/>
              <w:left w:val="nil"/>
              <w:bottom w:val="nil"/>
              <w:right w:val="nil"/>
            </w:tcBorders>
            <w:vAlign w:val="center"/>
          </w:tcPr>
          <w:p w14:paraId="728AF3E0"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Number of students who have completed higher education school (college or university) divided by the total population</w:t>
            </w:r>
          </w:p>
        </w:tc>
        <w:tc>
          <w:tcPr>
            <w:tcW w:w="549" w:type="pct"/>
            <w:tcBorders>
              <w:top w:val="nil"/>
              <w:left w:val="nil"/>
              <w:bottom w:val="nil"/>
              <w:right w:val="nil"/>
            </w:tcBorders>
            <w:vAlign w:val="center"/>
          </w:tcPr>
          <w:p w14:paraId="57BAC22C"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top w:val="nil"/>
              <w:left w:val="nil"/>
              <w:bottom w:val="nil"/>
              <w:right w:val="nil"/>
            </w:tcBorders>
            <w:vAlign w:val="center"/>
          </w:tcPr>
          <w:p w14:paraId="32B7FE1B"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.582</w:t>
            </w:r>
          </w:p>
        </w:tc>
        <w:tc>
          <w:tcPr>
            <w:tcW w:w="460" w:type="pct"/>
            <w:tcBorders>
              <w:top w:val="nil"/>
              <w:left w:val="nil"/>
              <w:bottom w:val="nil"/>
              <w:right w:val="nil"/>
            </w:tcBorders>
            <w:vAlign w:val="center"/>
          </w:tcPr>
          <w:p w14:paraId="579C2FC4"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.717</w:t>
            </w:r>
          </w:p>
        </w:tc>
      </w:tr>
      <w:tr w:rsidR="004124F2" w:rsidRPr="0039017F" w14:paraId="47E272FF" w14:textId="77777777" w:rsidTr="004124F2">
        <w:trPr>
          <w:trHeight w:val="554"/>
          <w:jc w:val="center"/>
        </w:trPr>
        <w:tc>
          <w:tcPr>
            <w:tcW w:w="1161" w:type="pct"/>
            <w:vAlign w:val="center"/>
          </w:tcPr>
          <w:p w14:paraId="6BA72032"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rPr>
              <w:t>Medical level</w:t>
            </w:r>
          </w:p>
        </w:tc>
        <w:tc>
          <w:tcPr>
            <w:tcW w:w="2371" w:type="pct"/>
            <w:tcBorders>
              <w:top w:val="nil"/>
              <w:left w:val="nil"/>
              <w:bottom w:val="nil"/>
              <w:right w:val="nil"/>
            </w:tcBorders>
            <w:vAlign w:val="center"/>
          </w:tcPr>
          <w:p w14:paraId="058B0100"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Number of hospital beds divided by the total population</w:t>
            </w:r>
          </w:p>
        </w:tc>
        <w:tc>
          <w:tcPr>
            <w:tcW w:w="549" w:type="pct"/>
            <w:tcBorders>
              <w:top w:val="nil"/>
              <w:left w:val="nil"/>
              <w:bottom w:val="nil"/>
              <w:right w:val="nil"/>
            </w:tcBorders>
            <w:vAlign w:val="center"/>
          </w:tcPr>
          <w:p w14:paraId="40B20097"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top w:val="nil"/>
              <w:left w:val="nil"/>
              <w:bottom w:val="nil"/>
              <w:right w:val="nil"/>
            </w:tcBorders>
            <w:vAlign w:val="center"/>
          </w:tcPr>
          <w:p w14:paraId="07CD856A"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.614</w:t>
            </w:r>
          </w:p>
        </w:tc>
        <w:tc>
          <w:tcPr>
            <w:tcW w:w="460" w:type="pct"/>
            <w:tcBorders>
              <w:top w:val="nil"/>
              <w:left w:val="nil"/>
              <w:bottom w:val="nil"/>
              <w:right w:val="nil"/>
            </w:tcBorders>
            <w:vAlign w:val="center"/>
          </w:tcPr>
          <w:p w14:paraId="7283DDD7"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.629</w:t>
            </w:r>
          </w:p>
        </w:tc>
      </w:tr>
      <w:tr w:rsidR="004124F2" w:rsidRPr="0039017F" w14:paraId="07917B76" w14:textId="77777777" w:rsidTr="004124F2">
        <w:trPr>
          <w:trHeight w:val="554"/>
          <w:jc w:val="center"/>
        </w:trPr>
        <w:tc>
          <w:tcPr>
            <w:tcW w:w="1161" w:type="pct"/>
            <w:tcBorders>
              <w:bottom w:val="single" w:sz="12" w:space="0" w:color="auto"/>
            </w:tcBorders>
            <w:vAlign w:val="center"/>
          </w:tcPr>
          <w:p w14:paraId="55627E12"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color w:val="000000" w:themeColor="text1"/>
              </w:rPr>
              <w:t>Environmental pollution</w:t>
            </w:r>
          </w:p>
        </w:tc>
        <w:tc>
          <w:tcPr>
            <w:tcW w:w="2371" w:type="pct"/>
            <w:tcBorders>
              <w:top w:val="nil"/>
              <w:left w:val="nil"/>
              <w:bottom w:val="single" w:sz="12" w:space="0" w:color="auto"/>
              <w:right w:val="nil"/>
            </w:tcBorders>
            <w:vAlign w:val="center"/>
          </w:tcPr>
          <w:p w14:paraId="3E8B65C9" w14:textId="77777777" w:rsidR="004124F2" w:rsidRPr="0039017F" w:rsidRDefault="004124F2" w:rsidP="004124F2">
            <w:pPr>
              <w:adjustRightInd w:val="0"/>
              <w:snapToGrid w:val="0"/>
              <w:jc w:val="left"/>
              <w:rPr>
                <w:rFonts w:ascii="Times New Roman" w:eastAsia="宋体" w:hAnsi="Times New Roman" w:cs="Times New Roman"/>
                <w:sz w:val="20"/>
                <w:szCs w:val="20"/>
              </w:rPr>
            </w:pPr>
            <w:r w:rsidRPr="0039017F">
              <w:rPr>
                <w:rFonts w:ascii="Times New Roman" w:eastAsia="宋体" w:hAnsi="Times New Roman" w:cs="Times New Roman"/>
                <w:sz w:val="20"/>
                <w:szCs w:val="20"/>
              </w:rPr>
              <w:t xml:space="preserve">Total emissions of three industrial </w:t>
            </w:r>
            <w:proofErr w:type="gramStart"/>
            <w:r w:rsidRPr="0039017F">
              <w:rPr>
                <w:rFonts w:ascii="Times New Roman" w:eastAsia="宋体" w:hAnsi="Times New Roman" w:cs="Times New Roman"/>
                <w:sz w:val="20"/>
                <w:szCs w:val="20"/>
              </w:rPr>
              <w:t>wastes(</w:t>
            </w:r>
            <w:proofErr w:type="gramEnd"/>
            <w:r w:rsidRPr="0039017F">
              <w:rPr>
                <w:rFonts w:ascii="Times New Roman" w:eastAsia="宋体" w:hAnsi="Times New Roman" w:cs="Times New Roman"/>
                <w:sz w:val="20"/>
                <w:szCs w:val="20"/>
              </w:rPr>
              <w:t>Industrial dust, industrial wastewater and industrial sulfur dioxide) divided by the total population</w:t>
            </w:r>
          </w:p>
        </w:tc>
        <w:tc>
          <w:tcPr>
            <w:tcW w:w="549" w:type="pct"/>
            <w:tcBorders>
              <w:top w:val="nil"/>
              <w:left w:val="nil"/>
              <w:bottom w:val="single" w:sz="12" w:space="0" w:color="auto"/>
              <w:right w:val="nil"/>
            </w:tcBorders>
            <w:vAlign w:val="center"/>
          </w:tcPr>
          <w:p w14:paraId="04CCA36B"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sz w:val="20"/>
                <w:szCs w:val="20"/>
              </w:rPr>
              <w:t>–</w:t>
            </w:r>
          </w:p>
        </w:tc>
        <w:tc>
          <w:tcPr>
            <w:tcW w:w="460" w:type="pct"/>
            <w:tcBorders>
              <w:top w:val="nil"/>
              <w:left w:val="nil"/>
              <w:bottom w:val="single" w:sz="12" w:space="0" w:color="auto"/>
              <w:right w:val="nil"/>
            </w:tcBorders>
            <w:vAlign w:val="center"/>
          </w:tcPr>
          <w:p w14:paraId="39A5F9B7"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0</w:t>
            </w:r>
            <w:r w:rsidRPr="0039017F">
              <w:rPr>
                <w:rFonts w:ascii="Times New Roman" w:eastAsia="宋体" w:hAnsi="Times New Roman" w:cs="Times New Roman"/>
                <w:sz w:val="20"/>
                <w:szCs w:val="20"/>
              </w:rPr>
              <w:t>.868</w:t>
            </w:r>
          </w:p>
        </w:tc>
        <w:tc>
          <w:tcPr>
            <w:tcW w:w="460" w:type="pct"/>
            <w:tcBorders>
              <w:top w:val="nil"/>
              <w:left w:val="nil"/>
              <w:bottom w:val="single" w:sz="12" w:space="0" w:color="auto"/>
              <w:right w:val="nil"/>
            </w:tcBorders>
            <w:vAlign w:val="center"/>
          </w:tcPr>
          <w:p w14:paraId="2F69C403" w14:textId="77777777" w:rsidR="004124F2" w:rsidRPr="0039017F" w:rsidRDefault="004124F2" w:rsidP="004124F2">
            <w:pPr>
              <w:adjustRightInd w:val="0"/>
              <w:snapToGrid w:val="0"/>
              <w:jc w:val="center"/>
              <w:rPr>
                <w:rFonts w:ascii="Times New Roman" w:eastAsia="宋体" w:hAnsi="Times New Roman" w:cs="Times New Roman"/>
                <w:sz w:val="20"/>
                <w:szCs w:val="20"/>
              </w:rPr>
            </w:pPr>
            <w:r w:rsidRPr="0039017F">
              <w:rPr>
                <w:rFonts w:ascii="Times New Roman" w:eastAsia="宋体" w:hAnsi="Times New Roman" w:cs="Times New Roman" w:hint="eastAsia"/>
                <w:sz w:val="20"/>
                <w:szCs w:val="20"/>
              </w:rPr>
              <w:t>1</w:t>
            </w:r>
            <w:r w:rsidRPr="0039017F">
              <w:rPr>
                <w:rFonts w:ascii="Times New Roman" w:eastAsia="宋体" w:hAnsi="Times New Roman" w:cs="Times New Roman"/>
                <w:sz w:val="20"/>
                <w:szCs w:val="20"/>
              </w:rPr>
              <w:t>.152</w:t>
            </w:r>
          </w:p>
        </w:tc>
      </w:tr>
    </w:tbl>
    <w:p w14:paraId="733A2592" w14:textId="77777777" w:rsidR="004124F2" w:rsidRPr="0039017F" w:rsidRDefault="004124F2" w:rsidP="004124F2">
      <w:pPr>
        <w:adjustRightInd w:val="0"/>
        <w:snapToGrid w:val="0"/>
        <w:spacing w:line="360" w:lineRule="auto"/>
        <w:ind w:firstLineChars="200" w:firstLine="482"/>
        <w:rPr>
          <w:rFonts w:ascii="Times New Roman" w:eastAsia="宋体" w:hAnsi="Times New Roman" w:cs="Times New Roman"/>
          <w:b/>
          <w:bCs/>
          <w:sz w:val="24"/>
          <w:szCs w:val="24"/>
        </w:rPr>
      </w:pPr>
      <w:r w:rsidRPr="0039017F">
        <w:rPr>
          <w:rFonts w:ascii="Times New Roman" w:eastAsia="宋体" w:hAnsi="Times New Roman" w:cs="Times New Roman"/>
          <w:b/>
          <w:bCs/>
          <w:sz w:val="24"/>
          <w:szCs w:val="24"/>
        </w:rPr>
        <w:br w:type="page"/>
      </w:r>
    </w:p>
    <w:p w14:paraId="18C04BBA" w14:textId="77777777" w:rsidR="004124F2" w:rsidRPr="0039017F" w:rsidRDefault="004124F2" w:rsidP="004124F2">
      <w:pPr>
        <w:widowControl/>
        <w:adjustRightInd w:val="0"/>
        <w:snapToGrid w:val="0"/>
        <w:spacing w:line="360" w:lineRule="auto"/>
        <w:rPr>
          <w:rFonts w:ascii="Times New Roman" w:eastAsia="宋体" w:hAnsi="Times New Roman" w:cs="Times New Roman"/>
          <w:sz w:val="24"/>
          <w:szCs w:val="24"/>
          <w:lang w:bidi="mn-Mong-CN"/>
        </w:rPr>
      </w:pPr>
      <w:r w:rsidRPr="0039017F">
        <w:rPr>
          <w:rFonts w:ascii="Times New Roman" w:eastAsia="宋体" w:hAnsi="Times New Roman" w:cs="Times New Roman"/>
          <w:sz w:val="24"/>
          <w:szCs w:val="24"/>
          <w:lang w:bidi="mn-Mong-CN"/>
        </w:rPr>
        <w:lastRenderedPageBreak/>
        <w:t>Supplemental Figure S1: Spatial distribution of the 286 prefecture-level cities included in the study.</w:t>
      </w:r>
    </w:p>
    <w:p w14:paraId="2425D173" w14:textId="753C4660" w:rsidR="004124F2" w:rsidRDefault="004124F2" w:rsidP="004124F2">
      <w:pPr>
        <w:adjustRightInd w:val="0"/>
        <w:snapToGrid w:val="0"/>
        <w:jc w:val="center"/>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65F2A0BB" wp14:editId="280D0DB6">
            <wp:extent cx="4449600" cy="3147158"/>
            <wp:effectExtent l="0" t="0" r="8255" b="0"/>
            <wp:docPr id="1" name="图片 1"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地图&#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59008" cy="3153812"/>
                    </a:xfrm>
                    <a:prstGeom prst="rect">
                      <a:avLst/>
                    </a:prstGeom>
                  </pic:spPr>
                </pic:pic>
              </a:graphicData>
            </a:graphic>
          </wp:inline>
        </w:drawing>
      </w:r>
    </w:p>
    <w:p w14:paraId="2464D473" w14:textId="77777777" w:rsidR="004124F2" w:rsidRPr="0039017F" w:rsidRDefault="004124F2" w:rsidP="004124F2">
      <w:pPr>
        <w:adjustRightInd w:val="0"/>
        <w:snapToGrid w:val="0"/>
        <w:jc w:val="center"/>
        <w:rPr>
          <w:rFonts w:ascii="Times New Roman" w:eastAsia="宋体" w:hAnsi="Times New Roman" w:cs="Times New Roman" w:hint="eastAsia"/>
          <w:szCs w:val="21"/>
        </w:rPr>
      </w:pPr>
    </w:p>
    <w:p w14:paraId="245A052C" w14:textId="77777777" w:rsidR="004124F2" w:rsidRPr="0039017F" w:rsidRDefault="004124F2" w:rsidP="004124F2">
      <w:pPr>
        <w:widowControl/>
        <w:adjustRightInd w:val="0"/>
        <w:snapToGrid w:val="0"/>
        <w:spacing w:line="360" w:lineRule="auto"/>
        <w:rPr>
          <w:rFonts w:ascii="Times New Roman" w:eastAsia="宋体" w:hAnsi="Times New Roman" w:cs="Times New Roman"/>
          <w:sz w:val="24"/>
          <w:szCs w:val="24"/>
          <w:lang w:bidi="mn-Mong-CN"/>
        </w:rPr>
      </w:pPr>
      <w:r w:rsidRPr="0039017F">
        <w:rPr>
          <w:rFonts w:ascii="Times New Roman" w:eastAsia="宋体" w:hAnsi="Times New Roman" w:cs="Times New Roman"/>
          <w:sz w:val="24"/>
          <w:szCs w:val="24"/>
          <w:lang w:bidi="mn-Mong-CN"/>
        </w:rPr>
        <w:t xml:space="preserve">Supplemental Figure S2: Spatial and temporal trends of China's technological innovation level. </w:t>
      </w:r>
      <w:r w:rsidRPr="0039017F">
        <w:rPr>
          <w:rFonts w:ascii="Times New Roman" w:eastAsia="宋体" w:hAnsi="Times New Roman" w:cs="Times New Roman"/>
          <w:i/>
          <w:iCs/>
          <w:sz w:val="24"/>
          <w:szCs w:val="24"/>
          <w:lang w:bidi="mn-Mong-CN"/>
        </w:rPr>
        <w:t>D</w:t>
      </w:r>
      <w:r w:rsidRPr="0039017F">
        <w:rPr>
          <w:rFonts w:ascii="Times New Roman" w:eastAsia="宋体" w:hAnsi="Times New Roman" w:cs="Times New Roman"/>
          <w:sz w:val="24"/>
          <w:szCs w:val="24"/>
          <w:lang w:bidi="mn-Mong-CN"/>
        </w:rPr>
        <w:t>, comprehensive index of technological innovation (equation 3).</w:t>
      </w:r>
    </w:p>
    <w:p w14:paraId="2C853437" w14:textId="77777777" w:rsidR="004124F2" w:rsidRPr="0039017F" w:rsidRDefault="004124F2" w:rsidP="004124F2">
      <w:pPr>
        <w:adjustRightInd w:val="0"/>
        <w:snapToGrid w:val="0"/>
        <w:spacing w:line="360" w:lineRule="auto"/>
        <w:jc w:val="left"/>
        <w:rPr>
          <w:rFonts w:ascii="Times New Roman" w:eastAsia="宋体" w:hAnsi="Times New Roman" w:cs="Times New Roman"/>
          <w:noProof/>
          <w:sz w:val="24"/>
          <w:szCs w:val="24"/>
          <w:lang w:bidi="mn-Mong-CN"/>
        </w:rPr>
      </w:pPr>
      <w:r w:rsidRPr="0039017F">
        <w:rPr>
          <w:noProof/>
        </w:rPr>
        <w:drawing>
          <wp:inline distT="0" distB="0" distL="0" distR="0" wp14:anchorId="17D3C88D" wp14:editId="32C17D00">
            <wp:extent cx="5731510" cy="428752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4287520"/>
                    </a:xfrm>
                    <a:prstGeom prst="rect">
                      <a:avLst/>
                    </a:prstGeom>
                  </pic:spPr>
                </pic:pic>
              </a:graphicData>
            </a:graphic>
          </wp:inline>
        </w:drawing>
      </w:r>
    </w:p>
    <w:p w14:paraId="279622DD" w14:textId="77777777" w:rsidR="004124F2" w:rsidRPr="0039017F" w:rsidRDefault="004124F2" w:rsidP="004124F2">
      <w:pPr>
        <w:widowControl/>
        <w:adjustRightInd w:val="0"/>
        <w:snapToGrid w:val="0"/>
        <w:spacing w:line="360" w:lineRule="auto"/>
        <w:rPr>
          <w:rFonts w:ascii="Times New Roman" w:eastAsia="宋体" w:hAnsi="Times New Roman" w:cs="Times New Roman"/>
          <w:sz w:val="24"/>
          <w:szCs w:val="24"/>
          <w:lang w:bidi="mn-Mong-CN"/>
        </w:rPr>
      </w:pPr>
      <w:r w:rsidRPr="0039017F">
        <w:rPr>
          <w:rFonts w:ascii="Times New Roman" w:eastAsia="宋体" w:hAnsi="Times New Roman" w:cs="Times New Roman"/>
          <w:sz w:val="24"/>
          <w:szCs w:val="24"/>
          <w:lang w:bidi="mn-Mong-CN"/>
        </w:rPr>
        <w:lastRenderedPageBreak/>
        <w:t xml:space="preserve">Supplemental Figure S3: Temporal trends for </w:t>
      </w:r>
      <w:r w:rsidRPr="0039017F">
        <w:rPr>
          <w:rFonts w:ascii="Times New Roman" w:eastAsia="宋体" w:hAnsi="Times New Roman" w:cs="Times New Roman"/>
          <w:i/>
          <w:iCs/>
          <w:sz w:val="24"/>
          <w:szCs w:val="24"/>
          <w:lang w:bidi="mn-Mong-CN"/>
        </w:rPr>
        <w:t>D</w:t>
      </w:r>
      <w:r w:rsidRPr="0039017F">
        <w:rPr>
          <w:rFonts w:ascii="Times New Roman" w:eastAsia="宋体" w:hAnsi="Times New Roman" w:cs="Times New Roman"/>
          <w:sz w:val="24"/>
          <w:szCs w:val="24"/>
          <w:lang w:bidi="mn-Mong-CN"/>
        </w:rPr>
        <w:t>, the comprehensive index of technological innovation (equation 3), in China.</w:t>
      </w:r>
    </w:p>
    <w:p w14:paraId="45C44A2F" w14:textId="77777777" w:rsidR="004124F2" w:rsidRPr="0039017F" w:rsidRDefault="004124F2" w:rsidP="004124F2">
      <w:pPr>
        <w:adjustRightInd w:val="0"/>
        <w:snapToGrid w:val="0"/>
        <w:spacing w:line="360" w:lineRule="auto"/>
        <w:jc w:val="left"/>
        <w:rPr>
          <w:rFonts w:ascii="Times New Roman" w:eastAsia="宋体" w:hAnsi="Times New Roman" w:cs="Times New Roman"/>
          <w:noProof/>
          <w:sz w:val="24"/>
          <w:szCs w:val="24"/>
          <w:lang w:bidi="mn-Mong-CN"/>
        </w:rPr>
      </w:pPr>
      <w:r w:rsidRPr="0039017F">
        <w:rPr>
          <w:noProof/>
        </w:rPr>
        <w:drawing>
          <wp:inline distT="0" distB="0" distL="0" distR="0" wp14:anchorId="43E5302F" wp14:editId="4A7643FB">
            <wp:extent cx="5731510" cy="415607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156075"/>
                    </a:xfrm>
                    <a:prstGeom prst="rect">
                      <a:avLst/>
                    </a:prstGeom>
                  </pic:spPr>
                </pic:pic>
              </a:graphicData>
            </a:graphic>
          </wp:inline>
        </w:drawing>
      </w:r>
    </w:p>
    <w:p w14:paraId="165EB502" w14:textId="77777777" w:rsidR="004124F2" w:rsidRPr="0039017F" w:rsidRDefault="004124F2" w:rsidP="004124F2">
      <w:pPr>
        <w:adjustRightInd w:val="0"/>
        <w:snapToGrid w:val="0"/>
        <w:spacing w:line="480" w:lineRule="auto"/>
        <w:jc w:val="left"/>
        <w:rPr>
          <w:rFonts w:ascii="Times New Roman" w:eastAsia="宋体" w:hAnsi="Times New Roman" w:cs="Times New Roman"/>
          <w:b/>
          <w:bCs/>
          <w:sz w:val="24"/>
          <w:szCs w:val="24"/>
        </w:rPr>
      </w:pPr>
    </w:p>
    <w:p w14:paraId="4A52CF97" w14:textId="77777777" w:rsidR="004124F2" w:rsidRPr="0039017F" w:rsidRDefault="004124F2" w:rsidP="004124F2">
      <w:pPr>
        <w:adjustRightInd w:val="0"/>
        <w:snapToGrid w:val="0"/>
      </w:pPr>
    </w:p>
    <w:p w14:paraId="16A430B6" w14:textId="77777777" w:rsidR="009E5216" w:rsidRDefault="009E5216" w:rsidP="004124F2">
      <w:pPr>
        <w:adjustRightInd w:val="0"/>
        <w:snapToGrid w:val="0"/>
      </w:pPr>
    </w:p>
    <w:sectPr w:rsidR="009E5216" w:rsidSect="004124F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17CDF" w14:textId="77777777" w:rsidR="00760B88" w:rsidRDefault="00760B88" w:rsidP="004124F2">
      <w:r>
        <w:separator/>
      </w:r>
    </w:p>
  </w:endnote>
  <w:endnote w:type="continuationSeparator" w:id="0">
    <w:p w14:paraId="493FC401" w14:textId="77777777" w:rsidR="00760B88" w:rsidRDefault="00760B88" w:rsidP="00412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88F9" w14:textId="77777777" w:rsidR="004124F2" w:rsidRDefault="004124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5196328"/>
      <w:docPartObj>
        <w:docPartGallery w:val="Page Numbers (Bottom of Page)"/>
        <w:docPartUnique/>
      </w:docPartObj>
    </w:sdtPr>
    <w:sdtContent>
      <w:p w14:paraId="56B205ED" w14:textId="684EAD96" w:rsidR="004124F2" w:rsidRDefault="004124F2">
        <w:pPr>
          <w:pStyle w:val="a5"/>
          <w:jc w:val="center"/>
        </w:pPr>
        <w:r>
          <w:fldChar w:fldCharType="begin"/>
        </w:r>
        <w:r>
          <w:instrText>PAGE   \* MERGEFORMAT</w:instrText>
        </w:r>
        <w:r>
          <w:fldChar w:fldCharType="separate"/>
        </w:r>
        <w:r>
          <w:rPr>
            <w:lang w:val="zh-CN"/>
          </w:rPr>
          <w:t>2</w:t>
        </w:r>
        <w:r>
          <w:fldChar w:fldCharType="end"/>
        </w:r>
      </w:p>
    </w:sdtContent>
  </w:sdt>
  <w:p w14:paraId="1B3EC91D" w14:textId="77777777" w:rsidR="004124F2" w:rsidRDefault="004124F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5879" w14:textId="77777777" w:rsidR="004124F2" w:rsidRDefault="004124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09B0A" w14:textId="77777777" w:rsidR="00760B88" w:rsidRDefault="00760B88" w:rsidP="004124F2">
      <w:r>
        <w:separator/>
      </w:r>
    </w:p>
  </w:footnote>
  <w:footnote w:type="continuationSeparator" w:id="0">
    <w:p w14:paraId="0EB94525" w14:textId="77777777" w:rsidR="00760B88" w:rsidRDefault="00760B88" w:rsidP="00412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07EDE" w14:textId="77777777" w:rsidR="004124F2" w:rsidRDefault="004124F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C061" w14:textId="77777777" w:rsidR="004124F2" w:rsidRDefault="004124F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A7AD" w14:textId="77777777" w:rsidR="004124F2" w:rsidRDefault="004124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4F2"/>
    <w:rsid w:val="004124F2"/>
    <w:rsid w:val="00760B88"/>
    <w:rsid w:val="009E5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01821"/>
  <w15:chartTrackingRefBased/>
  <w15:docId w15:val="{F3A2FFA7-1415-4C35-9006-5EF0D2B3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4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2">
    <w:name w:val="网格型12"/>
    <w:basedOn w:val="a1"/>
    <w:qFormat/>
    <w:rsid w:val="004124F2"/>
    <w:pPr>
      <w:widowControl w:val="0"/>
      <w:jc w:val="both"/>
    </w:pPr>
    <w:rPr>
      <w:rFonts w:ascii="Times New Roman" w:eastAsia="宋体" w:hAnsi="Times New Roman" w:cs="Times New Roman"/>
      <w:kern w:val="0"/>
      <w:sz w:val="20"/>
      <w:szCs w:val="20"/>
      <w:lang w:bidi="mn-Mong-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header"/>
    <w:basedOn w:val="a"/>
    <w:link w:val="a4"/>
    <w:uiPriority w:val="99"/>
    <w:unhideWhenUsed/>
    <w:rsid w:val="004124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24F2"/>
    <w:rPr>
      <w:sz w:val="18"/>
      <w:szCs w:val="18"/>
    </w:rPr>
  </w:style>
  <w:style w:type="paragraph" w:styleId="a5">
    <w:name w:val="footer"/>
    <w:basedOn w:val="a"/>
    <w:link w:val="a6"/>
    <w:uiPriority w:val="99"/>
    <w:unhideWhenUsed/>
    <w:rsid w:val="004124F2"/>
    <w:pPr>
      <w:tabs>
        <w:tab w:val="center" w:pos="4153"/>
        <w:tab w:val="right" w:pos="8306"/>
      </w:tabs>
      <w:snapToGrid w:val="0"/>
      <w:jc w:val="left"/>
    </w:pPr>
    <w:rPr>
      <w:sz w:val="18"/>
      <w:szCs w:val="18"/>
    </w:rPr>
  </w:style>
  <w:style w:type="character" w:customStyle="1" w:styleId="a6">
    <w:name w:val="页脚 字符"/>
    <w:basedOn w:val="a0"/>
    <w:link w:val="a5"/>
    <w:uiPriority w:val="99"/>
    <w:rsid w:val="004124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 世雄</dc:creator>
  <cp:keywords/>
  <dc:description/>
  <cp:lastModifiedBy>曹 世雄</cp:lastModifiedBy>
  <cp:revision>1</cp:revision>
  <dcterms:created xsi:type="dcterms:W3CDTF">2022-05-08T07:13:00Z</dcterms:created>
  <dcterms:modified xsi:type="dcterms:W3CDTF">2022-05-08T07:16:00Z</dcterms:modified>
</cp:coreProperties>
</file>