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Calibri" w:hAnsi="Calibri" w:cs="Calibri"/>
        </w:rPr>
      </w:pPr>
      <w:r>
        <w:rPr>
          <w:rFonts w:hint="default" w:ascii="Calibri" w:hAnsi="Calibri" w:cs="Calibri"/>
          <w:b/>
          <w:bCs/>
        </w:rPr>
        <w:t>Supplementary Fig. 1</w:t>
      </w:r>
      <w:r>
        <w:rPr>
          <w:rFonts w:hint="default" w:ascii="Calibri" w:hAnsi="Calibri" w:cs="Calibri"/>
        </w:rPr>
        <w:t xml:space="preserve"> Cell identification of ectopic endometrial stromal cells (eESCs) and normal endometrial stromal cells (nESCs). Vimentin or Cytokeratin 7 (red), Nuclei stained with DAPI (blue). (original magnification 200×).</w:t>
      </w:r>
    </w:p>
    <w:p>
      <w:pPr>
        <w:rPr>
          <w:rFonts w:hint="default" w:ascii="Calibri" w:hAnsi="Calibri" w:cs="Calibri"/>
        </w:rPr>
      </w:pPr>
      <w:r>
        <w:rPr>
          <w:rFonts w:hint="default" w:ascii="Calibri" w:hAnsi="Calibri" w:cs="Calibri"/>
          <w:b/>
          <w:bCs/>
        </w:rPr>
        <w:t>Supplementary Fig. 2</w:t>
      </w:r>
      <w:r>
        <w:rPr>
          <w:rFonts w:hint="default" w:ascii="Calibri" w:hAnsi="Calibri" w:cs="Calibri"/>
        </w:rPr>
        <w:t xml:space="preserve"> Cell identification of macrophages induced by PMA. CD11b (red), Nuclei stained with DAPI (blue). (original magnification 200×).</w:t>
      </w:r>
    </w:p>
    <w:p>
      <w:pPr>
        <w:rPr>
          <w:rFonts w:hint="default" w:ascii="Calibri" w:hAnsi="Calibri" w:cs="Calibri"/>
        </w:rPr>
      </w:pPr>
      <w:r>
        <w:rPr>
          <w:rFonts w:hint="default" w:ascii="Calibri" w:hAnsi="Calibri" w:cs="Calibri"/>
          <w:b/>
          <w:bCs/>
        </w:rPr>
        <w:t>Supplementary Fig. 3</w:t>
      </w:r>
      <w:r>
        <w:rPr>
          <w:rFonts w:hint="default" w:ascii="Calibri" w:hAnsi="Calibri" w:cs="Calibri"/>
        </w:rPr>
        <w:t xml:space="preserve"> ELISA assay measured that the concentration of IL-33 in macrophage cell medium and eESCs cell medium. Data are presented as the mean ± SD, n=3 independent experiments. Statistical analysis was performed u</w:t>
      </w:r>
      <w:bookmarkStart w:id="0" w:name="_GoBack"/>
      <w:bookmarkEnd w:id="0"/>
      <w:r>
        <w:rPr>
          <w:rFonts w:hint="default" w:ascii="Calibri" w:hAnsi="Calibri" w:cs="Calibri"/>
        </w:rPr>
        <w:t>sing Student’s t test. ***p&lt;0.001.</w:t>
      </w:r>
    </w:p>
    <w:p>
      <w:pPr>
        <w:rPr>
          <w:rFonts w:hint="default" w:ascii="Calibri" w:hAnsi="Calibri" w:cs="Calibri"/>
        </w:rPr>
      </w:pPr>
      <w:r>
        <w:rPr>
          <w:rFonts w:hint="default" w:ascii="Calibri" w:hAnsi="Calibri" w:cs="Calibri"/>
          <w:b/>
          <w:bCs/>
        </w:rPr>
        <w:t>Supplementary Fig. 4</w:t>
      </w:r>
      <w:r>
        <w:rPr>
          <w:rFonts w:hint="default" w:ascii="Calibri" w:hAnsi="Calibri" w:cs="Calibri"/>
        </w:rPr>
        <w:t xml:space="preserve"> Pearson’s test was used to analyze the relationship between the expression levels of IL-33 and GPX4 mRNA in EC tissues (n=8).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BlMzQxYWUzMjliOWRmMmNjZjExOTNkNjE2OTE1OWQifQ=="/>
  </w:docVars>
  <w:rsids>
    <w:rsidRoot w:val="00000000"/>
    <w:rsid w:val="170D0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672</Characters>
  <Lines>0</Lines>
  <Paragraphs>0</Paragraphs>
  <TotalTime>0</TotalTime>
  <ScaleCrop>false</ScaleCrop>
  <LinksUpToDate>false</LinksUpToDate>
  <CharactersWithSpaces>782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2023-04-19T08:38:36Z</dcterms:created>
  <dc:creator>Lenovo</dc:creator>
  <cp:lastModifiedBy>卖水泥的小女孩</cp:lastModifiedBy>
  <dcterms:modified xsi:type="dcterms:W3CDTF">2023-04-19T08:39:22Z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EFF7712659EC4794BEEBCBB8994CDEFB_12</vt:lpwstr>
  </property>
</Properties>
</file>