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Times New Roman" w:hAnsi="Times New Roman" w:eastAsia="宋体" w:cs="Times New Roman"/>
          <w:b/>
          <w:kern w:val="0"/>
          <w:position w:val="7"/>
          <w:sz w:val="36"/>
          <w:szCs w:val="36"/>
          <w:lang w:val="en-GB"/>
        </w:rPr>
      </w:pPr>
      <w:r>
        <w:rPr>
          <w:rFonts w:ascii="Times New Roman" w:hAnsi="Times New Roman" w:eastAsia="宋体" w:cs="Times New Roman"/>
          <w:b/>
          <w:kern w:val="0"/>
          <w:position w:val="7"/>
          <w:sz w:val="36"/>
          <w:szCs w:val="36"/>
          <w:lang w:val="en-GB" w:eastAsia="en-GB"/>
        </w:rPr>
        <w:t>Electronic Supporting Material</w:t>
      </w:r>
      <w:bookmarkStart w:id="0" w:name="_GoBack"/>
      <w:bookmarkEnd w:id="0"/>
    </w:p>
    <w:p>
      <w:pPr>
        <w:spacing w:line="480" w:lineRule="auto"/>
        <w:jc w:val="center"/>
        <w:rPr>
          <w:rFonts w:ascii="Times New Roman" w:hAnsi="Times New Roman" w:eastAsia="宋体" w:cs="Times New Roman"/>
          <w:b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sz w:val="36"/>
          <w:szCs w:val="36"/>
          <w:lang w:val="en-US" w:eastAsia="zh-CN"/>
        </w:rPr>
        <w:t>Robust immobilized enzyme reactor</w:t>
      </w:r>
    </w:p>
    <w:p>
      <w:pPr>
        <w:spacing w:line="480" w:lineRule="auto"/>
        <w:jc w:val="center"/>
        <w:rPr>
          <w:rFonts w:hint="eastAsia"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/>
          <w:b/>
          <w:bCs/>
          <w:color w:val="auto"/>
          <w:sz w:val="36"/>
          <w:szCs w:val="36"/>
          <w:lang w:val="en-US" w:eastAsia="zh-CN"/>
        </w:rPr>
        <w:t xml:space="preserve"> based on hybrid monolithic chip incorporated with mesoporous molecular sieve SBA-15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 xml:space="preserve"> </w:t>
      </w:r>
    </w:p>
    <w:p>
      <w:pPr>
        <w:spacing w:line="480" w:lineRule="auto"/>
        <w:jc w:val="center"/>
        <w:rPr>
          <w:rFonts w:ascii="Times New Roman" w:hAnsi="Times New Roman" w:eastAsia="宋体" w:cs="Times New Roman"/>
          <w:b/>
          <w:sz w:val="30"/>
          <w:szCs w:val="30"/>
        </w:rPr>
      </w:pPr>
    </w:p>
    <w:p>
      <w:pPr>
        <w:spacing w:line="480" w:lineRule="auto"/>
        <w:jc w:val="center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Qin Wei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, Pei-Ru Fan</w:t>
      </w:r>
      <w:r>
        <w:rPr>
          <w:rFonts w:ascii="Times New Roman" w:hAnsi="Times New Roman" w:eastAsia="宋体" w:cs="Times New Roman"/>
          <w:b/>
          <w:sz w:val="24"/>
          <w:szCs w:val="24"/>
        </w:rPr>
        <w:t>,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Xuan Sun, </w:t>
      </w:r>
      <w:r>
        <w:rPr>
          <w:rFonts w:ascii="Times New Roman" w:hAnsi="Times New Roman" w:eastAsia="宋体" w:cs="Times New Roman"/>
          <w:b/>
          <w:sz w:val="24"/>
          <w:szCs w:val="24"/>
        </w:rPr>
        <w:t>Yan-Ping Huang**, Zhao-Sheng Liu*</w:t>
      </w:r>
    </w:p>
    <w:p>
      <w:pPr>
        <w:widowControl/>
        <w:spacing w:line="480" w:lineRule="auto"/>
        <w:rPr>
          <w:rFonts w:ascii="Times New Roman" w:hAnsi="Times New Roman" w:eastAsia="宋体" w:cs="Times New Roman"/>
          <w:i/>
          <w:sz w:val="24"/>
          <w:szCs w:val="24"/>
          <w:lang w:val="en-GB"/>
        </w:rPr>
      </w:pPr>
      <w:r>
        <w:rPr>
          <w:rFonts w:ascii="Times New Roman" w:hAnsi="Times New Roman" w:eastAsia="宋体" w:cs="Times New Roman"/>
          <w:i/>
          <w:sz w:val="24"/>
          <w:szCs w:val="24"/>
          <w:lang w:val="en-GB"/>
        </w:rPr>
        <w:t>Tianjin Key Laboratory on Technologies Enabling Development of Clinical Therapeutics and Diagnostics (Theranostics), School of Pharmacy, Tianjin Medical University, Tianjin 300070, China</w:t>
      </w:r>
    </w:p>
    <w:p>
      <w:pPr>
        <w:widowControl/>
        <w:spacing w:after="120" w:line="360" w:lineRule="auto"/>
        <w:ind w:firstLine="480" w:firstLineChars="200"/>
        <w:rPr>
          <w:rFonts w:ascii="Times New Roman" w:hAnsi="Times New Roman" w:eastAsia="宋体" w:cs="Times New Roman"/>
          <w:kern w:val="0"/>
          <w:sz w:val="24"/>
          <w:szCs w:val="24"/>
          <w:lang w:val="en-GB"/>
        </w:rPr>
      </w:pPr>
    </w:p>
    <w:p>
      <w:pPr>
        <w:widowControl/>
        <w:spacing w:line="360" w:lineRule="auto"/>
        <w:ind w:firstLine="420"/>
        <w:jc w:val="left"/>
        <w:rPr>
          <w:rFonts w:ascii="Times New Roman" w:hAnsi="Times New Roman" w:eastAsia="宋体" w:cs="Times New Roman"/>
          <w:kern w:val="0"/>
          <w:sz w:val="24"/>
          <w:szCs w:val="24"/>
          <w:lang w:val="en-GB" w:eastAsia="zh-CN" w:bidi="ar-SA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lang w:val="en-GB" w:eastAsia="zh-CN" w:bidi="ar-SA"/>
        </w:rPr>
        <w:t>Correspondence: Dr. Yan-Ping Huang</w:t>
      </w:r>
    </w:p>
    <w:p>
      <w:pPr>
        <w:widowControl/>
        <w:spacing w:beforeLines="50" w:afterLines="50" w:line="480" w:lineRule="auto"/>
        <w:ind w:firstLine="420"/>
        <w:jc w:val="left"/>
        <w:rPr>
          <w:rFonts w:ascii="Times New Roman" w:hAnsi="Times New Roman" w:eastAsia="宋体" w:cs="Times New Roman"/>
          <w:kern w:val="0"/>
          <w:sz w:val="24"/>
          <w:szCs w:val="24"/>
          <w:lang w:val="en-GB" w:eastAsia="zh-CN" w:bidi="ar-SA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lang w:val="en-GB" w:eastAsia="zh-CN" w:bidi="ar-SA"/>
        </w:rPr>
        <w:t xml:space="preserve">E-mail: </w:t>
      </w:r>
      <w:r>
        <w:rPr>
          <w:rFonts w:ascii="Times New Roman" w:hAnsi="Times New Roman" w:eastAsia="宋体" w:cs="Times New Roman"/>
          <w:kern w:val="0"/>
          <w:sz w:val="20"/>
          <w:szCs w:val="20"/>
          <w:lang w:val="en-GB" w:eastAsia="zh-CN" w:bidi="ar-SA"/>
        </w:rPr>
        <w:fldChar w:fldCharType="begin"/>
      </w:r>
      <w:r>
        <w:rPr>
          <w:rFonts w:ascii="Times New Roman" w:hAnsi="Times New Roman" w:eastAsia="宋体" w:cs="Times New Roman"/>
          <w:kern w:val="0"/>
          <w:sz w:val="20"/>
          <w:szCs w:val="20"/>
          <w:lang w:val="en-GB" w:eastAsia="zh-CN" w:bidi="ar-SA"/>
        </w:rPr>
        <w:instrText xml:space="preserve"> HYPERLINK "mailto:huangyp100@163.com" </w:instrText>
      </w:r>
      <w:r>
        <w:rPr>
          <w:rFonts w:ascii="Times New Roman" w:hAnsi="Times New Roman" w:eastAsia="宋体" w:cs="Times New Roman"/>
          <w:kern w:val="0"/>
          <w:sz w:val="20"/>
          <w:szCs w:val="20"/>
          <w:lang w:val="en-GB" w:eastAsia="zh-CN" w:bidi="ar-SA"/>
        </w:rPr>
        <w:fldChar w:fldCharType="separate"/>
      </w:r>
      <w:r>
        <w:rPr>
          <w:rFonts w:ascii="Times New Roman" w:hAnsi="Times New Roman" w:eastAsia="宋体" w:cs="Times New Roman"/>
          <w:color w:val="auto"/>
          <w:kern w:val="2"/>
          <w:sz w:val="24"/>
          <w:szCs w:val="24"/>
          <w:u w:val="single"/>
          <w:lang w:val="en-GB" w:eastAsia="zh-CN" w:bidi="ar-SA"/>
        </w:rPr>
        <w:t>huangyp100@163.com</w:t>
      </w:r>
      <w:r>
        <w:rPr>
          <w:rFonts w:ascii="Times New Roman" w:hAnsi="Times New Roman" w:eastAsia="宋体" w:cs="Times New Roman"/>
          <w:color w:val="auto"/>
          <w:kern w:val="2"/>
          <w:sz w:val="24"/>
          <w:szCs w:val="24"/>
          <w:u w:val="single"/>
          <w:lang w:val="en-GB" w:eastAsia="zh-CN" w:bidi="ar-SA"/>
        </w:rPr>
        <w:fldChar w:fldCharType="end"/>
      </w:r>
    </w:p>
    <w:p>
      <w:pPr>
        <w:widowControl/>
        <w:spacing w:after="120" w:line="480" w:lineRule="auto"/>
        <w:ind w:firstLine="480" w:firstLineChars="200"/>
        <w:rPr>
          <w:rFonts w:ascii="Times New Roman" w:hAnsi="Times New Roman" w:eastAsia="宋体" w:cs="Times New Roman"/>
          <w:kern w:val="0"/>
          <w:sz w:val="24"/>
          <w:szCs w:val="24"/>
          <w:lang w:val="en-GB"/>
        </w:rPr>
      </w:pPr>
      <w:r>
        <w:rPr>
          <w:rFonts w:ascii="Times New Roman" w:hAnsi="Times New Roman" w:eastAsia="MS Mincho" w:cs="Times New Roman"/>
          <w:kern w:val="0"/>
          <w:sz w:val="24"/>
          <w:szCs w:val="24"/>
          <w:lang w:val="en-GB" w:eastAsia="ja-JP"/>
        </w:rPr>
        <w:t>Correspondence: Dr. Zhao-Sheng Liu</w:t>
      </w:r>
    </w:p>
    <w:p>
      <w:pPr>
        <w:widowControl/>
        <w:spacing w:after="120" w:line="480" w:lineRule="auto"/>
        <w:ind w:left="479" w:leftChars="228"/>
        <w:rPr>
          <w:rFonts w:ascii="Times New Roman" w:hAnsi="Times New Roman" w:eastAsia="宋体" w:cs="Times New Roman"/>
          <w:kern w:val="0"/>
          <w:sz w:val="24"/>
          <w:szCs w:val="24"/>
          <w:u w:val="single"/>
          <w:lang w:val="en-GB"/>
        </w:rPr>
      </w:pPr>
      <w:r>
        <w:rPr>
          <w:rFonts w:ascii="Times New Roman" w:hAnsi="Times New Roman" w:eastAsia="MS Mincho" w:cs="Times New Roman"/>
          <w:kern w:val="0"/>
          <w:sz w:val="24"/>
          <w:szCs w:val="24"/>
          <w:lang w:val="en-GB" w:eastAsia="ja-JP"/>
        </w:rPr>
        <w:t>Fax: +</w:t>
      </w:r>
      <w:r>
        <w:rPr>
          <w:rFonts w:ascii="Times New Roman" w:hAnsi="Times New Roman" w:eastAsia="宋体" w:cs="Times New Roman"/>
          <w:kern w:val="0"/>
          <w:sz w:val="24"/>
          <w:szCs w:val="24"/>
          <w:lang w:val="en-GB"/>
        </w:rPr>
        <w:t>086-022-23536746</w:t>
      </w:r>
      <w:r>
        <w:rPr>
          <w:rFonts w:ascii="Times New Roman" w:hAnsi="Times New Roman" w:eastAsia="MS Mincho" w:cs="Times New Roman"/>
          <w:kern w:val="0"/>
          <w:sz w:val="24"/>
          <w:szCs w:val="24"/>
          <w:lang w:val="en-GB" w:eastAsia="ja-JP"/>
        </w:rPr>
        <w:t xml:space="preserve"> </w:t>
      </w:r>
      <w:r>
        <w:rPr>
          <w:rFonts w:ascii="Times New Roman" w:hAnsi="Times New Roman" w:eastAsia="MS Mincho" w:cs="Times New Roman"/>
          <w:kern w:val="0"/>
          <w:sz w:val="24"/>
          <w:szCs w:val="24"/>
          <w:lang w:val="en-GB" w:eastAsia="ja-JP"/>
        </w:rPr>
        <w:br w:type="textWrapping"/>
      </w:r>
      <w:r>
        <w:rPr>
          <w:rFonts w:ascii="Times New Roman" w:hAnsi="Times New Roman" w:eastAsia="MS Mincho" w:cs="Times New Roman"/>
          <w:kern w:val="0"/>
          <w:sz w:val="24"/>
          <w:szCs w:val="24"/>
          <w:lang w:val="en-GB" w:eastAsia="ja-JP"/>
        </w:rPr>
        <w:t xml:space="preserve">E-mail: </w:t>
      </w:r>
      <w:r>
        <w:rPr>
          <w:rFonts w:ascii="Calibri" w:hAnsi="Calibri" w:eastAsia="宋体" w:cs="Times New Roman"/>
          <w:szCs w:val="22"/>
        </w:rPr>
        <w:fldChar w:fldCharType="begin"/>
      </w:r>
      <w:r>
        <w:rPr>
          <w:rFonts w:ascii="Calibri" w:hAnsi="Calibri" w:eastAsia="宋体" w:cs="Times New Roman"/>
          <w:szCs w:val="22"/>
        </w:rPr>
        <w:instrText xml:space="preserve"> HYPERLINK "mailto:zhaoshengliu@sohu.com" </w:instrText>
      </w:r>
      <w:r>
        <w:rPr>
          <w:rFonts w:ascii="Calibri" w:hAnsi="Calibri" w:eastAsia="宋体" w:cs="Times New Roman"/>
          <w:szCs w:val="22"/>
        </w:rPr>
        <w:fldChar w:fldCharType="separate"/>
      </w:r>
      <w:r>
        <w:rPr>
          <w:rFonts w:ascii="Times New Roman" w:hAnsi="Times New Roman" w:eastAsia="宋体" w:cs="Times New Roman"/>
          <w:kern w:val="0"/>
          <w:sz w:val="24"/>
          <w:szCs w:val="24"/>
          <w:u w:val="single"/>
          <w:lang w:val="en-GB"/>
        </w:rPr>
        <w:t>zhaoshengliu@sohu.com</w:t>
      </w:r>
      <w:r>
        <w:rPr>
          <w:rFonts w:ascii="Times New Roman" w:hAnsi="Times New Roman" w:eastAsia="宋体" w:cs="Times New Roman"/>
          <w:kern w:val="0"/>
          <w:sz w:val="24"/>
          <w:szCs w:val="24"/>
          <w:u w:val="single"/>
          <w:lang w:val="en-GB"/>
        </w:rPr>
        <w:fldChar w:fldCharType="end"/>
      </w:r>
    </w:p>
    <w:p>
      <w:pPr>
        <w:widowControl/>
        <w:spacing w:after="120" w:line="480" w:lineRule="auto"/>
        <w:ind w:left="479" w:leftChars="228"/>
        <w:rPr>
          <w:rFonts w:ascii="Times New Roman" w:hAnsi="Times New Roman" w:eastAsia="宋体" w:cs="Times New Roman"/>
          <w:kern w:val="0"/>
          <w:sz w:val="24"/>
          <w:szCs w:val="24"/>
          <w:u w:val="single"/>
          <w:lang w:val="en-GB"/>
        </w:rPr>
      </w:pP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Experimental Section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leftChars="0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zh-CN"/>
        </w:rPr>
        <w:t>Protein denaturation</w:t>
      </w:r>
      <w:r>
        <w:rPr>
          <w:rFonts w:hint="eastAsia" w:ascii="Times New Roman" w:hAnsi="Times New Roman" w:cs="Times New Roman"/>
          <w:b/>
          <w:bCs/>
          <w:i w:val="0"/>
          <w:iCs w:val="0"/>
          <w:sz w:val="24"/>
          <w:szCs w:val="24"/>
          <w:lang w:val="en-US" w:eastAsia="zh-CN"/>
        </w:rPr>
        <w:t xml:space="preserve"> o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zh-CN"/>
        </w:rPr>
        <w:t>n chip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>On-line chip denaturation was done as follows. Protein sample solution was prepared by dissolving 1.25 mg of protein in 1 mL of 100 m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 Tris-HCl solution (pH 8.5)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 xml:space="preserve"> containing 8 M of urea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. 100 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>mM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 DTT and 100 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>mM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 IAA solutions were prepared within 100 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>mM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 Tris-HCl buffer (pH 8.5), respectively. Then protein solution, DTT solution and IAA solution were simultaneously injected into chip channel at a flow rate of 0.3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>μ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>L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>·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>min</w:t>
      </w:r>
      <w:r>
        <w:rPr>
          <w:rFonts w:hint="eastAsia" w:ascii="Times New Roman" w:hAnsi="Times New Roman"/>
          <w:i w:val="0"/>
          <w:iCs w:val="0"/>
          <w:sz w:val="24"/>
          <w:szCs w:val="24"/>
          <w:vertAlign w:val="superscript"/>
          <w:lang w:val="en-US" w:eastAsia="zh-CN"/>
        </w:rPr>
        <w:t>-1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 under 37 ℃. The chip was used to integrated with SBA-15-NH</w:t>
      </w:r>
      <w:r>
        <w:rPr>
          <w:rFonts w:hint="default" w:ascii="Times New Roman" w:hAnsi="Times New Roman"/>
          <w:i w:val="0"/>
          <w:iCs w:val="0"/>
          <w:sz w:val="24"/>
          <w:szCs w:val="24"/>
          <w:vertAlign w:val="subscript"/>
          <w:lang w:val="en-US" w:eastAsia="zh-CN"/>
        </w:rPr>
        <w:t>2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 hybrid monolith for online denaturation and online digestion of proteins.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>In-solution denaturation was as follows. 10 mg·ml</w:t>
      </w:r>
      <w:r>
        <w:rPr>
          <w:rFonts w:hint="default" w:ascii="Times New Roman" w:hAnsi="Times New Roman"/>
          <w:i w:val="0"/>
          <w:iCs w:val="0"/>
          <w:sz w:val="24"/>
          <w:szCs w:val="24"/>
          <w:vertAlign w:val="superscript"/>
          <w:lang w:val="en-US" w:eastAsia="zh-CN"/>
        </w:rPr>
        <w:t>-1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 of protein solution was obtained by dissolving a certain amount of protein in 100 m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 Tris-HCl (pH 8.5) solution containing 8 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 of urea. Subsequently, 100 µL of DTT (100 m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>) solution was added to the protein solution and disulfide bond was reduced at 50 °C for 20 min. After leaving the solution to room temperature, the alkylation reaction was carried out by putting 100 µL of IAA (100 m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>) solution into reduced solution for 20 min under dark. The denatured protein solution was diluted with 100 m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 Tris-HCl buffer (pH 8.5) until the urea concentration was less than 1 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 and put in refrigerator before used.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zh-CN"/>
        </w:rPr>
        <w:t>Mouse liver protein extraction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he liver of 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>nesthetized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 xml:space="preserve"> mouse 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was 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>cleaned</w:t>
      </w:r>
      <w:r>
        <w:rPr>
          <w:rFonts w:hint="default" w:ascii="Times New Roman" w:hAnsi="Times New Roman"/>
          <w:i w:val="0"/>
          <w:iCs w:val="0"/>
          <w:sz w:val="24"/>
          <w:szCs w:val="24"/>
          <w:lang w:val="en-US" w:eastAsia="zh-CN"/>
        </w:rPr>
        <w:t xml:space="preserve"> with normal saline to remove the body fluid and blood on the tissue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 xml:space="preserve">, then cut into small pieces and homogenized in RIPA Lysis buffer containing 1% (v/v) protease inhibitor at a ratio of 20 mg/200µL. The sample was ground by tissue grinder at the speed of 50 Hz/min for 5 min and lysed for 30 min in ice bath. Then the homogenate was centrifuged at 12000 rpm for 20 min at 4 ℃, and the supernatant (namely total hepatic protein) was obtained. Finally, dialysis bag was used to remove lysis buffer and protease inhibitor, then the protein was lyophilized and stored at - 80 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lang w:val="en-US" w:eastAsia="zh-CN"/>
        </w:rPr>
        <w:t>℃</w:t>
      </w:r>
      <w:r>
        <w:rPr>
          <w:rFonts w:hint="eastAsia" w:ascii="Times New Roman" w:hAnsi="Times New Roman"/>
          <w:i w:val="0"/>
          <w:iCs w:val="0"/>
          <w:sz w:val="24"/>
          <w:szCs w:val="24"/>
          <w:lang w:val="en-US" w:eastAsia="zh-CN"/>
        </w:rPr>
        <w:t xml:space="preserve"> before used.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23055" cy="2581275"/>
            <wp:effectExtent l="0" t="0" r="6985" b="9525"/>
            <wp:docPr id="2" name="图片 2" descr="图片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305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Fig. S1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Schematic illustration of chip channel design. A: 100 mmol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·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L</w:t>
      </w: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-1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DTT solution; B: 1.25 mg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L</w:t>
      </w: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-1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mouse liver protein solution; C: 100 mmol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·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L</w:t>
      </w:r>
      <w:r>
        <w:rPr>
          <w:rFonts w:hint="eastAsia" w:ascii="Times New Roman" w:hAnsi="Times New Roman"/>
          <w:sz w:val="24"/>
          <w:szCs w:val="24"/>
          <w:vertAlign w:val="superscript"/>
          <w:lang w:val="en-US" w:eastAsia="zh-CN"/>
        </w:rPr>
        <w:t>-1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IAA solution. The first serpentine channel: the protein is reduced by DTT to open the disulfide bond; the second serpentine channel: the reduced sulfhydryl group of the protein is alkylated by IAA to prevent the sulfhydryl group from forming disulfide bond again; EF is IMER: digestion reaction occurs</w:t>
      </w:r>
    </w:p>
    <w:p>
      <w:pPr>
        <w:jc w:val="center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drawing>
          <wp:inline distT="0" distB="0" distL="114300" distR="114300">
            <wp:extent cx="3898265" cy="3168015"/>
            <wp:effectExtent l="0" t="0" r="3175" b="1905"/>
            <wp:docPr id="5" name="图片 5" descr="图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8265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sz w:val="24"/>
          <w:szCs w:val="24"/>
        </w:rPr>
        <w:t>Fig. 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 xml:space="preserve"> Fourier transform-infrared spectra of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SBA-15</w:t>
      </w:r>
      <w:r>
        <w:rPr>
          <w:rFonts w:ascii="Times New Roman" w:hAnsi="Times New Roman" w:eastAsia="宋体" w:cs="Times New Roman"/>
          <w:sz w:val="24"/>
          <w:szCs w:val="24"/>
        </w:rPr>
        <w:t xml:space="preserve"> and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SBA-15-NH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2</w:t>
      </w:r>
    </w:p>
    <w:p>
      <w:pPr>
        <w:jc w:val="center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drawing>
          <wp:inline distT="0" distB="0" distL="114300" distR="114300">
            <wp:extent cx="3048000" cy="2346960"/>
            <wp:effectExtent l="0" t="0" r="0" b="0"/>
            <wp:docPr id="8" name="图片 8" descr="图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ascii="Times New Roman" w:hAnsi="Times New Roman"/>
          <w:sz w:val="24"/>
          <w:szCs w:val="24"/>
        </w:rPr>
        <w:t>Fig. S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Effect of substrate concentration on enzymatic efficiency of three immobilization methods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of trypsin</w:t>
      </w:r>
    </w:p>
    <w:p>
      <w:pPr>
        <w:jc w:val="center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drawing>
          <wp:inline distT="0" distB="0" distL="114300" distR="114300">
            <wp:extent cx="3048000" cy="2320290"/>
            <wp:effectExtent l="0" t="0" r="0" b="11430"/>
            <wp:docPr id="9" name="图片 9" descr="图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color w:val="auto"/>
          <w:sz w:val="24"/>
          <w:szCs w:val="24"/>
          <w:vertAlign w:val="baseline"/>
          <w:lang w:val="en-US" w:eastAsia="zh-CN"/>
        </w:rPr>
        <w:t>Fig. S4 Stability of IMERs within 3 months</w:t>
      </w:r>
    </w:p>
    <w:p>
      <w:pPr>
        <w:jc w:val="left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Table S1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</w:p>
    <w:p>
      <w:pPr>
        <w:jc w:val="left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Times of reuse of IMERs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3"/>
        <w:gridCol w:w="2136"/>
        <w:gridCol w:w="2136"/>
        <w:gridCol w:w="213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2268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Times</w:t>
            </w:r>
          </w:p>
        </w:tc>
        <w:tc>
          <w:tcPr>
            <w:tcW w:w="2268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Column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1  (mV·min)</w:t>
            </w:r>
          </w:p>
        </w:tc>
        <w:tc>
          <w:tcPr>
            <w:tcW w:w="2268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Column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2 (mV·min)</w:t>
            </w:r>
          </w:p>
        </w:tc>
        <w:tc>
          <w:tcPr>
            <w:tcW w:w="2268" w:type="dxa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Column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 (mV·min)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268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4148.6</w:t>
            </w:r>
          </w:p>
        </w:tc>
        <w:tc>
          <w:tcPr>
            <w:tcW w:w="2268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4228.6</w:t>
            </w:r>
          </w:p>
        </w:tc>
        <w:tc>
          <w:tcPr>
            <w:tcW w:w="2268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3849.8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4342.0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4475.9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4135.5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3847.8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4358.9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3693.9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4381.5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4528.8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3584.1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4765.6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4668.3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3651.0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4686.2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4238.4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4217.5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4624.5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4358.4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4795.3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4620.6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4413.6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4196.4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4557.7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4450.0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4406.0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4431.0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4358.8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4360.4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4544.8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4514.7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4132.2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4457.2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4625.4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4152.7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4226.0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4945.8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4337.9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3939.6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4477.6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4178.3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4192.9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4483.8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3846.5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4383.1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4354.2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4039.6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4121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4277.9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4176.0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4253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4637.7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4053.0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4366.1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4538.4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4063.6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4274.1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4554.3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4248.4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4453.7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4562.9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4012.9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4310.0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4043.5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4180.1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4414.0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4069.2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4068.8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4282.9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4089.0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4092.8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4293.5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4098.4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4131.8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4273.0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4141.2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4074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27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4244.8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3974.1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4166.1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4165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3830.9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3990.1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4278.6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3991.3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4116.0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4270.0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4064.9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4093.9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Mean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4338.3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4345.2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4101.5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RSD%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4.6%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5.6%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5.5%</w:t>
            </w:r>
          </w:p>
        </w:tc>
      </w:tr>
    </w:tbl>
    <w:p>
      <w:pPr>
        <w:jc w:val="center"/>
        <w:rPr>
          <w:rFonts w:hint="default" w:ascii="Times New Roman" w:hAnsi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8BD062"/>
    <w:multiLevelType w:val="singleLevel"/>
    <w:tmpl w:val="E18BD06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zZmViNGY4OWZhN2JkZWYyZTNiZDY5NzcxNGI3ZTkifQ=="/>
  </w:docVars>
  <w:rsids>
    <w:rsidRoot w:val="00000000"/>
    <w:rsid w:val="04C02E7F"/>
    <w:rsid w:val="0F244BAC"/>
    <w:rsid w:val="10DB6541"/>
    <w:rsid w:val="11E46604"/>
    <w:rsid w:val="24D54953"/>
    <w:rsid w:val="27B42121"/>
    <w:rsid w:val="284B366C"/>
    <w:rsid w:val="2B9A48A5"/>
    <w:rsid w:val="2C9537F6"/>
    <w:rsid w:val="2D32514E"/>
    <w:rsid w:val="2F230232"/>
    <w:rsid w:val="2F502AE5"/>
    <w:rsid w:val="3AB04ECB"/>
    <w:rsid w:val="426364D1"/>
    <w:rsid w:val="4CE04A3C"/>
    <w:rsid w:val="51DA73C2"/>
    <w:rsid w:val="56DE1AFD"/>
    <w:rsid w:val="5BB52B45"/>
    <w:rsid w:val="5EAD265E"/>
    <w:rsid w:val="5EBB1432"/>
    <w:rsid w:val="6AB1561B"/>
    <w:rsid w:val="6CC024D4"/>
    <w:rsid w:val="7D25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649</Words>
  <Characters>3385</Characters>
  <Lines>0</Lines>
  <Paragraphs>0</Paragraphs>
  <TotalTime>0</TotalTime>
  <ScaleCrop>false</ScaleCrop>
  <LinksUpToDate>false</LinksUpToDate>
  <CharactersWithSpaces>3884</CharactersWithSpaces>
  <Application>WPS Office_11.1.0.12759_F1E327BC-269C-435d-A152-05C5408002CA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2021-05-03T14:10:00Z</dcterms:created>
  <dc:creator>lenvov</dc:creator>
  <cp:lastModifiedBy>艳萍</cp:lastModifiedBy>
  <dcterms:modified xsi:type="dcterms:W3CDTF">2023-04-19T02:01:34Z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B6809AE8F6D242929F2B34A73965EFD0</vt:lpwstr>
  </property>
</Properties>
</file>