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</w:rPr>
        <w:t>Supplementary Table 1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sz w:val="28"/>
          <w:szCs w:val="28"/>
        </w:rPr>
        <w:t>Dietary components and standards for scoring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bookmarkStart w:id="0" w:name="_GoBack"/>
      <w:bookmarkEnd w:id="0"/>
    </w:p>
    <w:tbl>
      <w:tblPr>
        <w:tblStyle w:val="5"/>
        <w:tblW w:w="993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7"/>
        <w:gridCol w:w="1674"/>
        <w:gridCol w:w="2853"/>
        <w:gridCol w:w="28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HEI-2015 Components </w:t>
            </w:r>
          </w:p>
        </w:tc>
        <w:tc>
          <w:tcPr>
            <w:tcW w:w="1674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Range of Points</w:t>
            </w:r>
          </w:p>
        </w:tc>
        <w:tc>
          <w:tcPr>
            <w:tcW w:w="2853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Minimum Scoring Standard</w:t>
            </w:r>
          </w:p>
        </w:tc>
        <w:tc>
          <w:tcPr>
            <w:tcW w:w="2853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Maximum Scoring Standard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7" w:type="dxa"/>
            <w:gridSpan w:val="4"/>
            <w:tcBorders>
              <w:top w:val="single" w:color="auto" w:sz="4" w:space="0"/>
              <w:bottom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Adequacy Components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(higher score indicates higher consumption)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Fruits</w:t>
            </w:r>
          </w:p>
        </w:tc>
        <w:tc>
          <w:tcPr>
            <w:tcW w:w="1674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0-5</w:t>
            </w:r>
          </w:p>
        </w:tc>
        <w:tc>
          <w:tcPr>
            <w:tcW w:w="2853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853" w:type="dxa"/>
            <w:tcBorders>
              <w:top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 cup equiv. 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Whole Fruits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0-5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 cup equiv./1000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Vegetables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0-5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 cup equiv. 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Greens and Beans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0-5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 cup equiv. 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Protein Foods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0-5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 oz equiv./1000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Seafood and Plant Proteins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0-5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 oz equiv./1000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Dairy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0-10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 cup equiv./1000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Whole Grains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0-10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 oz equiv. 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Fatty Acids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0-10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(PUFAs + MUFAs)/SFAs ≤1.2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(PUFAs + MUFAs)/SFAs ≥2.5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7" w:type="dxa"/>
            <w:gridSpan w:val="4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Moderation Components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(higher score indicates lower consumption)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Refined Grains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0-10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 oz equiv./1000 kcal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 oz equiv. 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Sodium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0-10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 grams /1000 kcal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 grams/1000 kcal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Added Sugars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0-10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26% of energy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6.5% of energy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7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Saturated Fats</w:t>
            </w:r>
          </w:p>
        </w:tc>
        <w:tc>
          <w:tcPr>
            <w:tcW w:w="1674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0-10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16% of energy</w:t>
            </w:r>
          </w:p>
        </w:tc>
        <w:tc>
          <w:tcPr>
            <w:tcW w:w="2853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8% of energy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Intakes between the minimum and maximum standards are scored proportionately.</w:t>
      </w: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Ratios of polyunsaturated and monounsaturated fatty acids (PUFAs and MUFAs) to saturated fatty acids (SFAs).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kNzQ1YjY2NzA2NTljZmY2MTBlN2M1OTk3Y2I1YmUifQ=="/>
  </w:docVars>
  <w:rsids>
    <w:rsidRoot w:val="00C23598"/>
    <w:rsid w:val="0021692E"/>
    <w:rsid w:val="00294943"/>
    <w:rsid w:val="004838D2"/>
    <w:rsid w:val="005447AE"/>
    <w:rsid w:val="005470E4"/>
    <w:rsid w:val="0079677F"/>
    <w:rsid w:val="00B80E5A"/>
    <w:rsid w:val="00BC6885"/>
    <w:rsid w:val="00C23598"/>
    <w:rsid w:val="00E31328"/>
    <w:rsid w:val="0A666247"/>
    <w:rsid w:val="68173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/>
      <w:jc w:val="left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Footer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896</Characters>
  <Lines>7</Lines>
  <Paragraphs>2</Paragraphs>
  <TotalTime>3</TotalTime>
  <ScaleCrop>false</ScaleCrop>
  <LinksUpToDate>false</LinksUpToDate>
  <CharactersWithSpaces>1011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2022-07-19T11:05:00Z</dcterms:created>
  <dc:creator>yin shan</dc:creator>
  <cp:lastModifiedBy>朱嘉宁</cp:lastModifiedBy>
  <dcterms:modified xsi:type="dcterms:W3CDTF">2023-01-12T13:01:20Z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BED191E5A18B4A7EA3FBABF2D4ECD62E</vt:lpwstr>
  </property>
</Properties>
</file>