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26598" w14:textId="77777777" w:rsidR="00175EBC" w:rsidRDefault="00175EBC"/>
    <w:p w14:paraId="6D56FA28" w14:textId="3CC7C7E5" w:rsidR="00175EBC" w:rsidRDefault="00175EBC">
      <w:r>
        <w:rPr>
          <w:noProof/>
          <w:lang w:val="en-US"/>
        </w:rPr>
        <w:drawing>
          <wp:inline distT="0" distB="0" distL="0" distR="0" wp14:anchorId="574C68D8" wp14:editId="295EF957">
            <wp:extent cx="5486400" cy="4029075"/>
            <wp:effectExtent l="0" t="0" r="1905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8779A57" w14:textId="77777777" w:rsidR="00175EBC" w:rsidRDefault="00175EBC"/>
    <w:p w14:paraId="62E592B0" w14:textId="77777777" w:rsidR="00175EBC" w:rsidRDefault="00175EBC"/>
    <w:p w14:paraId="512584BC" w14:textId="77777777" w:rsidR="00175EBC" w:rsidRDefault="00175EBC"/>
    <w:p w14:paraId="76864E35" w14:textId="77777777" w:rsidR="00175EBC" w:rsidRDefault="00175EBC"/>
    <w:p w14:paraId="77DC55FD" w14:textId="77777777" w:rsidR="00175EBC" w:rsidRDefault="00175EBC"/>
    <w:p w14:paraId="3A236AB4" w14:textId="77777777" w:rsidR="00175EBC" w:rsidRDefault="00175EBC"/>
    <w:p w14:paraId="41D8B6A6" w14:textId="77777777" w:rsidR="00175EBC" w:rsidRDefault="00175EBC"/>
    <w:p w14:paraId="0F4379F5" w14:textId="2DD6E0DE" w:rsidR="00175EBC" w:rsidRDefault="00F9500C">
      <w:r>
        <w:rPr>
          <w:noProof/>
          <w:lang w:val="en-US"/>
        </w:rPr>
        <w:lastRenderedPageBreak/>
        <w:drawing>
          <wp:inline distT="0" distB="0" distL="0" distR="0" wp14:anchorId="277D6DDB" wp14:editId="11EC2FCC">
            <wp:extent cx="5486400" cy="3971925"/>
            <wp:effectExtent l="57150" t="57150" r="38100" b="476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7C216E" w14:textId="77777777" w:rsidR="00F9500C" w:rsidRDefault="00F9500C"/>
    <w:p w14:paraId="45F3AC41" w14:textId="3024242A" w:rsidR="00F9500C" w:rsidRDefault="00F9500C">
      <w:r>
        <w:rPr>
          <w:noProof/>
          <w:lang w:val="en-US"/>
        </w:rPr>
        <w:drawing>
          <wp:inline distT="0" distB="0" distL="0" distR="0" wp14:anchorId="758C1DF8" wp14:editId="1B66B493">
            <wp:extent cx="5486400" cy="32004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F950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21554"/>
    <w:multiLevelType w:val="hybridMultilevel"/>
    <w:tmpl w:val="FBB8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3237"/>
    <w:multiLevelType w:val="hybridMultilevel"/>
    <w:tmpl w:val="6612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03EF"/>
    <w:multiLevelType w:val="hybridMultilevel"/>
    <w:tmpl w:val="4E28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7856"/>
    <w:multiLevelType w:val="hybridMultilevel"/>
    <w:tmpl w:val="97261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7FF6"/>
    <w:multiLevelType w:val="hybridMultilevel"/>
    <w:tmpl w:val="CD98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D471D"/>
    <w:multiLevelType w:val="hybridMultilevel"/>
    <w:tmpl w:val="C7406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E6BCA"/>
    <w:multiLevelType w:val="hybridMultilevel"/>
    <w:tmpl w:val="F77CD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A0"/>
    <w:rsid w:val="000C4B0B"/>
    <w:rsid w:val="000D00A2"/>
    <w:rsid w:val="00175EBC"/>
    <w:rsid w:val="002D14BE"/>
    <w:rsid w:val="003409C7"/>
    <w:rsid w:val="00391FED"/>
    <w:rsid w:val="005B7B38"/>
    <w:rsid w:val="005E4499"/>
    <w:rsid w:val="008434BB"/>
    <w:rsid w:val="00922D40"/>
    <w:rsid w:val="00A111A0"/>
    <w:rsid w:val="00BC4BF1"/>
    <w:rsid w:val="00D06B33"/>
    <w:rsid w:val="00F9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1A6F"/>
  <w15:chartTrackingRefBased/>
  <w15:docId w15:val="{35952E3A-F3FC-FF42-8AF5-11BCAB21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1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1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111A0"/>
    <w:pPr>
      <w:ind w:left="720"/>
      <w:contextualSpacing/>
    </w:pPr>
  </w:style>
  <w:style w:type="table" w:styleId="TableGrid">
    <w:name w:val="Table Grid"/>
    <w:basedOn w:val="TableNormal"/>
    <w:uiPriority w:val="39"/>
    <w:rsid w:val="00A111A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HIT-6  score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7709244677748604E-2"/>
          <c:y val="0.15162338750209414"/>
          <c:w val="0.7033778069407991"/>
          <c:h val="0.7454835166880735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Whole study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74.33</c:v>
                </c:pt>
                <c:pt idx="1">
                  <c:v>55.83</c:v>
                </c:pt>
                <c:pt idx="2">
                  <c:v>48.05</c:v>
                </c:pt>
                <c:pt idx="3">
                  <c:v>47.1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94-F846-A2F4-FDCD8A2EB86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Female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74.575757575757578</c:v>
                </c:pt>
                <c:pt idx="1">
                  <c:v>56.303030303030305</c:v>
                </c:pt>
                <c:pt idx="2">
                  <c:v>56.303030303030305</c:v>
                </c:pt>
                <c:pt idx="3">
                  <c:v>47.787878787878789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94-F846-A2F4-FDCD8A2EB86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Male</c:v>
                </c:pt>
              </c:strCache>
            </c:strRef>
          </c:tx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73.142857142857139</c:v>
                </c:pt>
                <c:pt idx="1">
                  <c:v>53.571428571428569</c:v>
                </c:pt>
                <c:pt idx="2">
                  <c:v>53.571428571428569</c:v>
                </c:pt>
                <c:pt idx="3">
                  <c:v>43.857142857142854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894-F846-A2F4-FDCD8A2EB86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Responder</c:v>
                </c:pt>
              </c:strCache>
            </c:strRef>
          </c:tx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74.3</c:v>
                </c:pt>
                <c:pt idx="1">
                  <c:v>52.1</c:v>
                </c:pt>
                <c:pt idx="2">
                  <c:v>44.366700000000002</c:v>
                </c:pt>
                <c:pt idx="3">
                  <c:v>41.7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894-F846-A2F4-FDCD8A2EB86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Nonresponder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74.400000000000006</c:v>
                </c:pt>
                <c:pt idx="1">
                  <c:v>63.4</c:v>
                </c:pt>
                <c:pt idx="2">
                  <c:v>59.1</c:v>
                </c:pt>
                <c:pt idx="3">
                  <c:v>63.3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894-F846-A2F4-FDCD8A2EB86F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Prohylaxis</c:v>
                </c:pt>
              </c:strCache>
            </c:strRef>
          </c:tx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0">
                  <c:v>75.048000000000002</c:v>
                </c:pt>
                <c:pt idx="1">
                  <c:v>53.952380952380949</c:v>
                </c:pt>
                <c:pt idx="2">
                  <c:v>46.142857142857146</c:v>
                </c:pt>
                <c:pt idx="3">
                  <c:v>46.238095238095241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894-F846-A2F4-FDCD8A2EB86F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No Prophylaxis</c:v>
                </c:pt>
              </c:strCache>
            </c:strRef>
          </c:tx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8 Weeks</c:v>
                </c:pt>
                <c:pt idx="3">
                  <c:v>12 Weeks</c:v>
                </c:pt>
              </c:strCache>
            </c:strRef>
          </c:cat>
          <c:val>
            <c:numRef>
              <c:f>Sheet1!$H$2:$H$5</c:f>
              <c:numCache>
                <c:formatCode>General</c:formatCode>
                <c:ptCount val="4"/>
                <c:pt idx="0">
                  <c:v>73.525999999999996</c:v>
                </c:pt>
                <c:pt idx="1">
                  <c:v>57.89473684210526</c:v>
                </c:pt>
                <c:pt idx="2">
                  <c:v>50.157894736842103</c:v>
                </c:pt>
                <c:pt idx="3">
                  <c:v>48.05263157894737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894-F846-A2F4-FDCD8A2EB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086272"/>
        <c:axId val="118088064"/>
      </c:lineChart>
      <c:catAx>
        <c:axId val="118086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8088064"/>
        <c:crosses val="autoZero"/>
        <c:auto val="1"/>
        <c:lblAlgn val="ctr"/>
        <c:lblOffset val="100"/>
        <c:noMultiLvlLbl val="0"/>
      </c:catAx>
      <c:valAx>
        <c:axId val="118088064"/>
        <c:scaling>
          <c:orientation val="minMax"/>
          <c:max val="80"/>
          <c:min val="4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086272"/>
        <c:crosses val="autoZero"/>
        <c:crossBetween val="between"/>
        <c:majorUnit val="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IN"/>
              <a:t>Primary and secondary outcomes</a:t>
            </a:r>
            <a:r>
              <a:rPr lang="en-IN" baseline="0"/>
              <a:t> </a:t>
            </a:r>
            <a:endParaRPr lang="en-IN"/>
          </a:p>
        </c:rich>
      </c:tx>
      <c:layout>
        <c:manualLayout>
          <c:xMode val="edge"/>
          <c:yMode val="edge"/>
          <c:x val="0.31865740740740739"/>
          <c:y val="2.879787508575816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999033974919802E-2"/>
          <c:y val="0.14610263560804898"/>
          <c:w val="0.89444335083114612"/>
          <c:h val="0.692992494247590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Baseline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Sheet1!$A$2:$A$4</c:f>
              <c:strCache>
                <c:ptCount val="3"/>
                <c:pt idx="0">
                  <c:v>Total Headache days</c:v>
                </c:pt>
                <c:pt idx="1">
                  <c:v>Migraine days</c:v>
                </c:pt>
                <c:pt idx="2">
                  <c:v>Analgesic consumption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21.725000000000001</c:v>
                </c:pt>
                <c:pt idx="1">
                  <c:v>10.4</c:v>
                </c:pt>
                <c:pt idx="2">
                  <c:v>14.525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89-CC4E-BF80-B0CBF6B1E16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4 Weeks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Sheet1!$A$2:$A$4</c:f>
              <c:strCache>
                <c:ptCount val="3"/>
                <c:pt idx="0">
                  <c:v>Total Headache days</c:v>
                </c:pt>
                <c:pt idx="1">
                  <c:v>Migraine days</c:v>
                </c:pt>
                <c:pt idx="2">
                  <c:v>Analgesic consumption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14.025</c:v>
                </c:pt>
                <c:pt idx="1">
                  <c:v>6.625</c:v>
                </c:pt>
                <c:pt idx="2">
                  <c:v>8.7750000000000004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89-CC4E-BF80-B0CBF6B1E16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8 Weeks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Sheet1!$A$2:$A$4</c:f>
              <c:strCache>
                <c:ptCount val="3"/>
                <c:pt idx="0">
                  <c:v>Total Headache days</c:v>
                </c:pt>
                <c:pt idx="1">
                  <c:v>Migraine days</c:v>
                </c:pt>
                <c:pt idx="2">
                  <c:v>Analgesic consumption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11.9</c:v>
                </c:pt>
                <c:pt idx="1">
                  <c:v>5.85</c:v>
                </c:pt>
                <c:pt idx="2">
                  <c:v>8.5250000000000004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89-CC4E-BF80-B0CBF6B1E16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12 Weeks</c:v>
                </c:pt>
              </c:strCache>
            </c:strRef>
          </c:tx>
          <c:spPr>
            <a:pattFill prst="zigZag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Sheet1!$A$2:$A$4</c:f>
              <c:strCache>
                <c:ptCount val="3"/>
                <c:pt idx="0">
                  <c:v>Total Headache days</c:v>
                </c:pt>
                <c:pt idx="1">
                  <c:v>Migraine days</c:v>
                </c:pt>
                <c:pt idx="2">
                  <c:v>Analgesic consumption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12.6</c:v>
                </c:pt>
                <c:pt idx="1">
                  <c:v>6.1</c:v>
                </c:pt>
                <c:pt idx="2">
                  <c:v>10.375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89-CC4E-BF80-B0CBF6B1E1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147392"/>
        <c:axId val="103148928"/>
      </c:barChart>
      <c:catAx>
        <c:axId val="103147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3148928"/>
        <c:crosses val="autoZero"/>
        <c:auto val="1"/>
        <c:lblAlgn val="ctr"/>
        <c:lblOffset val="100"/>
        <c:noMultiLvlLbl val="0"/>
      </c:catAx>
      <c:valAx>
        <c:axId val="1031489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0314739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</c:spPr>
    </c:plotArea>
    <c:legend>
      <c:legendPos val="r"/>
      <c:layout>
        <c:manualLayout>
          <c:xMode val="edge"/>
          <c:yMode val="edge"/>
          <c:x val="1.1574074074074073E-2"/>
          <c:y val="3.4802268421483283E-2"/>
          <c:w val="0.1242700131233596"/>
          <c:h val="0.26370034680916682"/>
        </c:manualLayout>
      </c:layout>
      <c:overlay val="0"/>
    </c:legend>
    <c:plotVisOnly val="1"/>
    <c:dispBlanksAs val="gap"/>
    <c:showDLblsOverMax val="0"/>
  </c:chart>
  <c:spPr>
    <a:scene3d>
      <a:camera prst="orthographicFront"/>
      <a:lightRig rig="threePt" dir="t"/>
    </a:scene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IN" sz="1600"/>
              <a:t>Comparisons</a:t>
            </a:r>
            <a:r>
              <a:rPr lang="en-IN" sz="1600" baseline="0"/>
              <a:t> of variable after repeat injection</a:t>
            </a:r>
            <a:endParaRPr lang="en-IN" sz="1600"/>
          </a:p>
        </c:rich>
      </c:tx>
      <c:layout>
        <c:manualLayout>
          <c:xMode val="edge"/>
          <c:yMode val="edge"/>
          <c:x val="0.40528926071741034"/>
          <c:y val="4.3650793650793648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Headache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Baseline</c:v>
                </c:pt>
                <c:pt idx="1">
                  <c:v>1st Inj</c:v>
                </c:pt>
                <c:pt idx="2">
                  <c:v>2nd Inj</c:v>
                </c:pt>
                <c:pt idx="3">
                  <c:v>3rd Inj</c:v>
                </c:pt>
                <c:pt idx="4">
                  <c:v>4th inj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21.725000000000001</c:v>
                </c:pt>
                <c:pt idx="1">
                  <c:v>12.6</c:v>
                </c:pt>
                <c:pt idx="2">
                  <c:v>14.3</c:v>
                </c:pt>
                <c:pt idx="3">
                  <c:v>13.75</c:v>
                </c:pt>
                <c:pt idx="4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60-7140-92A4-E6850342E0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Analgesic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Sheet1!$A$2:$A$6</c:f>
              <c:strCache>
                <c:ptCount val="5"/>
                <c:pt idx="0">
                  <c:v>Baseline</c:v>
                </c:pt>
                <c:pt idx="1">
                  <c:v>1st Inj</c:v>
                </c:pt>
                <c:pt idx="2">
                  <c:v>2nd Inj</c:v>
                </c:pt>
                <c:pt idx="3">
                  <c:v>3rd Inj</c:v>
                </c:pt>
                <c:pt idx="4">
                  <c:v>4th inj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14.25</c:v>
                </c:pt>
                <c:pt idx="1">
                  <c:v>10.375</c:v>
                </c:pt>
                <c:pt idx="2">
                  <c:v>9.76</c:v>
                </c:pt>
                <c:pt idx="3">
                  <c:v>9.33</c:v>
                </c:pt>
                <c:pt idx="4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60-7140-92A4-E6850342E02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HIT6 x3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Baseline</c:v>
                </c:pt>
                <c:pt idx="1">
                  <c:v>1st Inj</c:v>
                </c:pt>
                <c:pt idx="2">
                  <c:v>2nd Inj</c:v>
                </c:pt>
                <c:pt idx="3">
                  <c:v>3rd Inj</c:v>
                </c:pt>
                <c:pt idx="4">
                  <c:v>4th inj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24.8</c:v>
                </c:pt>
                <c:pt idx="1">
                  <c:v>15.7</c:v>
                </c:pt>
                <c:pt idx="2">
                  <c:v>18.2</c:v>
                </c:pt>
                <c:pt idx="3">
                  <c:v>18.75</c:v>
                </c:pt>
                <c:pt idx="4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60-7140-92A4-E6850342E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56384"/>
        <c:axId val="25057920"/>
      </c:barChart>
      <c:catAx>
        <c:axId val="25056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057920"/>
        <c:crosses val="autoZero"/>
        <c:auto val="1"/>
        <c:lblAlgn val="ctr"/>
        <c:lblOffset val="100"/>
        <c:noMultiLvlLbl val="0"/>
      </c:catAx>
      <c:valAx>
        <c:axId val="25057920"/>
        <c:scaling>
          <c:orientation val="minMax"/>
          <c:max val="2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5638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Farouk Ahmed</dc:creator>
  <cp:keywords/>
  <dc:description/>
  <cp:lastModifiedBy>Trupti Sudge</cp:lastModifiedBy>
  <cp:revision>2</cp:revision>
  <dcterms:created xsi:type="dcterms:W3CDTF">2023-04-25T23:21:00Z</dcterms:created>
  <dcterms:modified xsi:type="dcterms:W3CDTF">2023-04-25T23:21:00Z</dcterms:modified>
</cp:coreProperties>
</file>