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275E9B" w14:textId="77777777" w:rsidR="00201C82" w:rsidRPr="002D524C" w:rsidRDefault="00201C82" w:rsidP="00201C82">
      <w:pPr>
        <w:pStyle w:val="Title"/>
      </w:pPr>
      <w:r>
        <w:t>Microbial</w:t>
      </w:r>
      <w:r w:rsidRPr="002D524C">
        <w:t xml:space="preserve"> </w:t>
      </w:r>
      <w:r>
        <w:t>community</w:t>
      </w:r>
      <w:r w:rsidRPr="002D524C">
        <w:t xml:space="preserve"> </w:t>
      </w:r>
      <w:r>
        <w:t>composition of food waste before</w:t>
      </w:r>
      <w:r w:rsidRPr="002D524C">
        <w:t xml:space="preserve"> </w:t>
      </w:r>
      <w:r>
        <w:t>anaerobic digestion</w:t>
      </w:r>
    </w:p>
    <w:p w14:paraId="6E8EFF90" w14:textId="0922CE8B" w:rsidR="00A72347" w:rsidRPr="00A72347" w:rsidRDefault="00A72347" w:rsidP="00A72347">
      <w:pPr>
        <w:jc w:val="center"/>
        <w:rPr>
          <w:b/>
          <w:bCs/>
          <w:lang w:eastAsia="en-US"/>
        </w:rPr>
      </w:pPr>
      <w:r w:rsidRPr="00A72347">
        <w:rPr>
          <w:b/>
          <w:bCs/>
          <w:lang w:eastAsia="en-US"/>
        </w:rPr>
        <w:t>---Supplementary materials</w:t>
      </w:r>
    </w:p>
    <w:p w14:paraId="49210740" w14:textId="77777777" w:rsidR="00A72347" w:rsidRPr="002D524C" w:rsidRDefault="00A72347" w:rsidP="00A72347">
      <w:pPr>
        <w:jc w:val="center"/>
        <w:rPr>
          <w:lang w:val="en-US"/>
        </w:rPr>
      </w:pPr>
    </w:p>
    <w:p w14:paraId="132004A2" w14:textId="77777777" w:rsidR="00A72347" w:rsidRPr="002D524C" w:rsidRDefault="00A72347" w:rsidP="00A72347">
      <w:pPr>
        <w:jc w:val="center"/>
        <w:rPr>
          <w:lang w:val="en-US"/>
        </w:rPr>
      </w:pPr>
    </w:p>
    <w:p w14:paraId="4E5E8149" w14:textId="77777777" w:rsidR="00A72347" w:rsidRPr="002D524C" w:rsidRDefault="00A72347" w:rsidP="00A72347">
      <w:pPr>
        <w:jc w:val="center"/>
        <w:rPr>
          <w:lang w:val="en-US"/>
        </w:rPr>
      </w:pPr>
    </w:p>
    <w:p w14:paraId="1A929D78" w14:textId="2CF6E43E" w:rsidR="00A72347" w:rsidRPr="002D524C" w:rsidRDefault="00A72347" w:rsidP="00A72347">
      <w:pPr>
        <w:jc w:val="center"/>
        <w:rPr>
          <w:vertAlign w:val="superscript"/>
          <w:lang w:val="en-US"/>
        </w:rPr>
      </w:pPr>
      <w:r w:rsidRPr="002D524C">
        <w:rPr>
          <w:lang w:val="en-US"/>
        </w:rPr>
        <w:t>Linjie Tang</w:t>
      </w:r>
      <w:r w:rsidRPr="002D524C">
        <w:rPr>
          <w:vertAlign w:val="superscript"/>
          <w:lang w:val="en-US"/>
        </w:rPr>
        <w:t>1</w:t>
      </w:r>
      <w:r w:rsidR="008365D5">
        <w:rPr>
          <w:vertAlign w:val="superscript"/>
          <w:lang w:val="en-US"/>
        </w:rPr>
        <w:t>*</w:t>
      </w:r>
      <w:r w:rsidRPr="002D524C">
        <w:rPr>
          <w:lang w:val="en-US"/>
        </w:rPr>
        <w:t>, Jack O’Dwyer</w:t>
      </w:r>
      <w:r w:rsidRPr="002D524C">
        <w:rPr>
          <w:vertAlign w:val="superscript"/>
          <w:lang w:val="en-US"/>
        </w:rPr>
        <w:t>2</w:t>
      </w:r>
      <w:r w:rsidRPr="002D524C">
        <w:rPr>
          <w:lang w:val="en-US"/>
        </w:rPr>
        <w:t xml:space="preserve">, </w:t>
      </w:r>
      <w:proofErr w:type="spellStart"/>
      <w:r w:rsidRPr="002D524C">
        <w:rPr>
          <w:lang w:val="en-US"/>
        </w:rPr>
        <w:t>Önder</w:t>
      </w:r>
      <w:proofErr w:type="spellEnd"/>
      <w:r w:rsidRPr="002D524C">
        <w:rPr>
          <w:lang w:val="en-US"/>
        </w:rPr>
        <w:t xml:space="preserve"> Kimyon</w:t>
      </w:r>
      <w:r w:rsidRPr="002D524C">
        <w:rPr>
          <w:vertAlign w:val="superscript"/>
          <w:lang w:val="en-US"/>
        </w:rPr>
        <w:t>1</w:t>
      </w:r>
      <w:r w:rsidRPr="002D524C">
        <w:rPr>
          <w:lang w:val="en-US"/>
        </w:rPr>
        <w:t>, Michael J Manefield</w:t>
      </w:r>
      <w:r w:rsidRPr="002D524C">
        <w:rPr>
          <w:vertAlign w:val="superscript"/>
          <w:lang w:val="en-US"/>
        </w:rPr>
        <w:t>1</w:t>
      </w:r>
    </w:p>
    <w:p w14:paraId="05AFD72B" w14:textId="77777777" w:rsidR="00A72347" w:rsidRPr="002D524C" w:rsidRDefault="00A72347" w:rsidP="00A72347">
      <w:pPr>
        <w:jc w:val="center"/>
        <w:rPr>
          <w:vertAlign w:val="superscript"/>
          <w:lang w:val="en-US"/>
        </w:rPr>
      </w:pPr>
    </w:p>
    <w:p w14:paraId="45DE468A" w14:textId="77777777" w:rsidR="00A72347" w:rsidRPr="002D524C" w:rsidRDefault="00A72347" w:rsidP="00A72347">
      <w:pPr>
        <w:jc w:val="center"/>
        <w:rPr>
          <w:lang w:val="en-US"/>
        </w:rPr>
      </w:pPr>
      <w:r w:rsidRPr="002D524C">
        <w:rPr>
          <w:vertAlign w:val="superscript"/>
          <w:lang w:val="en-US"/>
        </w:rPr>
        <w:t>1</w:t>
      </w:r>
      <w:r w:rsidRPr="002D524C">
        <w:rPr>
          <w:lang w:val="en-US"/>
        </w:rPr>
        <w:t>School of Civil and Environmental Engineering, UNSW Sydney, NSW 2052, Australia</w:t>
      </w:r>
    </w:p>
    <w:p w14:paraId="7B4505A1" w14:textId="77777777" w:rsidR="00A72347" w:rsidRPr="002D524C" w:rsidRDefault="00A72347" w:rsidP="00A72347">
      <w:pPr>
        <w:jc w:val="center"/>
        <w:rPr>
          <w:lang w:val="en-US"/>
        </w:rPr>
      </w:pPr>
      <w:r w:rsidRPr="002D524C">
        <w:rPr>
          <w:vertAlign w:val="superscript"/>
          <w:lang w:val="en-US"/>
        </w:rPr>
        <w:t>2</w:t>
      </w:r>
      <w:r w:rsidRPr="002D524C">
        <w:rPr>
          <w:lang w:val="en-US"/>
        </w:rPr>
        <w:t>School of Chemical Engineering, UNSW Sydney, NSW 2052, Australia</w:t>
      </w:r>
    </w:p>
    <w:p w14:paraId="21F5E81A" w14:textId="77777777" w:rsidR="00A72347" w:rsidRPr="002D524C" w:rsidRDefault="00A72347" w:rsidP="00A72347">
      <w:pPr>
        <w:jc w:val="center"/>
        <w:rPr>
          <w:lang w:val="en-US"/>
        </w:rPr>
      </w:pPr>
    </w:p>
    <w:p w14:paraId="71D5F599" w14:textId="17727434" w:rsidR="00A72347" w:rsidRPr="002D524C" w:rsidRDefault="00A72347" w:rsidP="00A72347">
      <w:pPr>
        <w:jc w:val="center"/>
        <w:rPr>
          <w:lang w:val="en-US"/>
        </w:rPr>
      </w:pPr>
      <w:r w:rsidRPr="002D524C">
        <w:rPr>
          <w:lang w:val="en-US"/>
        </w:rPr>
        <w:t>*Corresponding author:</w:t>
      </w:r>
      <w:r w:rsidR="008365D5">
        <w:rPr>
          <w:lang w:val="en-US"/>
        </w:rPr>
        <w:t xml:space="preserve"> </w:t>
      </w:r>
      <w:r w:rsidR="008365D5" w:rsidRPr="00D61A9D">
        <w:rPr>
          <w:u w:val="single"/>
          <w:lang w:val="en-US"/>
        </w:rPr>
        <w:t>linjie.tang@unsw.edu.au</w:t>
      </w:r>
    </w:p>
    <w:p w14:paraId="383BEBB7" w14:textId="77777777" w:rsidR="00A72347" w:rsidRPr="002D524C" w:rsidRDefault="00A72347" w:rsidP="00A72347">
      <w:pPr>
        <w:jc w:val="center"/>
        <w:rPr>
          <w:lang w:val="en-US"/>
        </w:rPr>
      </w:pPr>
    </w:p>
    <w:p w14:paraId="5D25D2DE" w14:textId="41BE9810" w:rsidR="00A72347" w:rsidRDefault="00A72347" w:rsidP="00A72347">
      <w:pPr>
        <w:rPr>
          <w:lang w:val="en-US"/>
        </w:rPr>
      </w:pPr>
      <w:r w:rsidRPr="002D524C">
        <w:rPr>
          <w:b/>
          <w:bCs/>
          <w:lang w:val="en-US"/>
        </w:rPr>
        <w:t>Keywords:</w:t>
      </w:r>
      <w:r w:rsidRPr="002D524C">
        <w:rPr>
          <w:lang w:val="en-US"/>
        </w:rPr>
        <w:t xml:space="preserve"> </w:t>
      </w:r>
      <w:r w:rsidR="00FD779F" w:rsidRPr="002D524C">
        <w:rPr>
          <w:lang w:val="en-US"/>
        </w:rPr>
        <w:t xml:space="preserve">Food waste, anaerobic digestion, </w:t>
      </w:r>
      <w:r w:rsidR="00FD779F">
        <w:rPr>
          <w:lang w:val="en-US"/>
        </w:rPr>
        <w:t>bacterial</w:t>
      </w:r>
      <w:r w:rsidR="00FD779F" w:rsidRPr="002D524C">
        <w:rPr>
          <w:lang w:val="en-US"/>
        </w:rPr>
        <w:t xml:space="preserve"> community</w:t>
      </w:r>
      <w:r w:rsidR="00FD779F">
        <w:rPr>
          <w:lang w:val="en-US"/>
        </w:rPr>
        <w:t>, fungal community</w:t>
      </w:r>
    </w:p>
    <w:p w14:paraId="01BF4882" w14:textId="77777777" w:rsidR="00A72347" w:rsidRDefault="00A72347">
      <w:pPr>
        <w:spacing w:after="160" w:line="259" w:lineRule="auto"/>
        <w:jc w:val="left"/>
        <w:rPr>
          <w:lang w:val="en-US"/>
        </w:rPr>
      </w:pPr>
      <w:r>
        <w:rPr>
          <w:lang w:val="en-US"/>
        </w:rPr>
        <w:br w:type="page"/>
      </w:r>
    </w:p>
    <w:p w14:paraId="036ECD21" w14:textId="0A348990" w:rsidR="0081595D" w:rsidRPr="007B2AC3" w:rsidRDefault="00A72347" w:rsidP="007B2AC3">
      <w:pPr>
        <w:pStyle w:val="ListParagraph"/>
        <w:numPr>
          <w:ilvl w:val="0"/>
          <w:numId w:val="1"/>
        </w:numPr>
        <w:rPr>
          <w:b/>
          <w:bCs/>
        </w:rPr>
      </w:pPr>
      <w:r w:rsidRPr="007B2AC3">
        <w:rPr>
          <w:b/>
          <w:bCs/>
        </w:rPr>
        <w:lastRenderedPageBreak/>
        <w:t>Bacteria growth model</w:t>
      </w:r>
      <w:r w:rsidR="007B2AC3" w:rsidRPr="007B2AC3">
        <w:rPr>
          <w:b/>
          <w:bCs/>
        </w:rPr>
        <w:t>ling</w:t>
      </w:r>
    </w:p>
    <w:p w14:paraId="0BC6FEB2" w14:textId="760CA174" w:rsidR="001F56E2" w:rsidRPr="001F56E2" w:rsidRDefault="001F56E2" w:rsidP="001F56E2">
      <w:r w:rsidRPr="001F56E2">
        <w:rPr>
          <w:rFonts w:eastAsiaTheme="minorEastAsia"/>
          <w:lang w:val="en-GB"/>
        </w:rPr>
        <w:t>The change in cell biomass concentration (X) (g/L) (equation 2) is based on the Monod equation. The change in the available substrate (S) (g/L) is based on the change in cell mass (equation 3). The discretized model for a time step delta-t can be described by equations 4 and 5. Note that the output of the model is in cell density (CFU/mL), cell mass concentration is converted to cell density by dividing by the cell weight.</w:t>
      </w:r>
      <w:r w:rsidR="00586164">
        <w:rPr>
          <w:rFonts w:eastAsiaTheme="minorEastAsia"/>
          <w:lang w:val="en-GB"/>
        </w:rPr>
        <w:t xml:space="preserve"> The cell growth model is presented in </w:t>
      </w:r>
      <w:r w:rsidR="000E1760">
        <w:rPr>
          <w:rFonts w:eastAsiaTheme="minorEastAsia"/>
          <w:lang w:val="en-GB"/>
        </w:rPr>
        <w:t>Figure</w:t>
      </w:r>
      <w:r w:rsidR="00586164">
        <w:rPr>
          <w:rFonts w:eastAsiaTheme="minorEastAsia"/>
          <w:lang w:val="en-GB"/>
        </w:rPr>
        <w:t xml:space="preserve"> </w:t>
      </w:r>
      <w:r w:rsidR="000E1760">
        <w:rPr>
          <w:rFonts w:eastAsiaTheme="minorEastAsia"/>
          <w:lang w:val="en-GB"/>
        </w:rPr>
        <w:t>S</w:t>
      </w:r>
      <w:r w:rsidR="00586164">
        <w:rPr>
          <w:rFonts w:eastAsiaTheme="minorEastAsia"/>
          <w:lang w:val="en-GB"/>
        </w:rPr>
        <w:t xml:space="preserve">1. </w:t>
      </w:r>
    </w:p>
    <w:p w14:paraId="6C25A2B1" w14:textId="77777777" w:rsidR="001F56E2" w:rsidRPr="001F56E2" w:rsidRDefault="001F56E2" w:rsidP="001F56E2">
      <w:pPr>
        <w:rPr>
          <w:iCs/>
        </w:rPr>
      </w:pPr>
      <m:oMathPara>
        <m:oMath>
          <m:r>
            <w:rPr>
              <w:rFonts w:ascii="Cambria Math" w:hAnsi="Cambria Math"/>
            </w:rPr>
            <m:t>μ</m:t>
          </m:r>
          <m:r>
            <m:rPr>
              <m:sty m:val="p"/>
            </m:rPr>
            <w:rPr>
              <w:rFonts w:ascii="Cambria Math" w:hAnsi="Cambria Math"/>
            </w:rPr>
            <m:t xml:space="preserve">= </m:t>
          </m:r>
          <m:f>
            <m:fPr>
              <m:ctrlPr>
                <w:rPr>
                  <w:rFonts w:ascii="Cambria Math" w:eastAsia="SimSun" w:hAnsi="Cambria Math"/>
                  <w:iCs/>
                  <w:szCs w:val="22"/>
                  <w:lang w:eastAsia="en-US"/>
                </w:rPr>
              </m:ctrlPr>
            </m:fPr>
            <m:num>
              <m:sSub>
                <m:sSubPr>
                  <m:ctrlPr>
                    <w:rPr>
                      <w:rFonts w:ascii="Cambria Math" w:eastAsia="SimSun" w:hAnsi="Cambria Math"/>
                      <w:iCs/>
                      <w:szCs w:val="22"/>
                      <w:lang w:eastAsia="en-US"/>
                    </w:rPr>
                  </m:ctrlPr>
                </m:sSubPr>
                <m:e>
                  <m:r>
                    <m:rPr>
                      <m:sty m:val="p"/>
                    </m:rPr>
                    <w:rPr>
                      <w:rFonts w:ascii="Cambria Math" w:hAnsi="Cambria Math"/>
                    </w:rPr>
                    <w:sym w:font="Symbol" w:char="F06D"/>
                  </m:r>
                </m:e>
                <m:sub>
                  <m:r>
                    <w:rPr>
                      <w:rFonts w:ascii="Cambria Math" w:hAnsi="Cambria Math"/>
                    </w:rPr>
                    <m:t>max</m:t>
                  </m:r>
                </m:sub>
              </m:sSub>
              <m:r>
                <w:rPr>
                  <w:rFonts w:ascii="Cambria Math" w:hAnsi="Cambria Math"/>
                </w:rPr>
                <m:t>S</m:t>
              </m:r>
            </m:num>
            <m:den>
              <m:sSub>
                <m:sSubPr>
                  <m:ctrlPr>
                    <w:rPr>
                      <w:rFonts w:ascii="Cambria Math" w:eastAsia="SimSun" w:hAnsi="Cambria Math"/>
                      <w:iCs/>
                      <w:szCs w:val="22"/>
                      <w:lang w:eastAsia="en-US"/>
                    </w:rPr>
                  </m:ctrlPr>
                </m:sSubPr>
                <m:e>
                  <m:r>
                    <w:rPr>
                      <w:rFonts w:ascii="Cambria Math" w:hAnsi="Cambria Math"/>
                    </w:rPr>
                    <m:t>K</m:t>
                  </m:r>
                </m:e>
                <m:sub>
                  <m:r>
                    <w:rPr>
                      <w:rFonts w:ascii="Cambria Math" w:hAnsi="Cambria Math"/>
                    </w:rPr>
                    <m:t>s</m:t>
                  </m:r>
                </m:sub>
              </m:sSub>
              <m:r>
                <m:rPr>
                  <m:sty m:val="p"/>
                </m:rPr>
                <w:rPr>
                  <w:rFonts w:ascii="Cambria Math" w:hAnsi="Cambria Math"/>
                </w:rPr>
                <m:t>+</m:t>
              </m:r>
              <m:r>
                <w:rPr>
                  <w:rFonts w:ascii="Cambria Math" w:hAnsi="Cambria Math"/>
                </w:rPr>
                <m:t>S</m:t>
              </m:r>
            </m:den>
          </m:f>
        </m:oMath>
      </m:oMathPara>
    </w:p>
    <w:p w14:paraId="7ADF4AB2" w14:textId="61E6DF1B" w:rsidR="001F56E2" w:rsidRPr="001F56E2" w:rsidRDefault="001F56E2" w:rsidP="001F56E2">
      <w:pPr>
        <w:rPr>
          <w:szCs w:val="18"/>
        </w:rPr>
      </w:pPr>
      <w:r w:rsidRPr="001F56E2">
        <w:rPr>
          <w:b/>
          <w:bCs/>
        </w:rPr>
        <w:t>Equation 1</w:t>
      </w:r>
      <w:r w:rsidRPr="001F56E2">
        <w:rPr>
          <w:b/>
          <w:bCs/>
          <w:noProof/>
        </w:rPr>
        <w:t>.</w:t>
      </w:r>
      <w:r w:rsidRPr="001F56E2">
        <w:t xml:space="preserve"> Monod Equation</w:t>
      </w:r>
      <w:r w:rsidR="00A67935">
        <w:t xml:space="preserve"> </w:t>
      </w:r>
      <w:r w:rsidR="00A67935">
        <w:fldChar w:fldCharType="begin" w:fldLock="1"/>
      </w:r>
      <w:r w:rsidR="00A67935">
        <w:instrText>ADDIN paperpile_citation &lt;clusterId&gt;A881N277J537H252&lt;/clusterId&gt;&lt;metadata&gt;&lt;citation&gt;&lt;id&gt;ed8d0a60-8b50-4245-a87b-b5450c494a70&lt;/id&gt;&lt;/citation&gt;&lt;/metadata&gt;&lt;data&gt;eJydVttu20YQ/ZUFH4IGEGneLwaCVlbs1oWdBK7TPCRFsFwupU2WXJa7tKwG+feeoaTYTZui6IsgLudy5pzZGb795L1XjXfqyaZsQp6HfllnoZ/Gaebzsqj9OkuzUKRVyovQW3jNNLy3Gx7BQ2RNWaZZXou6TbhMChmJsuBFXKRFVsMnFHHUihheytpJwiXC/2nU3ulbb+PcYE9PTrbbbcD7fuJ6lHdKbm1gxvVJY9QJr+1JFAZRlOYnZIH3QaeCMAmiMIzSKgjDOAoThKRYCNXcB/Cb/Y9+yxcvXt+c/xpcX/7d77eFN0y1VnYjR2BbziDYzR4FY2mUVOxcsxXvVG/YG75bsFfBy4CdmXsWhXiLZ64NW2pnFmy1ZFWahIm/f/P6lyWxZRRV/R/APGCBGJ+8zvRuQ67EWMN3+BuX+LuTnLDGIVw+LzynnCZeb386Zz/evHxz+xN7ecHOlqvb85vL5RVbvb66Rcpf4Ak23ciFI+uNZNZNzY6Zljk8rEezdRt6qmEhRwUexKQdKLesMfjpjWPC9BYJJycZZ3aQAmbqD9kwO9UfpHDMjKweeS/mSHAFVrE5ZcoxZec8NbdKsE66jWnI5lqJ0dTKaLPeBezSsa2ZdMNqStAaQ3Qw2QPQMCorF4z3DeCYDjmdYS1XGggX9J87J7vBsX0PqX4NJEq2eodI77wDwHce224U4AlzJ0fLUCsUh42ZRrwxWrJGWaEGrXoZsNe9ltYuCKiABQHYypkF1ciRMKCk1owd2NIcLQPDA5M4pbdqZGbbM8s/zuAZH4bRcADYw9hwC8CD5E42QIF3d8QmCaCR/7KfMwzEZH8sjSDg/mn9BcgjzQ7ZEZYfWT4gedD7wXrY7Oye+5lY6CA2slNoE4hxbcY5tQDxerf4S1ohx57NjOg79MZWISfl+H3iPRqEO3UHBalDnD222B7O4sFY7XWVZG56MvuLe8MdR8mtHEdSExJ/XWbALqYRkcbOjHLxD7z8weS90JNFOLA7U2msmqMPoF4+EmzBrEJZ32LqnddApM0CDaQCGSyORfVyzb8RT/V3ZmYHHeUQ25G8tZadncne02EDRneRmm6ylmjYKlSA/teqU27f5oMZJj2TZB8331r20ikx9+/GdIaezXSI+CUXEHXTgWLKC8mgCj2pfsZK5H656huOWmope2JOao22Q3TUrt1eODihJR51Ix+BAdeE1Tv2XGpcOiU+su+ip3O2qwn0se/ipwF78XBHMQw63qBDHl9XolOj5JETFEZwv8yV+bYsqK0h8ozxw2QdapH9gqLRcBrlzMSDE6Lj5EAHH+b7DkgoE9VaNJshfh8q3jODI6SBCBNNyz3pB7EHg5a1R7FkE9DM5mtpMVGTIvKTKsXJYTdKPDV5WTVtUxdlHNdJU6e8Fq2s0ziMpGybpsAreLRGQ1FLOzELm4a3eeLXTRn5YSVqnydh7ou8zuNC1GFUc1pbfEL3YA+8/eSpHh3NNYH4mYKp0dKI/5mL3ydAo/AYUGCedvy16TESyG6/85M0jfIqif0kFYUflmHlV3Em/LJMijjLeBoLAWPN55izt/cZ+QX15tnuSvUfcX7YvlZggvIxWBuzxvgSpjsefb/Rz2T/RI/PnvRT9ywJn1AA++z/re15U7rdQHvv1av3y5vby9XV+QyzlkTEWyD8gPHUc31AR98ZX6f49y8KAvhR7o5V07717+7xAvN8/lqoLrLVxdnzMssv0ig6Xy3zvCjTVb46y8swC0lYDICpI5RzwHEe895plCdlmWdpmAZlHuVhiS0+8v3eDyEMZb5uMri1dV63RRQlsKqqSEayiiIZZmVVR21atdRtKFPIvZhNmsZRVbR+wUUKMbPIr6tC+EXGW7jFSRQ18yeJOL9HxucYsPSloewF5qda995piz6S9LF22V8pbPIR9btxmo+ujCA6DyYzC+cdFjASa8U7x/t1CHg/rOmQxD9y9YLPHJARIyvv8+ff/gQ29G7Q&lt;/data&gt; \* MERGEFORMAT</w:instrText>
      </w:r>
      <w:r w:rsidR="00A67935">
        <w:fldChar w:fldCharType="separate"/>
      </w:r>
      <w:r w:rsidR="00B06018">
        <w:rPr>
          <w:noProof/>
        </w:rPr>
        <w:t>(</w:t>
      </w:r>
      <w:r w:rsidR="00EE16DF">
        <w:rPr>
          <w:noProof/>
        </w:rPr>
        <w:t xml:space="preserve">ref. </w:t>
      </w:r>
      <w:r w:rsidR="00B06018">
        <w:rPr>
          <w:noProof/>
        </w:rPr>
        <w:t>1)</w:t>
      </w:r>
      <w:r w:rsidR="00A67935">
        <w:fldChar w:fldCharType="end"/>
      </w:r>
      <w:r w:rsidRPr="001F56E2">
        <w:t xml:space="preserve">. </w:t>
      </w:r>
    </w:p>
    <w:p w14:paraId="63418C2B" w14:textId="77777777" w:rsidR="001F56E2" w:rsidRPr="001F56E2" w:rsidRDefault="008F45CD" w:rsidP="001F56E2">
      <m:oMathPara>
        <m:oMath>
          <m:f>
            <m:fPr>
              <m:ctrlPr>
                <w:rPr>
                  <w:rFonts w:ascii="Cambria Math" w:eastAsia="SimSun" w:hAnsi="Cambria Math"/>
                  <w:szCs w:val="22"/>
                  <w:lang w:eastAsia="en-US"/>
                </w:rPr>
              </m:ctrlPr>
            </m:fPr>
            <m:num>
              <m:r>
                <w:rPr>
                  <w:rFonts w:ascii="Cambria Math" w:hAnsi="Cambria Math"/>
                </w:rPr>
                <m:t>dX</m:t>
              </m:r>
            </m:num>
            <m:den>
              <m:r>
                <w:rPr>
                  <w:rFonts w:ascii="Cambria Math" w:hAnsi="Cambria Math"/>
                </w:rPr>
                <m:t>dt</m:t>
              </m:r>
            </m:den>
          </m:f>
          <m:r>
            <m:rPr>
              <m:sty m:val="p"/>
            </m:rPr>
            <w:rPr>
              <w:rFonts w:ascii="Cambria Math" w:hAnsi="Cambria Math"/>
            </w:rPr>
            <m:t xml:space="preserve">= </m:t>
          </m:r>
          <m:sSub>
            <m:sSubPr>
              <m:ctrlPr>
                <w:rPr>
                  <w:rFonts w:ascii="Cambria Math" w:eastAsia="SimSun" w:hAnsi="Cambria Math"/>
                  <w:szCs w:val="22"/>
                  <w:lang w:eastAsia="en-US"/>
                </w:rPr>
              </m:ctrlPr>
            </m:sSubPr>
            <m:e>
              <m:r>
                <w:rPr>
                  <w:rFonts w:ascii="Cambria Math" w:hAnsi="Cambria Math"/>
                </w:rPr>
                <m:t>μ</m:t>
              </m:r>
            </m:e>
            <m:sub>
              <m:r>
                <w:rPr>
                  <w:rFonts w:ascii="Cambria Math" w:hAnsi="Cambria Math"/>
                </w:rPr>
                <m:t>G</m:t>
              </m:r>
            </m:sub>
          </m:sSub>
          <m:r>
            <w:rPr>
              <w:rFonts w:ascii="Cambria Math" w:hAnsi="Cambria Math"/>
            </w:rPr>
            <m:t>X</m:t>
          </m:r>
          <m:r>
            <m:rPr>
              <m:sty m:val="p"/>
            </m:rPr>
            <w:rPr>
              <w:rFonts w:ascii="Cambria Math" w:hAnsi="Cambria Math"/>
            </w:rPr>
            <m:t xml:space="preserve">= </m:t>
          </m:r>
          <m:f>
            <m:fPr>
              <m:ctrlPr>
                <w:rPr>
                  <w:rFonts w:ascii="Cambria Math" w:eastAsia="SimSun" w:hAnsi="Cambria Math"/>
                  <w:iCs/>
                  <w:szCs w:val="22"/>
                  <w:lang w:eastAsia="en-US"/>
                </w:rPr>
              </m:ctrlPr>
            </m:fPr>
            <m:num>
              <m:sSub>
                <m:sSubPr>
                  <m:ctrlPr>
                    <w:rPr>
                      <w:rFonts w:ascii="Cambria Math" w:eastAsia="SimSun" w:hAnsi="Cambria Math"/>
                      <w:iCs/>
                      <w:szCs w:val="22"/>
                      <w:lang w:eastAsia="en-US"/>
                    </w:rPr>
                  </m:ctrlPr>
                </m:sSubPr>
                <m:e>
                  <m:r>
                    <m:rPr>
                      <m:sty m:val="p"/>
                    </m:rPr>
                    <w:rPr>
                      <w:rFonts w:ascii="Cambria Math" w:hAnsi="Cambria Math"/>
                    </w:rPr>
                    <w:sym w:font="Symbol" w:char="F06D"/>
                  </m:r>
                </m:e>
                <m:sub>
                  <m:r>
                    <w:rPr>
                      <w:rFonts w:ascii="Cambria Math" w:hAnsi="Cambria Math"/>
                    </w:rPr>
                    <m:t>max</m:t>
                  </m:r>
                </m:sub>
              </m:sSub>
              <m:r>
                <w:rPr>
                  <w:rFonts w:ascii="Cambria Math" w:hAnsi="Cambria Math"/>
                </w:rPr>
                <m:t>S</m:t>
              </m:r>
            </m:num>
            <m:den>
              <m:sSub>
                <m:sSubPr>
                  <m:ctrlPr>
                    <w:rPr>
                      <w:rFonts w:ascii="Cambria Math" w:eastAsia="SimSun" w:hAnsi="Cambria Math"/>
                      <w:iCs/>
                      <w:szCs w:val="22"/>
                      <w:lang w:eastAsia="en-US"/>
                    </w:rPr>
                  </m:ctrlPr>
                </m:sSubPr>
                <m:e>
                  <m:r>
                    <w:rPr>
                      <w:rFonts w:ascii="Cambria Math" w:hAnsi="Cambria Math"/>
                    </w:rPr>
                    <m:t>K</m:t>
                  </m:r>
                </m:e>
                <m:sub>
                  <m:r>
                    <w:rPr>
                      <w:rFonts w:ascii="Cambria Math" w:hAnsi="Cambria Math"/>
                    </w:rPr>
                    <m:t>s</m:t>
                  </m:r>
                </m:sub>
              </m:sSub>
              <m:r>
                <m:rPr>
                  <m:sty m:val="p"/>
                </m:rPr>
                <w:rPr>
                  <w:rFonts w:ascii="Cambria Math" w:hAnsi="Cambria Math"/>
                </w:rPr>
                <m:t>+</m:t>
              </m:r>
              <m:r>
                <w:rPr>
                  <w:rFonts w:ascii="Cambria Math" w:hAnsi="Cambria Math"/>
                </w:rPr>
                <m:t>S</m:t>
              </m:r>
            </m:den>
          </m:f>
          <m:r>
            <m:rPr>
              <m:sty m:val="p"/>
            </m:rPr>
            <w:rPr>
              <w:rFonts w:ascii="Cambria Math" w:hAnsi="Cambria Math"/>
            </w:rPr>
            <m:t>⁡X</m:t>
          </m:r>
        </m:oMath>
      </m:oMathPara>
    </w:p>
    <w:p w14:paraId="64AB310D" w14:textId="33406F26" w:rsidR="001F56E2" w:rsidRPr="001F56E2" w:rsidRDefault="001F56E2" w:rsidP="001F56E2">
      <w:r w:rsidRPr="001F56E2">
        <w:rPr>
          <w:rFonts w:eastAsiaTheme="minorEastAsia"/>
          <w:b/>
          <w:bCs/>
          <w:lang w:val="en-GB"/>
        </w:rPr>
        <w:t>Equation 2</w:t>
      </w:r>
      <w:r w:rsidRPr="001F56E2">
        <w:rPr>
          <w:b/>
          <w:bCs/>
          <w:lang w:val="en-GB"/>
        </w:rPr>
        <w:t>.</w:t>
      </w:r>
      <w:r w:rsidRPr="001F56E2">
        <w:rPr>
          <w:rFonts w:eastAsiaTheme="minorEastAsia"/>
          <w:lang w:val="en-GB"/>
        </w:rPr>
        <w:t xml:space="preserve"> Mass balance of cell biomass in the digester feed tank</w:t>
      </w:r>
      <w:r w:rsidR="00843ABA">
        <w:rPr>
          <w:rFonts w:eastAsiaTheme="minorEastAsia"/>
          <w:lang w:val="en-GB"/>
        </w:rPr>
        <w:t xml:space="preserve"> </w:t>
      </w:r>
      <w:r w:rsidR="00843ABA">
        <w:rPr>
          <w:rFonts w:eastAsiaTheme="minorEastAsia"/>
          <w:lang w:val="en-GB"/>
        </w:rPr>
        <w:fldChar w:fldCharType="begin" w:fldLock="1"/>
      </w:r>
      <w:r w:rsidR="00843ABA">
        <w:rPr>
          <w:rFonts w:eastAsiaTheme="minorEastAsia"/>
          <w:lang w:val="en-GB"/>
        </w:rPr>
        <w:instrText>ADDIN paperpile_citation &lt;clusterId&gt;X173K439Z721E544&lt;/clusterId&gt;&lt;metadata&gt;&lt;citation&gt;&lt;id&gt;23c81f6c-bd39-4a05-8403-a8f6627e63f2&lt;/id&gt;&lt;/citation&gt;&lt;/metadata&gt;&lt;data&gt;eJy9V21v3LgR/ivEAg1aYFcrrbS72hRBGjtO79CkMZoA/RAcDFIarXiWSB1Jea0L8t/7kJJ27csVKFqg8AfL5Lw+88xw/OXr4k6Wi5eLTVrkSbUrVqJMD6uMx9tVnsXpiufVbrfZ0y6tNovlouy7O1vzBBppWtGh5HmcZnFZ7PIDF4csS7c5iSLHD2W7w7Ykr3VPw0mb0kLriruiZkejT65mXc0tWaYrVlDT2D+za/yaLxupyMkCp7dGttwMrDO67AuHk09UaFU+P7vVzcD7R1lMBrxUQ4WTD8RsL6wz3BHrO8fvCTH1plm8/LKonevsy/X6dDpFtpCkCiqlgVpU6HY9nay5QSQNrTsp11eHfR5nWbZL93maxnGcJCnseUOwUz5GpZaRNsd1EkdJnOyCwipeQWUVdFZpFLRWs9r/7v/1g+R/SN/KuheLn5YLaYUC1s8E4avrRSNtTQZ3N42lB4lP1FRLHPxH0c4WwJivi1YrV3tNb4MP09dA3NvfxMl+8W25EFrfO+ka8rWXGuUqyFp2o44oLxmpjuyPYzXZTSmd1OpPMDJrXNe8c2RYkrAV+0GfAkEs+ysKDCkeilo4CPq7UoNLPFCJVb0qvDGGHE9UssrolgmpG30cmNP+cw6FLqG8Zv+sh9GOq4l90EqXjH7peTAFCt+/Zp9xcT9Rc2buTFmOLCZCsiMpMqMiNxTsoaICmjBZVajwRb0lx4UGsm0wEc4MdY0sgoGIfZgECtZxV5/4YJejVFcPdsxqGVSfaAW3HDKy7bRxXDkmVYhDPyAyXExpMEE1f5DaROxtHyoiQpMWfYPmCbZgnHW665vR8tywzA0dvDXNwOixlkIiJ9DKW2elRJKG4PVZs599NPw4Hi3nmnHnqO1gAvUhi4Q91VhnqS+1dcTLgeEUPdye0ZjLDLMf0Se/JyztxRiVywBAyx9l27fPIvPixl3iey4z6hU1tT5fX8lOWzmDEe5COS4Ywa9CKwAakNt6+CP2WTuvHErOQT2pCkNhBNJjpxXAkgHMk0RUTrYUgZAEFwpFM6zV5skos6HAkw/Az3vkXXq5k9dx2o/CC1RimEclQ7WJiV42zkMN9A0y8Wk1qF0zpjpBE2amIHRIKEtpdIezTpYNCFfApYfKyqOSFSyg2EXN1ZF8ar7H7IARETg28zZiP44k9NUBTmGGjzTAqQn1UhppufMYH6mm0OGGtJGeUhCV5klyLS9qkNmE3p5RDW6QtOBCNtINrAI2jVbHFUZKCyDNA+jdROyNY1a3kNVSueX4PTpFSj4ar4QppIXjyIuU7o818/2NYRImyxiPIUvmwT9oZhYCObjSPrMLyhDTvSlo7NjAHXRaj9yRGplx9pTEZ2aCkuDzFFEJbLQbS8jVGIT8FXVvqRWGKwpGdeVAgWbwyrdz2ZF+C0ExPElOEMIBY3EO5FwN9EPzr+aQJh4UA56faBq/I5Ho/PZ6k5VuGn3ybBix0OLn6e2FXW8kEBjwBQi5v0JJou/e9kDqeZxaqwvpg1uC07IBab5794N8y0uah9tveeXxWMP3E0BZ2YewpkZETKQ4xkcUhrvFvGwwMgKQLYaJ73a8deiy3lL5bODPE7TVJTWeut8/GxH75A1K656142WOBwIMgswTUxdq2PMOM24uk6uxhQlF7jzrkEE5Rf/78qGuPno9okTq16H1mHkQEeU6VGScXEBmVDqPNbjAeLIBNFIP0mjVwqefZaHdR9fniT6+g79Zx2a68aLo/VQBnEAIE6+SIyn/fbaR3zw4pgoe+t3msNod9jgB40p0C5Y4bDzTTsr32y0/iH0qDinFSSo2SbXZc7HP93lORS7yDZWbgvvloXe1xqby5etCKukHrzf/yRuWxvqd4lMtf5Z+VQxjEQdxFOMvwe/x/V72S3aW8K3ln69yvGHeTMODFfy5+IYIC4nrq+G9VF592hZtUeuGm+io9RH9Na584eh13bwi9aIxr16ovn2Vxi+8Afvqv1wzsVS6/2e2WBSxG/gV7vb27urjx7/dXf/w5vbzzT+CqKBmqptPCv8djJp+Z1wNvjj6pMKWeni3vX539Tbf7t5lSXJz/Wa32+fZ9e76apfH29jTwM/6EEqy22f7+JAdsijN8jTLsEYaPi6r8XJx5119KLewKmIwpOJxnpeHPT+km7wivtkekk0BL1kOq+OEHv81SsQ+pmrPVxnt4lWcHcRKAPHVdo89LuGUC7jwa3Rx8wiPb7njfj2W9h3eazyNi5cV4Ca/lv+o3ktMaYOEnenD0XuNN+EsEhK/wUzyFWgkb7E4HONDkvzl6A89Q2Z4/s5bmoSYl1p8+/bTvwBIkLku&lt;/data&gt; \* MERGEFORMAT</w:instrText>
      </w:r>
      <w:r w:rsidR="00843ABA">
        <w:rPr>
          <w:rFonts w:eastAsiaTheme="minorEastAsia"/>
          <w:lang w:val="en-GB"/>
        </w:rPr>
        <w:fldChar w:fldCharType="separate"/>
      </w:r>
      <w:r w:rsidR="00B06018">
        <w:rPr>
          <w:rFonts w:eastAsiaTheme="minorEastAsia"/>
          <w:noProof/>
          <w:lang w:val="en-GB"/>
        </w:rPr>
        <w:t>(</w:t>
      </w:r>
      <w:r w:rsidR="00EE16DF">
        <w:rPr>
          <w:rFonts w:eastAsiaTheme="minorEastAsia"/>
          <w:noProof/>
          <w:lang w:val="en-GB"/>
        </w:rPr>
        <w:t xml:space="preserve">ref. </w:t>
      </w:r>
      <w:r w:rsidR="00B06018">
        <w:rPr>
          <w:rFonts w:eastAsiaTheme="minorEastAsia"/>
          <w:noProof/>
          <w:lang w:val="en-GB"/>
        </w:rPr>
        <w:t>2)</w:t>
      </w:r>
      <w:r w:rsidR="00843ABA">
        <w:rPr>
          <w:rFonts w:eastAsiaTheme="minorEastAsia"/>
          <w:lang w:val="en-GB"/>
        </w:rPr>
        <w:fldChar w:fldCharType="end"/>
      </w:r>
      <w:r w:rsidRPr="001F56E2">
        <w:rPr>
          <w:lang w:val="en-GB"/>
        </w:rPr>
        <w:t xml:space="preserve">. </w:t>
      </w:r>
    </w:p>
    <w:p w14:paraId="16859AFD" w14:textId="77777777" w:rsidR="001F56E2" w:rsidRPr="001F56E2" w:rsidRDefault="008F45CD" w:rsidP="001F56E2">
      <m:oMathPara>
        <m:oMath>
          <m:f>
            <m:fPr>
              <m:ctrlPr>
                <w:rPr>
                  <w:rFonts w:ascii="Cambria Math" w:eastAsia="SimSun" w:hAnsi="Cambria Math"/>
                  <w:lang w:val="en-GB" w:eastAsia="en-US"/>
                </w:rPr>
              </m:ctrlPr>
            </m:fPr>
            <m:num>
              <m:r>
                <w:rPr>
                  <w:rFonts w:ascii="Cambria Math" w:hAnsi="Cambria Math"/>
                  <w:lang w:val="en-GB"/>
                </w:rPr>
                <m:t>dS</m:t>
              </m:r>
            </m:num>
            <m:den>
              <m:r>
                <w:rPr>
                  <w:rFonts w:ascii="Cambria Math" w:hAnsi="Cambria Math"/>
                  <w:lang w:val="en-GB"/>
                </w:rPr>
                <m:t>dt</m:t>
              </m:r>
            </m:den>
          </m:f>
          <m:r>
            <m:rPr>
              <m:sty m:val="p"/>
            </m:rPr>
            <w:rPr>
              <w:rFonts w:ascii="Cambria Math" w:hAnsi="Cambria Math"/>
              <w:lang w:val="en-GB"/>
            </w:rPr>
            <m:t>= -</m:t>
          </m:r>
          <m:f>
            <m:fPr>
              <m:ctrlPr>
                <w:rPr>
                  <w:rFonts w:ascii="Cambria Math" w:eastAsia="SimSun" w:hAnsi="Cambria Math"/>
                  <w:lang w:val="en-GB" w:eastAsia="en-US"/>
                </w:rPr>
              </m:ctrlPr>
            </m:fPr>
            <m:num>
              <m:sSub>
                <m:sSubPr>
                  <m:ctrlPr>
                    <w:rPr>
                      <w:rFonts w:ascii="Cambria Math" w:eastAsia="SimSun" w:hAnsi="Cambria Math"/>
                      <w:szCs w:val="22"/>
                      <w:lang w:eastAsia="en-US"/>
                    </w:rPr>
                  </m:ctrlPr>
                </m:sSubPr>
                <m:e>
                  <m:r>
                    <w:rPr>
                      <w:rFonts w:ascii="Cambria Math" w:hAnsi="Cambria Math"/>
                    </w:rPr>
                    <m:t>μ</m:t>
                  </m:r>
                </m:e>
                <m:sub>
                  <m:r>
                    <w:rPr>
                      <w:rFonts w:ascii="Cambria Math" w:hAnsi="Cambria Math"/>
                    </w:rPr>
                    <m:t>G</m:t>
                  </m:r>
                </m:sub>
              </m:sSub>
            </m:num>
            <m:den>
              <m:r>
                <w:rPr>
                  <w:rFonts w:ascii="Cambria Math" w:hAnsi="Cambria Math"/>
                  <w:lang w:val="en-GB"/>
                </w:rPr>
                <m:t>Y</m:t>
              </m:r>
              <m:sSub>
                <m:sSubPr>
                  <m:ctrlPr>
                    <w:rPr>
                      <w:rFonts w:ascii="Cambria Math" w:eastAsia="SimSun" w:hAnsi="Cambria Math"/>
                      <w:lang w:val="en-GB" w:eastAsia="en-US"/>
                    </w:rPr>
                  </m:ctrlPr>
                </m:sSubPr>
                <m:e>
                  <m:r>
                    <w:rPr>
                      <w:rFonts w:ascii="Cambria Math" w:hAnsi="Cambria Math"/>
                      <w:lang w:val="en-GB"/>
                    </w:rPr>
                    <m:t>F</m:t>
                  </m:r>
                </m:e>
                <m:sub>
                  <m:f>
                    <m:fPr>
                      <m:type m:val="skw"/>
                      <m:ctrlPr>
                        <w:rPr>
                          <w:rFonts w:ascii="Cambria Math" w:eastAsia="SimSun" w:hAnsi="Cambria Math"/>
                          <w:lang w:val="en-GB" w:eastAsia="en-US"/>
                        </w:rPr>
                      </m:ctrlPr>
                    </m:fPr>
                    <m:num>
                      <m:r>
                        <w:rPr>
                          <w:rFonts w:ascii="Cambria Math" w:hAnsi="Cambria Math"/>
                          <w:lang w:val="en-GB"/>
                        </w:rPr>
                        <m:t>X</m:t>
                      </m:r>
                    </m:num>
                    <m:den>
                      <m:r>
                        <w:rPr>
                          <w:rFonts w:ascii="Cambria Math" w:hAnsi="Cambria Math"/>
                          <w:lang w:val="en-GB"/>
                        </w:rPr>
                        <m:t>S</m:t>
                      </m:r>
                    </m:den>
                  </m:f>
                </m:sub>
              </m:sSub>
            </m:den>
          </m:f>
          <m:r>
            <m:rPr>
              <m:sty m:val="p"/>
            </m:rPr>
            <w:rPr>
              <w:rFonts w:ascii="Cambria Math" w:hAnsi="Cambria Math"/>
              <w:lang w:val="en-GB"/>
            </w:rPr>
            <m:t>= -</m:t>
          </m:r>
          <m:f>
            <m:fPr>
              <m:ctrlPr>
                <w:rPr>
                  <w:rFonts w:ascii="Cambria Math" w:eastAsia="SimSun" w:hAnsi="Cambria Math"/>
                  <w:iCs/>
                  <w:szCs w:val="22"/>
                  <w:lang w:eastAsia="en-US"/>
                </w:rPr>
              </m:ctrlPr>
            </m:fPr>
            <m:num>
              <m:sSub>
                <m:sSubPr>
                  <m:ctrlPr>
                    <w:rPr>
                      <w:rFonts w:ascii="Cambria Math" w:eastAsia="SimSun" w:hAnsi="Cambria Math"/>
                      <w:iCs/>
                      <w:szCs w:val="22"/>
                      <w:lang w:eastAsia="en-US"/>
                    </w:rPr>
                  </m:ctrlPr>
                </m:sSubPr>
                <m:e>
                  <m:r>
                    <m:rPr>
                      <m:sty m:val="p"/>
                    </m:rPr>
                    <w:rPr>
                      <w:rFonts w:ascii="Cambria Math" w:hAnsi="Cambria Math"/>
                    </w:rPr>
                    <w:sym w:font="Symbol" w:char="F06D"/>
                  </m:r>
                </m:e>
                <m:sub>
                  <m:r>
                    <w:rPr>
                      <w:rFonts w:ascii="Cambria Math" w:hAnsi="Cambria Math"/>
                    </w:rPr>
                    <m:t>max</m:t>
                  </m:r>
                </m:sub>
              </m:sSub>
              <m:r>
                <w:rPr>
                  <w:rFonts w:ascii="Cambria Math" w:hAnsi="Cambria Math"/>
                </w:rPr>
                <m:t>S</m:t>
              </m:r>
            </m:num>
            <m:den>
              <m:sSub>
                <m:sSubPr>
                  <m:ctrlPr>
                    <w:rPr>
                      <w:rFonts w:ascii="Cambria Math" w:eastAsia="SimSun" w:hAnsi="Cambria Math"/>
                      <w:iCs/>
                      <w:szCs w:val="22"/>
                      <w:lang w:eastAsia="en-US"/>
                    </w:rPr>
                  </m:ctrlPr>
                </m:sSubPr>
                <m:e>
                  <m:r>
                    <w:rPr>
                      <w:rFonts w:ascii="Cambria Math" w:hAnsi="Cambria Math"/>
                    </w:rPr>
                    <m:t>K</m:t>
                  </m:r>
                </m:e>
                <m:sub>
                  <m:r>
                    <w:rPr>
                      <w:rFonts w:ascii="Cambria Math" w:hAnsi="Cambria Math"/>
                    </w:rPr>
                    <m:t>s</m:t>
                  </m:r>
                </m:sub>
              </m:sSub>
              <m:r>
                <m:rPr>
                  <m:sty m:val="p"/>
                </m:rPr>
                <w:rPr>
                  <w:rFonts w:ascii="Cambria Math" w:hAnsi="Cambria Math"/>
                </w:rPr>
                <m:t>+</m:t>
              </m:r>
              <m:r>
                <w:rPr>
                  <w:rFonts w:ascii="Cambria Math" w:hAnsi="Cambria Math"/>
                </w:rPr>
                <m:t>S</m:t>
              </m:r>
            </m:den>
          </m:f>
          <m:r>
            <m:rPr>
              <m:sty m:val="p"/>
            </m:rPr>
            <w:rPr>
              <w:rFonts w:ascii="Cambria Math" w:hAnsi="Cambria Math"/>
            </w:rPr>
            <m:t>×</m:t>
          </m:r>
          <m:f>
            <m:fPr>
              <m:ctrlPr>
                <w:rPr>
                  <w:rFonts w:ascii="Cambria Math" w:eastAsia="SimSun" w:hAnsi="Cambria Math"/>
                  <w:lang w:val="en-GB" w:eastAsia="en-US"/>
                </w:rPr>
              </m:ctrlPr>
            </m:fPr>
            <m:num>
              <m:r>
                <w:rPr>
                  <w:rFonts w:ascii="Cambria Math" w:hAnsi="Cambria Math"/>
                </w:rPr>
                <m:t>X</m:t>
              </m:r>
            </m:num>
            <m:den>
              <m:r>
                <w:rPr>
                  <w:rFonts w:ascii="Cambria Math" w:hAnsi="Cambria Math"/>
                  <w:lang w:val="en-GB"/>
                </w:rPr>
                <m:t>Y</m:t>
              </m:r>
              <m:sSub>
                <m:sSubPr>
                  <m:ctrlPr>
                    <w:rPr>
                      <w:rFonts w:ascii="Cambria Math" w:eastAsia="SimSun" w:hAnsi="Cambria Math"/>
                      <w:lang w:val="en-GB" w:eastAsia="en-US"/>
                    </w:rPr>
                  </m:ctrlPr>
                </m:sSubPr>
                <m:e>
                  <m:r>
                    <w:rPr>
                      <w:rFonts w:ascii="Cambria Math" w:hAnsi="Cambria Math"/>
                      <w:lang w:val="en-GB"/>
                    </w:rPr>
                    <m:t>F</m:t>
                  </m:r>
                </m:e>
                <m:sub>
                  <m:f>
                    <m:fPr>
                      <m:type m:val="skw"/>
                      <m:ctrlPr>
                        <w:rPr>
                          <w:rFonts w:ascii="Cambria Math" w:eastAsia="SimSun" w:hAnsi="Cambria Math"/>
                          <w:lang w:val="en-GB" w:eastAsia="en-US"/>
                        </w:rPr>
                      </m:ctrlPr>
                    </m:fPr>
                    <m:num>
                      <m:r>
                        <w:rPr>
                          <w:rFonts w:ascii="Cambria Math" w:hAnsi="Cambria Math"/>
                          <w:lang w:val="en-GB"/>
                        </w:rPr>
                        <m:t>X</m:t>
                      </m:r>
                    </m:num>
                    <m:den>
                      <m:r>
                        <w:rPr>
                          <w:rFonts w:ascii="Cambria Math" w:hAnsi="Cambria Math"/>
                          <w:lang w:val="en-GB"/>
                        </w:rPr>
                        <m:t>S</m:t>
                      </m:r>
                    </m:den>
                  </m:f>
                </m:sub>
              </m:sSub>
            </m:den>
          </m:f>
          <m:r>
            <m:rPr>
              <m:sty m:val="p"/>
            </m:rPr>
            <w:rPr>
              <w:rFonts w:ascii="Cambria Math" w:hAnsi="Cambria Math"/>
            </w:rPr>
            <m:t>⁡</m:t>
          </m:r>
        </m:oMath>
      </m:oMathPara>
    </w:p>
    <w:p w14:paraId="1E979888" w14:textId="00E4CDF7" w:rsidR="001F56E2" w:rsidRPr="001F56E2" w:rsidRDefault="001F56E2" w:rsidP="001F56E2">
      <w:r w:rsidRPr="001F56E2">
        <w:rPr>
          <w:rFonts w:eastAsiaTheme="minorEastAsia"/>
          <w:b/>
          <w:bCs/>
          <w:lang w:val="en-GB"/>
        </w:rPr>
        <w:t xml:space="preserve">Equation </w:t>
      </w:r>
      <w:r w:rsidRPr="001F56E2">
        <w:rPr>
          <w:b/>
          <w:bCs/>
          <w:lang w:val="en-GB"/>
        </w:rPr>
        <w:t>3.</w:t>
      </w:r>
      <w:r w:rsidRPr="001F56E2">
        <w:rPr>
          <w:rFonts w:eastAsiaTheme="minorEastAsia"/>
          <w:lang w:val="en-GB"/>
        </w:rPr>
        <w:t xml:space="preserve"> Mass balance of </w:t>
      </w:r>
      <w:r w:rsidRPr="001F56E2">
        <w:rPr>
          <w:lang w:val="en-GB"/>
        </w:rPr>
        <w:t>available substrate in the digester feed tank</w:t>
      </w:r>
      <w:r w:rsidR="00843ABA">
        <w:rPr>
          <w:lang w:val="en-GB"/>
        </w:rPr>
        <w:t xml:space="preserve"> </w:t>
      </w:r>
      <w:r w:rsidR="00843ABA">
        <w:rPr>
          <w:lang w:val="en-GB"/>
        </w:rPr>
        <w:fldChar w:fldCharType="begin" w:fldLock="1"/>
      </w:r>
      <w:r w:rsidR="00A67935">
        <w:rPr>
          <w:lang w:val="en-GB"/>
        </w:rPr>
        <w:instrText>ADDIN paperpile_citation &lt;clusterId&gt;X449K797G187E771&lt;/clusterId&gt;&lt;metadata&gt;&lt;citation&gt;&lt;id&gt;23c81f6c-bd39-4a05-8403-a8f6627e63f2&lt;/id&gt;&lt;/citation&gt;&lt;/metadata&gt;&lt;data&gt;eJy9V21v3LgR/ivEAg1aYFcrrbS72hRBGjtO79CkMZoA/RAcDFIarXiWSB1Jea0L8t/7kJJ27csVKFqg8AfL5Lw+88xw/OXr4k6Wi5eLTVrkSbUrVqJMD6uMx9tVnsXpiufVbrfZ0y6tNovlouy7O1vzBBppWtGh5HmcZnFZ7PIDF4csS7c5iSLHD2W7w7Ykr3VPw0mb0kLriruiZkejT65mXc0tWaYrVlDT2D+za/yaLxupyMkCp7dGttwMrDO67AuHk09UaFU+P7vVzcD7R1lMBrxUQ4WTD8RsL6wz3BHrO8fvCTH1plm8/LKonevsy/X6dDpFtpCkCiqlgVpU6HY9nay5QSQNrTsp11eHfR5nWbZL93maxnGcJCnseUOwUz5GpZaRNsd1EkdJnOyCwipeQWUVdFZpFLRWs9r/7v/1g+R/SN/KuheLn5YLaYUC1s8E4avrRSNtTQZ3N42lB4lP1FRLHPxH0c4WwJivi1YrV3tNb4MP09dA3NvfxMl+8W25EFrfO+ka8rWXGuUqyFp2o44oLxmpjuyPYzXZTSmd1OpPMDJrXNe8c2RYkrAV+0GfAkEs+ysKDCkeilo4CPq7UoNLPFCJVb0qvDGGHE9UssrolgmpG30cmNP+cw6FLqG8Zv+sh9GOq4l90EqXjH7peTAFCt+/Zp9xcT9Rc2buTFmOLCZCsiMpMqMiNxTsoaICmjBZVajwRb0lx4UGsm0wEc4MdY0sgoGIfZgECtZxV5/4YJejVFcPdsxqGVSfaAW3HDKy7bRxXDkmVYhDPyAyXExpMEE1f5DaROxtHyoiQpMWfYPmCbZgnHW665vR8tywzA0dvDXNwOixlkIiJ9DKW2elRJKG4PVZs599NPw4Hi3nmnHnqO1gAvUhi4Q91VhnqS+1dcTLgeEUPdye0ZjLDLMf0Se/JyztxRiVywBAyx9l27fPIvPixl3iey4z6hU1tT5fX8lOWzmDEe5COS4Ywa9CKwAakNt6+CP2WTuvHErOQT2pCkNhBNJjpxXAkgHMk0RUTrYUgZAEFwpFM6zV5skos6HAkw/Az3vkXXq5k9dx2o/CC1RimEclQ7WJiV42zkMN9A0y8Wk1qF0zpjpBE2amIHRIKEtpdIezTpYNCFfApYfKyqOSFSyg2EXN1ZF8ar7H7IARETg28zZiP44k9NUBTmGGjzTAqQn1UhppufMYH6mm0OGGtJGeUhCV5klyLS9qkNmE3p5RDW6QtOBCNtINrAI2jVbHFUZKCyDNA+jdROyNY1a3kNVSueX4PTpFSj4ar4QppIXjyIuU7o818/2NYRImyxiPIUvmwT9oZhYCObjSPrMLyhDTvSlo7NjAHXRaj9yRGplx9pTEZ2aCkuDzFFEJbLQbS8jVGIT8FXVvqRWGKwpGdeVAgWbwyrdz2ZF+C0ExPElOEMIBY3EO5FwN9EPzr+aQJh4UA56faBq/I5Ho/PZ6k5VuGn3ybBix0OLn6e2FXW8kEBjwBQi5v0JJou/e9kDqeZxaqwvpg1uC07IBab5794N8y0uah9tveeXxWMP3E0BZ2YewpkZETKQ4xkcUhrvFvGwwMgKQLYaJ73a8deiy3lL5bODPE7TVJTWeut8/GxH75A1K656142WOBwIMgswTUxdq2PMOM24uk6uxhQlF7jzrkEE5Rf/78qGuPno9okTq16H1mHkQEeU6VGScXEBmVDqPNbjAeLIBNFIP0mjVwqefZaHdR9fniT6+g79Zx2a68aLo/VQBnEAIE6+SIyn/fbaR3zw4pgoe+t3msNod9jgB40p0C5Y4bDzTTsr32y0/iH0qDinFSSo2SbXZc7HP93lORS7yDZWbgvvloXe1xqby5etCKukHrzf/yRuWxvqd4lMtf5Z+VQxjEQdxFOMvwe/x/V72S3aW8K3ln69yvGHeTMODFfy5+IYIC4nrq+G9VF592hZtUeuGm+io9RH9Na584eh13bwi9aIxr16ovn2Vxi+8Afvqv1wzsVS6/2e2WBSxG/gV7vb27urjx7/dXf/w5vbzzT+CqKBmqptPCv8djJp+Z1wNvjj6pMKWeni3vX539Tbf7t5lSXJz/Wa32+fZ9e76apfH29jTwM/6EEqy22f7+JAdsijN8jTLsEYaPi6r8XJx5119KLewKmIwpOJxnpeHPT+km7wivtkekk0BL1kOq+OEHv81SsQ+pmrPVxnt4lWcHcRKAPHVdo89LuGUC7jwa3Rx8wiPb7njfj2W9h3eazyNi5cV4Ca/lv+o3ktMaYOEnenD0XuNN+EsEhK/wUzyFWgkb7E4HONDkvzl6A89Q2Z4/s5bmoSYl1p8+/bTvwBIkLku&lt;/data&gt; \* MERGEFORMAT</w:instrText>
      </w:r>
      <w:r w:rsidR="00843ABA">
        <w:rPr>
          <w:lang w:val="en-GB"/>
        </w:rPr>
        <w:fldChar w:fldCharType="separate"/>
      </w:r>
      <w:r w:rsidR="00B06018">
        <w:rPr>
          <w:noProof/>
          <w:lang w:val="en-GB"/>
        </w:rPr>
        <w:t>(</w:t>
      </w:r>
      <w:r w:rsidR="00EE16DF">
        <w:rPr>
          <w:noProof/>
          <w:lang w:val="en-GB"/>
        </w:rPr>
        <w:t xml:space="preserve">ref. </w:t>
      </w:r>
      <w:r w:rsidR="00B06018">
        <w:rPr>
          <w:noProof/>
          <w:lang w:val="en-GB"/>
        </w:rPr>
        <w:t>2)</w:t>
      </w:r>
      <w:r w:rsidR="00843ABA">
        <w:rPr>
          <w:lang w:val="en-GB"/>
        </w:rPr>
        <w:fldChar w:fldCharType="end"/>
      </w:r>
      <w:r w:rsidR="00EE31A3">
        <w:rPr>
          <w:lang w:val="en-GB"/>
        </w:rPr>
        <w:t xml:space="preserve"> </w:t>
      </w:r>
      <w:r w:rsidRPr="001F56E2">
        <w:rPr>
          <w:lang w:val="en-GB"/>
        </w:rPr>
        <w:t xml:space="preserve"> . </w:t>
      </w:r>
    </w:p>
    <w:p w14:paraId="38C34ADC" w14:textId="77777777" w:rsidR="001F56E2" w:rsidRPr="001F56E2" w:rsidRDefault="008F45CD" w:rsidP="001F56E2">
      <w:pPr>
        <w:rPr>
          <w:rFonts w:eastAsia="SimSun"/>
          <w:lang w:val="en-GB"/>
        </w:rPr>
      </w:pPr>
      <m:oMathPara>
        <m:oMath>
          <m:sSub>
            <m:sSubPr>
              <m:ctrlPr>
                <w:rPr>
                  <w:rFonts w:ascii="Cambria Math" w:eastAsia="SimSun" w:hAnsi="Cambria Math"/>
                  <w:lang w:val="en-GB" w:eastAsia="en-US"/>
                </w:rPr>
              </m:ctrlPr>
            </m:sSubPr>
            <m:e>
              <m:r>
                <w:rPr>
                  <w:rFonts w:ascii="Cambria Math" w:hAnsi="Cambria Math"/>
                  <w:lang w:val="en-GB"/>
                </w:rPr>
                <m:t>X</m:t>
              </m:r>
            </m:e>
            <m:sub>
              <m:r>
                <w:rPr>
                  <w:rFonts w:ascii="Cambria Math" w:hAnsi="Cambria Math"/>
                  <w:lang w:val="en-GB"/>
                </w:rPr>
                <m:t>t</m:t>
              </m:r>
            </m:sub>
          </m:sSub>
          <m:r>
            <m:rPr>
              <m:sty m:val="p"/>
            </m:rPr>
            <w:rPr>
              <w:rFonts w:ascii="Cambria Math" w:hAnsi="Cambria Math"/>
              <w:lang w:val="en-GB"/>
            </w:rPr>
            <m:t>=</m:t>
          </m:r>
          <m:sSub>
            <m:sSubPr>
              <m:ctrlPr>
                <w:rPr>
                  <w:rFonts w:ascii="Cambria Math" w:eastAsia="SimSun" w:hAnsi="Cambria Math"/>
                  <w:lang w:val="en-GB" w:eastAsia="en-US"/>
                </w:rPr>
              </m:ctrlPr>
            </m:sSubPr>
            <m:e>
              <m:r>
                <w:rPr>
                  <w:rFonts w:ascii="Cambria Math" w:hAnsi="Cambria Math"/>
                  <w:lang w:val="en-GB"/>
                </w:rPr>
                <m:t>X</m:t>
              </m:r>
            </m:e>
            <m:sub>
              <m:r>
                <w:rPr>
                  <w:rFonts w:ascii="Cambria Math" w:hAnsi="Cambria Math"/>
                  <w:lang w:val="en-GB"/>
                </w:rPr>
                <m:t>t</m:t>
              </m:r>
              <m:r>
                <m:rPr>
                  <m:sty m:val="p"/>
                </m:rPr>
                <w:rPr>
                  <w:rFonts w:ascii="Cambria Math" w:hAnsi="Cambria Math"/>
                  <w:lang w:val="en-GB"/>
                </w:rPr>
                <m:t>-1</m:t>
              </m:r>
            </m:sub>
          </m:sSub>
          <m:r>
            <m:rPr>
              <m:sty m:val="p"/>
            </m:rPr>
            <w:rPr>
              <w:rFonts w:ascii="Cambria Math" w:hAnsi="Cambria Math"/>
              <w:lang w:val="en-GB"/>
            </w:rPr>
            <m:t xml:space="preserve">+ </m:t>
          </m:r>
          <m:f>
            <m:fPr>
              <m:ctrlPr>
                <w:rPr>
                  <w:rFonts w:ascii="Cambria Math" w:eastAsia="SimSun" w:hAnsi="Cambria Math"/>
                  <w:lang w:val="en-GB" w:eastAsia="en-US"/>
                </w:rPr>
              </m:ctrlPr>
            </m:fPr>
            <m:num>
              <m:r>
                <w:rPr>
                  <w:rFonts w:ascii="Cambria Math" w:hAnsi="Cambria Math"/>
                  <w:lang w:val="en-GB"/>
                </w:rPr>
                <m:t>d</m:t>
              </m:r>
              <m:sSub>
                <m:sSubPr>
                  <m:ctrlPr>
                    <w:rPr>
                      <w:rFonts w:ascii="Cambria Math" w:eastAsia="SimSun" w:hAnsi="Cambria Math"/>
                      <w:lang w:val="en-GB" w:eastAsia="en-US"/>
                    </w:rPr>
                  </m:ctrlPr>
                </m:sSubPr>
                <m:e>
                  <m:r>
                    <w:rPr>
                      <w:rFonts w:ascii="Cambria Math" w:hAnsi="Cambria Math"/>
                      <w:lang w:val="en-GB"/>
                    </w:rPr>
                    <m:t>X</m:t>
                  </m:r>
                </m:e>
                <m:sub>
                  <m:r>
                    <w:rPr>
                      <w:rFonts w:ascii="Cambria Math" w:hAnsi="Cambria Math"/>
                      <w:lang w:val="en-GB"/>
                    </w:rPr>
                    <m:t>t</m:t>
                  </m:r>
                  <m:r>
                    <m:rPr>
                      <m:sty m:val="p"/>
                    </m:rPr>
                    <w:rPr>
                      <w:rFonts w:ascii="Cambria Math" w:hAnsi="Cambria Math"/>
                      <w:lang w:val="en-GB"/>
                    </w:rPr>
                    <m:t>-1</m:t>
                  </m:r>
                </m:sub>
              </m:sSub>
            </m:num>
            <m:den>
              <m:r>
                <w:rPr>
                  <w:rFonts w:ascii="Cambria Math" w:hAnsi="Cambria Math"/>
                  <w:lang w:val="en-GB"/>
                </w:rPr>
                <m:t>dt</m:t>
              </m:r>
            </m:den>
          </m:f>
          <m:r>
            <m:rPr>
              <m:sty m:val="p"/>
            </m:rPr>
            <w:rPr>
              <w:rFonts w:ascii="Cambria Math" w:hAnsi="Cambria Math"/>
              <w:lang w:val="en-GB"/>
            </w:rPr>
            <m:t>×∆</m:t>
          </m:r>
          <m:r>
            <w:rPr>
              <w:rFonts w:ascii="Cambria Math" w:hAnsi="Cambria Math"/>
              <w:lang w:val="en-GB"/>
            </w:rPr>
            <m:t>t</m:t>
          </m:r>
        </m:oMath>
      </m:oMathPara>
    </w:p>
    <w:p w14:paraId="371BAF44" w14:textId="77777777" w:rsidR="001F56E2" w:rsidRPr="001F56E2" w:rsidRDefault="001F56E2" w:rsidP="001F56E2">
      <w:r w:rsidRPr="001F56E2">
        <w:rPr>
          <w:rFonts w:eastAsiaTheme="minorEastAsia"/>
          <w:b/>
          <w:bCs/>
          <w:lang w:val="en-GB"/>
        </w:rPr>
        <w:t xml:space="preserve">Equation </w:t>
      </w:r>
      <w:r w:rsidRPr="001F56E2">
        <w:rPr>
          <w:b/>
          <w:bCs/>
          <w:lang w:val="en-GB"/>
        </w:rPr>
        <w:t>4.</w:t>
      </w:r>
      <w:r w:rsidRPr="001F56E2">
        <w:rPr>
          <w:rFonts w:eastAsiaTheme="minorEastAsia"/>
          <w:lang w:val="en-GB"/>
        </w:rPr>
        <w:t xml:space="preserve"> </w:t>
      </w:r>
      <w:r w:rsidRPr="001F56E2">
        <w:rPr>
          <w:lang w:val="en-GB"/>
        </w:rPr>
        <w:t xml:space="preserve">Discretised model for </w:t>
      </w:r>
      <w:r w:rsidRPr="001F56E2">
        <w:rPr>
          <w:rFonts w:eastAsiaTheme="minorEastAsia"/>
          <w:lang w:val="en-GB"/>
        </w:rPr>
        <w:t>cell biomass</w:t>
      </w:r>
      <w:r w:rsidRPr="001F56E2">
        <w:rPr>
          <w:lang w:val="en-GB"/>
        </w:rPr>
        <w:t xml:space="preserve"> where ∆t is the nominated time step. </w:t>
      </w:r>
    </w:p>
    <w:p w14:paraId="3C1F9946" w14:textId="77777777" w:rsidR="001F56E2" w:rsidRPr="001F56E2" w:rsidRDefault="008F45CD" w:rsidP="001F56E2">
      <w:pPr>
        <w:rPr>
          <w:rFonts w:eastAsia="SimSun"/>
          <w:lang w:val="en-GB"/>
        </w:rPr>
      </w:pPr>
      <m:oMathPara>
        <m:oMath>
          <m:sSub>
            <m:sSubPr>
              <m:ctrlPr>
                <w:rPr>
                  <w:rFonts w:ascii="Cambria Math" w:eastAsia="SimSun" w:hAnsi="Cambria Math"/>
                  <w:lang w:val="en-GB" w:eastAsia="en-US"/>
                </w:rPr>
              </m:ctrlPr>
            </m:sSubPr>
            <m:e>
              <m:r>
                <w:rPr>
                  <w:rFonts w:ascii="Cambria Math" w:hAnsi="Cambria Math"/>
                  <w:lang w:val="en-GB"/>
                </w:rPr>
                <m:t>S</m:t>
              </m:r>
            </m:e>
            <m:sub>
              <m:r>
                <w:rPr>
                  <w:rFonts w:ascii="Cambria Math" w:hAnsi="Cambria Math"/>
                  <w:lang w:val="en-GB"/>
                </w:rPr>
                <m:t>t</m:t>
              </m:r>
            </m:sub>
          </m:sSub>
          <m:r>
            <m:rPr>
              <m:sty m:val="p"/>
            </m:rPr>
            <w:rPr>
              <w:rFonts w:ascii="Cambria Math" w:hAnsi="Cambria Math"/>
              <w:lang w:val="en-GB"/>
            </w:rPr>
            <m:t>=</m:t>
          </m:r>
          <m:sSub>
            <m:sSubPr>
              <m:ctrlPr>
                <w:rPr>
                  <w:rFonts w:ascii="Cambria Math" w:eastAsia="SimSun" w:hAnsi="Cambria Math"/>
                  <w:lang w:val="en-GB" w:eastAsia="en-US"/>
                </w:rPr>
              </m:ctrlPr>
            </m:sSubPr>
            <m:e>
              <m:r>
                <w:rPr>
                  <w:rFonts w:ascii="Cambria Math" w:hAnsi="Cambria Math"/>
                  <w:lang w:val="en-GB"/>
                </w:rPr>
                <m:t>S</m:t>
              </m:r>
            </m:e>
            <m:sub>
              <m:r>
                <w:rPr>
                  <w:rFonts w:ascii="Cambria Math" w:hAnsi="Cambria Math"/>
                  <w:lang w:val="en-GB"/>
                </w:rPr>
                <m:t>t</m:t>
              </m:r>
              <m:r>
                <m:rPr>
                  <m:sty m:val="p"/>
                </m:rPr>
                <w:rPr>
                  <w:rFonts w:ascii="Cambria Math" w:hAnsi="Cambria Math"/>
                  <w:lang w:val="en-GB"/>
                </w:rPr>
                <m:t>-1</m:t>
              </m:r>
            </m:sub>
          </m:sSub>
          <m:r>
            <m:rPr>
              <m:sty m:val="p"/>
            </m:rPr>
            <w:rPr>
              <w:rFonts w:ascii="Cambria Math" w:hAnsi="Cambria Math"/>
              <w:lang w:val="en-GB"/>
            </w:rPr>
            <m:t xml:space="preserve">+ </m:t>
          </m:r>
          <m:f>
            <m:fPr>
              <m:ctrlPr>
                <w:rPr>
                  <w:rFonts w:ascii="Cambria Math" w:eastAsia="SimSun" w:hAnsi="Cambria Math"/>
                  <w:lang w:val="en-GB" w:eastAsia="en-US"/>
                </w:rPr>
              </m:ctrlPr>
            </m:fPr>
            <m:num>
              <m:r>
                <w:rPr>
                  <w:rFonts w:ascii="Cambria Math" w:hAnsi="Cambria Math"/>
                  <w:lang w:val="en-GB"/>
                </w:rPr>
                <m:t>d</m:t>
              </m:r>
              <m:sSub>
                <m:sSubPr>
                  <m:ctrlPr>
                    <w:rPr>
                      <w:rFonts w:ascii="Cambria Math" w:eastAsia="SimSun" w:hAnsi="Cambria Math"/>
                      <w:lang w:val="en-GB" w:eastAsia="en-US"/>
                    </w:rPr>
                  </m:ctrlPr>
                </m:sSubPr>
                <m:e>
                  <m:r>
                    <w:rPr>
                      <w:rFonts w:ascii="Cambria Math" w:hAnsi="Cambria Math"/>
                      <w:lang w:val="en-GB"/>
                    </w:rPr>
                    <m:t>S</m:t>
                  </m:r>
                </m:e>
                <m:sub>
                  <m:r>
                    <w:rPr>
                      <w:rFonts w:ascii="Cambria Math" w:hAnsi="Cambria Math"/>
                      <w:lang w:val="en-GB"/>
                    </w:rPr>
                    <m:t>t</m:t>
                  </m:r>
                  <m:r>
                    <m:rPr>
                      <m:sty m:val="p"/>
                    </m:rPr>
                    <w:rPr>
                      <w:rFonts w:ascii="Cambria Math" w:hAnsi="Cambria Math"/>
                      <w:lang w:val="en-GB"/>
                    </w:rPr>
                    <m:t>-1</m:t>
                  </m:r>
                </m:sub>
              </m:sSub>
            </m:num>
            <m:den>
              <m:r>
                <w:rPr>
                  <w:rFonts w:ascii="Cambria Math" w:hAnsi="Cambria Math"/>
                  <w:lang w:val="en-GB"/>
                </w:rPr>
                <m:t>dt</m:t>
              </m:r>
            </m:den>
          </m:f>
          <m:r>
            <m:rPr>
              <m:sty m:val="p"/>
            </m:rPr>
            <w:rPr>
              <w:rFonts w:ascii="Cambria Math" w:hAnsi="Cambria Math"/>
              <w:lang w:val="en-GB"/>
            </w:rPr>
            <m:t>×∆</m:t>
          </m:r>
          <m:r>
            <w:rPr>
              <w:rFonts w:ascii="Cambria Math" w:hAnsi="Cambria Math"/>
              <w:lang w:val="en-GB"/>
            </w:rPr>
            <m:t>t</m:t>
          </m:r>
        </m:oMath>
      </m:oMathPara>
    </w:p>
    <w:p w14:paraId="2347D68B" w14:textId="77777777" w:rsidR="001F56E2" w:rsidRPr="001F56E2" w:rsidRDefault="001F56E2" w:rsidP="001F56E2">
      <w:pPr>
        <w:rPr>
          <w:lang w:val="en-GB"/>
        </w:rPr>
      </w:pPr>
      <w:r w:rsidRPr="001F56E2">
        <w:rPr>
          <w:rFonts w:eastAsiaTheme="minorEastAsia"/>
          <w:b/>
          <w:bCs/>
          <w:lang w:val="en-GB"/>
        </w:rPr>
        <w:t xml:space="preserve">Equation </w:t>
      </w:r>
      <w:r w:rsidRPr="001F56E2">
        <w:rPr>
          <w:b/>
          <w:bCs/>
          <w:lang w:val="en-GB"/>
        </w:rPr>
        <w:t>5.</w:t>
      </w:r>
      <w:r w:rsidRPr="001F56E2">
        <w:rPr>
          <w:rFonts w:eastAsiaTheme="minorEastAsia"/>
          <w:lang w:val="en-GB"/>
        </w:rPr>
        <w:t xml:space="preserve"> </w:t>
      </w:r>
      <w:r w:rsidRPr="001F56E2">
        <w:rPr>
          <w:lang w:val="en-GB"/>
        </w:rPr>
        <w:t xml:space="preserve">Discretised model for available substrate where ∆t is the nominated time step. </w:t>
      </w:r>
    </w:p>
    <w:p w14:paraId="15FE4A3F" w14:textId="77777777" w:rsidR="001F56E2" w:rsidRPr="001F56E2" w:rsidRDefault="001F56E2" w:rsidP="001F56E2">
      <w:pPr>
        <w:rPr>
          <w:lang w:val="en-GB"/>
        </w:rPr>
      </w:pPr>
      <w:r w:rsidRPr="001F56E2">
        <w:rPr>
          <w:lang w:val="en-GB"/>
        </w:rPr>
        <w:t>Key reaction parameters:</w:t>
      </w:r>
    </w:p>
    <w:p w14:paraId="57730BC2" w14:textId="5D74FC72" w:rsidR="001F56E2" w:rsidRPr="001F56E2" w:rsidRDefault="001F56E2" w:rsidP="001F56E2">
      <m:oMath>
        <m:r>
          <m:rPr>
            <m:sty m:val="bi"/>
          </m:rPr>
          <w:rPr>
            <w:rFonts w:ascii="Cambria Math" w:hAnsi="Cambria Math"/>
          </w:rPr>
          <m:t>μ</m:t>
        </m:r>
      </m:oMath>
      <w:r w:rsidRPr="001F56E2">
        <w:t>max (Max specific growth rate: 0.25 /hr</w:t>
      </w:r>
      <w:r w:rsidR="00515085">
        <w:t xml:space="preserve"> </w:t>
      </w:r>
      <w:r w:rsidR="00515085">
        <w:fldChar w:fldCharType="begin" w:fldLock="1"/>
      </w:r>
      <w:r w:rsidR="004B46D0">
        <w:instrText>ADDIN paperpile_citation &lt;clusterId&gt;A751N811J291H812&lt;/clusterId&gt;&lt;metadata&gt;&lt;citation&gt;&lt;id&gt;c3659698-a076-4e7d-9b0e-6bc9e04aa611&lt;/id&gt;&lt;/citation&gt;&lt;/metadata&gt;&lt;data&gt;eJydV+1u47gVfRXCwEwdIFakSJbtAIN24k1ms3DaIAmwBQaLAUVRNjsUKZCSPd7BvFMfoL/6AH2mHlKSLXs7/QICOCAvD88994NXH7+OPol8dDNicTpdpIv5hIazdJLwWT5ZZCGfpBlb8DChNI2i0eUob6pPdkMjnJgukmkeJ0m8COOC5wuaz/g8imkRUbpIwymnSTyLeYJTjZGjm4+jTV1X9ubqarfbBYXRqhbcWKECbdZX1NSCSW6vojCI4/niqigFy4LrMJoFYZjMQsC48ziefwlyLfyp/2D8f192VTRSjn6Bv1rA1X9zTdVkUtgNh4ZfR3tODcydwejb5YhmtjaU1Vi616beT+qdJporLfVaMCqJ2xbKEl2QVRaQSlJVU9OUZMcNJ9Rajr+cFNqQesOFIYbbSivLSa0JrzcUUISqnFQ/ki2VDbdkzRU3VMo94YrpRtVAyolQZCcUtwF56a60G73DBiUbsd5wg+NG0ExIUe+dNa4jtjFbAViy23BF+JdKOzK4Weqdu3EcB1MCanEQXhBH5jeGPcVxFDrDKHlzEZBXB103+Z6ApicBS6FysRV5Q2vu7/asbH1AYFoxrsC9FlqR8fzNhffbmToMWPYSkHHi+HSakbXRu3rjFO7EviR8C5ai8Nsl/SJKCG4rzkQhWG9vHJHxP/6G/QuneiNrELVirZwVwgSBIWzDsJrtHRSCApK5cASh8ytC3Yd3/OE18nRXr1F0QSrDaU6ruvX8+s1JJBlualzImsrtQjLHvbc4j1rH1otfbyA7UVpNBhf4iIDdvk0ph46Quh1ak/kQuw0Mdxq2IutWIUtLfvDklHqXB13mjadB6F3w+nfRUZ6icrfB8pgwvSdaQUgXKy8RsVxZKLjlxEuPtGCGlwh864jAL7VDL5Cqj88vPTyhBfIdOD3P1hNQxS7odcnX5zU8HEbGY3cCtNDPQq25+R2qRcvGQ+EiF5JDxLr7pFbrCf4tyeDajttOIEKDKMPZ7+xQJnKkVxucljEZZxpGx8y6JLdLFNF7RdFEdGPl/vKsWE+cOOr+31A9XnskebtsVRNlhVbWZ0W12VvR9jEkhy8WV/cKoRIgUW0ocnFr/R4uoGbfrl0Qfd5cwJdKq4+kA/J0TDPGpTx0q0M+ZnxDtwIkQecs49sDPq98znQFZdsCMJzpbd8SPdwZwYA8UqyXWHUdumgU87q3xwdt6tCWSc4tM6I6KZrvpdhR6GEaAegQqIDcC+Ua+KWrh70CHKj49k3GLz9feMGarsG2T4S/cijJ6WNyQmCg1JHL9b+gcswClwF/cno6oNMO0Nn5xqWl5Kz+vrJ9EJHL2EJJd30DfPGsGp25xPFPlu2SFdXfZG2COq2jKcnp3nrC4d//ClYPKMi8LYzL7kxv5BisJiWV0M7V1bGJM11WktccDuV8bWjuyqR7Sw6PiG881KkMejTTTU0wA5BGidoGePZrUUuOd/2lySYaoS9d0v94SNyW9ENZGWRbS+ZlkBIrVJLOQEvKxg4i1T/OPZ1HT/+9o7+Eak1Z9dX6M9JhshKfYcNz0ZSgVGiZY8TBoIW55S+6McgiP8Zg+ujnH3e0E9sV7x7HummumF8XBZ9i3ItZOguLWRwndBbndJYnWbqIiills1kS4wRt8NRgzvn4dSSgB8KGS0ePjoIw1k07j26YULVWgtc19dwMKqp2UxIkY0wQZy6pt/YLmJdO4D4M4D4ArDAU88wZ1BNVCuVOyYcjWr92Dvg0AHyitRG/inO4V7w1EIqTpyNcv3YOtxrArRp27uSrqKjMBVkNkNqlc6DnAdAzLQrKkVinYEtdVRpePh/BuqVzsNMgWCvKcx8fNDz/VQ/175bOsV5+GoC9CLkVlPxE1Tm5lS4zauCqt+8g+8VzzLsB5J3k6je5oY1xT4jS5G6QIIfV0TfktrBWuaE8TZNJHF7/GYZM4PztfiXUZ+x03wmWbSCRCdZaryUPUPf90u838h1Xb6V591Y15bs4fOsA7Lv/6QMDk3+9r1wTeHr69P759WG5ajlnXJ5WYV+BeFv62gs60p/5vq8ABz5ZF9jAwMTdd8Tifrq8v/1hPk3vkyi6W75P09k8WabL23QeTsMZTLcYTErHYe4A0X28jlE6A8dFskiD+QzfcwkalqHtV0p4Ofrkbn7MpziWFPN5QRfZdD5nfMFoSItkHk2v2ZzO5mHu2Fg4wXj7lVjgSzBNs+tJkieLSZiw6SRj19NJERbxdMF5wbj/StTs7gtu/IGi+vFdJCy+fziG59FNgUTgLoYPaiUyg9dhdFObxi+tNHNidSZehbuSCqefFLTEo7EOF1H0h7VbdPHstfoj9Ro4I+KsRt++/fJPXK32Pw==&lt;/data&gt; \* MERGEFORMAT</w:instrText>
      </w:r>
      <w:r w:rsidR="00515085">
        <w:fldChar w:fldCharType="separate"/>
      </w:r>
      <w:r w:rsidR="00B06018">
        <w:rPr>
          <w:noProof/>
        </w:rPr>
        <w:t>(</w:t>
      </w:r>
      <w:r w:rsidR="00EE16DF">
        <w:rPr>
          <w:noProof/>
        </w:rPr>
        <w:t xml:space="preserve">ref. </w:t>
      </w:r>
      <w:r w:rsidR="00B06018">
        <w:rPr>
          <w:noProof/>
        </w:rPr>
        <w:t>3)</w:t>
      </w:r>
      <w:r w:rsidR="00515085">
        <w:fldChar w:fldCharType="end"/>
      </w:r>
      <w:r w:rsidRPr="001F56E2">
        <w:t xml:space="preserve"> </w:t>
      </w:r>
    </w:p>
    <w:p w14:paraId="7396E625" w14:textId="1B65495A" w:rsidR="001F56E2" w:rsidRPr="001F56E2" w:rsidRDefault="001F56E2" w:rsidP="001F56E2">
      <w:r w:rsidRPr="001F56E2">
        <w:lastRenderedPageBreak/>
        <w:t>Ks (Saturation constant): 4.8 g/L</w:t>
      </w:r>
      <w:r w:rsidR="004B46D0">
        <w:t xml:space="preserve"> </w:t>
      </w:r>
      <w:r w:rsidR="004B46D0">
        <w:fldChar w:fldCharType="begin" w:fldLock="1"/>
      </w:r>
      <w:r w:rsidR="004B46D0">
        <w:instrText>ADDIN paperpile_citation &lt;clusterId&gt;X776E734A224Y828&lt;/clusterId&gt;&lt;metadata&gt;&lt;citation&gt;&lt;id&gt;6fd507b0-36f3-4249-9b5d-d26fce645b22&lt;/id&gt;&lt;/citation&gt;&lt;/metadata&gt;&lt;data&gt;eJyVVtlu3DYU/RVCD0ECjMbUQi0JjHa8BKhrF0EcoA+GEVAkNWItiQNS8mQc+KGf0sc+5CfqH+u91IzXFG1fBiLnLueeu/BefA0+axm8DbJaMppXNEyyOgnTOC3DsmIylHFWC5WlrIrjYBbIcfXZNTwCDcFoyiOWJDEtWcJkkccRkxwkS56ViUxTnoBmDlrauVGBSoQmrtRmbax0cD7QxiouBmPfkZ91rwYtSGekat+RU7yuuNBtOzoiuFOaXHM7J7bhXW/c6N6RXxu1AYOjbYO3F0EzDKu3e3vyy1waPTd2uRfReRJlxd7J0fk8phHEFkVZcDkLVmPVatcoCxiOW6euNXxCcEYjyO9qPSgBW1+DzvRDs4tI8g1+wtdGcbSJasHtLBj00GLcu9h4z9uN0w4+JOn40Cj40YK3U9S6XxJTk6U166HxMi2wgHpCS7KyRo5wND0K/Ts/RPek0+0VWU808coNFrQAz/eUEdUTf/D/oKweO/L6dHHwhgwNH4gwren1jXJE6mtlnSIKr5Y+iF6LRk3BeeGGO1KbEY6VNVyCctcpKzSI8tWqBR2MZk4+NYpw3WFYQwM43DDKDVmD9mCIaLidkNwo+FuRq4lMh+KVNh137hE3s3/gbOZhudGTMCjA0ruxW/0POsXYDqNVEnmVCiwPSiMV8oHlOTngg2h2okR9WQHuTvWDI2sFF3Csje0mI7yHX4AzooCSMxKHpzMIXlv0MvD+CuPbNggZHZaH1HUNhvoBVA24gexAJAIurCfTkdd0zpC3aE7nZLl3+ua+kAxkq1XXqgWhxMvkW5EpBQMgJQ4AK8/tA3jIl+QDB0+AzK1MLxEK6O/onyp2du/lEbmzF3WMBHisEyX3EWlIi/QZ5y1EhknCdD91uk0+wRy6OTkfrIFbgGp6b6JtN5gc1UvkaJt+4KrRlfY+FXgTu3RA43s5qNXWrJ+gfMrqyygedaOvJ6zWFbdbCECKEVNAaw29/JSoOVl8p/uxA1cQqi+GqYGsmtxAQpCKJxnZcj3b2X4J8UkICLjWLZL2158EBxRZQDOC+54ccW035FxoBQpkscWOrYljjy8VzmrGWBwyllG4+82MFkZZPbYweYOT6YQ1I70lN1kCwe1TEVW0jKq8qPNIpmXC0qKqM8HKitKElUyISMqkznGW1qaVMFdwoDMqJa+zJKxkEYW0FFXIE5qFIquyOBcVjSqO05yPQ2Ng7F58DaAhMQOI9+wMrWnrcOCdEX/ylTfgBA8WLbS3uiFebHoC80IxWrEkLJWIQxqVdVgpWYc5VSWPJI/TGt+BlnuTWwMw5p+4PT555PaYnDx3uxyxvcPjmys+WmD5hhOvMkFgaZwVqijCOGNZSCmHV1imWaiKKqsLmQB91SMIL409h7N4hGbxDMtH3t19gxDCMyUt7w1Z3ONIKGcRuAsVTQBHDK9gVao45HnJaF1kLBLsAcdzQ89B3P3+CMV0eAzDSHv3bTmC/vndHz08ITfEC01QKKWyoDIJc5HVIc2zKqwEB1CcyiypYzqV5A7KS2PB7aXfQHpvLIbMJhQrTWjwf7A51f0V/LPdHpxoTAtzf2nMslVzeLF2Vz807b7qX7V2/1U/dvsJfYUG3P5/XTv8AjFsVrgPfPjwefHx00+Hp8ceeaWQpovL+8bCppo/tOV8ixY2p4fC85Y1ri1m3ftNpnzPDt8fHBUse59G0fHhIsvyIj3MDg+ygsJyB6LXBl4MRFAmaBPeFp+DKEsKSGpK03lRpFkKm4vl06pDIQ/o+0wyPwQymuSiZHHMiyRSSZWJDGokyhNWyDrFlocQhNotlRGnKklwqQTeY1mGVQ5jREJ9cVYk0PjC713i+At4PIJHBpcr7d7Ds6eXkLEaKkhh+n7qT3VluQUG4MX0V6dGIFVbEc/Cccc1stdq3sEDuoSxE/24xEtM5Y6rX7jnAIXwmV0Gt7eXfwMp4aTu&lt;/data&gt; \* MERGEFORMAT</w:instrText>
      </w:r>
      <w:r w:rsidR="004B46D0">
        <w:fldChar w:fldCharType="separate"/>
      </w:r>
      <w:r w:rsidR="00B06018">
        <w:rPr>
          <w:noProof/>
        </w:rPr>
        <w:t>(</w:t>
      </w:r>
      <w:r w:rsidR="00EE16DF">
        <w:rPr>
          <w:noProof/>
        </w:rPr>
        <w:t xml:space="preserve">ref. </w:t>
      </w:r>
      <w:r w:rsidR="00B06018">
        <w:rPr>
          <w:noProof/>
        </w:rPr>
        <w:t>4)</w:t>
      </w:r>
      <w:r w:rsidR="004B46D0">
        <w:fldChar w:fldCharType="end"/>
      </w:r>
      <w:r w:rsidRPr="001F56E2">
        <w:t xml:space="preserve"> </w:t>
      </w:r>
    </w:p>
    <w:p w14:paraId="7F07FD05" w14:textId="7EDB7B6A" w:rsidR="001F56E2" w:rsidRPr="001F56E2" w:rsidRDefault="001F56E2" w:rsidP="001F56E2">
      <w:proofErr w:type="spellStart"/>
      <w:r w:rsidRPr="001F56E2">
        <w:t>Yx</w:t>
      </w:r>
      <w:proofErr w:type="spellEnd"/>
      <w:r w:rsidRPr="001F56E2">
        <w:t>/s (Biomass yield): 0.2 g/g</w:t>
      </w:r>
      <w:r w:rsidR="004B46D0">
        <w:t xml:space="preserve"> </w:t>
      </w:r>
      <w:r w:rsidR="004B46D0">
        <w:fldChar w:fldCharType="begin" w:fldLock="1"/>
      </w:r>
      <w:r w:rsidR="00843ABA">
        <w:instrText>ADDIN paperpile_citation &lt;clusterId&gt;U612I962X443B164&lt;/clusterId&gt;&lt;metadata&gt;&lt;citation&gt;&lt;id&gt;f2a135b3-9c91-4f1c-9494-3d4359f512f2&lt;/id&gt;&lt;/citation&gt;&lt;/metadata&gt;&lt;data&gt;eJyNVm2P0zgQ/itWPqBFalI771mE7tjC6uAWhE5IJ0AIObbTGJy4lzgtPcR/vxmn3e0uu+i+VKk9L8888+L5+D34rGVwHjQxZ0lWJ2ElKhamDRNhlVZpmMg0yaomY3ETB4tATpvPY8sZaDCalooKxYpClqoRvMzSlCZxyaqMp5JlXFGumhy09DhOClQS/PNV7Xd2kCP8v+LC2ZoLbcw0ko3hvePD1D0hNXeiJY0aOgVHTtv+CRGtNWp0arDmCVzJJ7fuwfA0mOD8Y9A6txnPl8vdbhfxL9ZEum/sUvdSfYs27WbJv9RLPjgtjFputdotq7SgKeijIujJb5G0OrLDeslolCYsRZVoy6hO8ij4BCRY7eP/+XIRbKba6LFVwOn3oLO9a0G0Qub4Hr7iAj73ig/4TVkS/FgETjuD7Fxo2/EReBisnAQGRWxDHuCIXL2lMdGjNdwpSZrBdgQChVugRaiR7LRrycY6IEhzc8qesTs16H5NeK2NdntAxOvRDeAIULxr1Y2a2ZN2v7EnyqrTgqCw7hdEqlGvew/g7RWNF7/AuyA7Pv4Cb0TQMdcd2nCtHsHJJPdey1mAzxEf4P4XpHrpzybj9BbMzfIH26SxA6l/plL3hJOMXB2rBqX2h0KDbyio8Oeqi8gz0lmpGw2YOyU1EC9st7Gj9kaRZDs5slEbZ3vl0U6j8vBm3wr0B0W2mtdGEaGMOaSGE5ZRMmw6wtd69kbGjQJdDI9GGdluPRlcDfOtnHzWdC+m+hodWgRIvQDIBznQiaOYrIkc9vP9Tul168jZ89XfjwHrQCDt8AuUHIIFr/VgARUGMCguoIDvY4w3qOcgU2szCTvOEYP7cQJ2PDVGOQVlcwB7H6Uvwa6UnsDFdabQDhYTUC2gKMCC7oDBLfLhSFySFuO6P0vkrIrSDAKG+JbmMQEtgOphubnAIHMAZsDyQHYo6czyYHC+gtqZ5hQAverhCAHL7B+wQdWOvkAm+D+2dkBubuFyulPkjGWkfeyzugZqUegY9BnMEBbfAEdXtnbQW5iQPZQSYuuwzqH7NrcC8W3RgSiKX4P9qRIYigE3S3NMCXB4JwTsvCMk7ODoZMxgXx9L2WN6IAUI/Riea3mPP45AIWm1nRXvUfKNDM5vbHYKGgpazdcrN6MltSLjBA2C7YOtDVWKBQzDAAYRjBmwPQ8GfrvM/lQwPPCdOX94JJ0qLB6IbHE6OnHA87XCt6ugjIYFjSmcfbHT0HPTTAZeoOBZM2ANk8MpUgrsOiXa3hq7xnl7fEKrXFSqZJJnhWRUJDTnTZonMisLFsuqpCLNm6IBjcYaqYYRH7iMSsmbPAlrWbKQVqIOOWiGIq/zuBA1ZTXHZ4pPwCU8NB+/B7rXOM4R9+oSrelhxGG/Iv6fHTruHL5ZwR87DjXihebFgMVFk8S8CHORqpDKBFaEpBBhnWdJU5RF2sSIz3Bv0KvDo3bL5as3Jy5fkTd3XK5a1RMvM3ssmyoRVd2ERZrykDLwXSleQnxVWeVVwepE3nhE7bsO3787cfievLsb44QxeqHZYyVSJiQDHousCWmW5GFZ5kWYANMxK2gt6/IkxumeGD+8P3H5gby/4/I1t8SLHEilWZpRzsNSlWVIaRqHtaJNmBUVZXGlWFUkNw5BOfjxya9RPSrnZRpmCctAQsAglxf7K91/hZvDBjNixfIhWlu7NiqCqXw8+q01T1X/yAxPH/VT9zShj9DA+PT/rT5+u3H7DS4rb99+fvbXu5erqxceZ62QhY+frnth7oOIvIrIxXXxRwfEsAIeawWXoPCfCS7srle4FlWX2ery4nmZ5ZcpYy9Wz/K8KNNVvrrIS5pRXKC2MK075XlEi37sAK0sTyBtWUrTqCzjIs1gtxr4vIxRoB5dv5YZ6GUih/YSDXRcmas4LmkuFChmSSrSskLuR4hDqDldec0VT4sqTKAJoD6oCnnK45CVVZU2HFbk2i/HVrz4Bh6fc8dx/dPjJbz98KgF5w1UicIMvuyvdD3wAQhww+SPrqxAvg4inoYXMNiRQqN5B0/YmlaM/b7GQ8zmkaw33JOAQsT5mvzx6T9bRuAe&lt;/data&gt; \* MERGEFORMAT</w:instrText>
      </w:r>
      <w:r w:rsidR="004B46D0">
        <w:fldChar w:fldCharType="separate"/>
      </w:r>
      <w:r w:rsidR="00B06018">
        <w:rPr>
          <w:noProof/>
        </w:rPr>
        <w:t>(</w:t>
      </w:r>
      <w:r w:rsidR="00EE16DF">
        <w:rPr>
          <w:noProof/>
        </w:rPr>
        <w:t xml:space="preserve">ref. </w:t>
      </w:r>
      <w:r w:rsidR="00B06018">
        <w:rPr>
          <w:noProof/>
        </w:rPr>
        <w:t>5)</w:t>
      </w:r>
      <w:r w:rsidR="004B46D0">
        <w:fldChar w:fldCharType="end"/>
      </w:r>
      <w:r w:rsidRPr="001F56E2">
        <w:t xml:space="preserve"> </w:t>
      </w:r>
    </w:p>
    <w:p w14:paraId="70829217" w14:textId="77777777" w:rsidR="001F56E2" w:rsidRPr="001F56E2" w:rsidRDefault="001F56E2" w:rsidP="001F56E2">
      <w:r w:rsidRPr="001F56E2">
        <w:t>Temperature: 20 °C ambient temperature</w:t>
      </w:r>
    </w:p>
    <w:p w14:paraId="5C2B5E23" w14:textId="77777777" w:rsidR="001F56E2" w:rsidRPr="001F56E2" w:rsidRDefault="001F56E2" w:rsidP="001F56E2">
      <w:r w:rsidRPr="001F56E2">
        <w:t>pH: 4-4.5 measured</w:t>
      </w:r>
    </w:p>
    <w:p w14:paraId="06C74035" w14:textId="77777777" w:rsidR="001F56E2" w:rsidRPr="002D524C" w:rsidRDefault="001F56E2" w:rsidP="001F56E2">
      <w:r w:rsidRPr="001F56E2">
        <w:t>C:N ratio: 1:12 measured.</w:t>
      </w:r>
    </w:p>
    <w:p w14:paraId="00AE7303" w14:textId="77777777" w:rsidR="00586164" w:rsidRPr="00D74800" w:rsidRDefault="00586164" w:rsidP="00586164">
      <w:pPr>
        <w:pStyle w:val="NoSpacing"/>
        <w:rPr>
          <w:highlight w:val="yellow"/>
          <w:lang w:val="en-GB"/>
        </w:rPr>
      </w:pPr>
      <w:r w:rsidRPr="00D74800">
        <w:rPr>
          <w:noProof/>
          <w:highlight w:val="yellow"/>
        </w:rPr>
        <w:drawing>
          <wp:inline distT="0" distB="0" distL="0" distR="0" wp14:anchorId="024D3249" wp14:editId="668ECF1E">
            <wp:extent cx="5524500" cy="1974850"/>
            <wp:effectExtent l="0" t="0" r="0" b="6350"/>
            <wp:docPr id="1" name="Chart 1">
              <a:extLst xmlns:a="http://schemas.openxmlformats.org/drawingml/2006/main">
                <a:ext uri="{FF2B5EF4-FFF2-40B4-BE49-F238E27FC236}">
                  <a16:creationId xmlns:a16="http://schemas.microsoft.com/office/drawing/2014/main" id="{865A51D9-2B5D-454B-AEEC-14AC547C14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F7EE613" w14:textId="37BF12C1" w:rsidR="00586164" w:rsidRPr="002D524C" w:rsidRDefault="00FD779F" w:rsidP="00586164">
      <w:pPr>
        <w:pStyle w:val="Caption"/>
      </w:pPr>
      <w:r>
        <w:rPr>
          <w:b/>
          <w:bCs/>
        </w:rPr>
        <w:t>Figure</w:t>
      </w:r>
      <w:r w:rsidR="00586164" w:rsidRPr="00586164">
        <w:rPr>
          <w:b/>
          <w:bCs/>
        </w:rPr>
        <w:t xml:space="preserve"> </w:t>
      </w:r>
      <w:r>
        <w:rPr>
          <w:b/>
          <w:bCs/>
        </w:rPr>
        <w:t>S</w:t>
      </w:r>
      <w:r w:rsidR="00586164">
        <w:rPr>
          <w:b/>
          <w:bCs/>
        </w:rPr>
        <w:t>1</w:t>
      </w:r>
      <w:r w:rsidR="00586164" w:rsidRPr="00586164">
        <w:rPr>
          <w:b/>
          <w:bCs/>
        </w:rPr>
        <w:t>.</w:t>
      </w:r>
      <w:r w:rsidR="00586164" w:rsidRPr="00586164">
        <w:t xml:space="preserve"> Bacterial growth model output – Bacterial cell density over time.</w:t>
      </w:r>
    </w:p>
    <w:p w14:paraId="1C8E1196" w14:textId="1E5EEC7B" w:rsidR="007B2AC3" w:rsidRDefault="007B2AC3" w:rsidP="00A72347"/>
    <w:p w14:paraId="6CEDC5E0" w14:textId="32E4E617" w:rsidR="00A1417D" w:rsidRPr="00BD678F" w:rsidRDefault="0055665E" w:rsidP="00A1417D">
      <w:pPr>
        <w:pStyle w:val="ListParagraph"/>
        <w:numPr>
          <w:ilvl w:val="0"/>
          <w:numId w:val="1"/>
        </w:numPr>
        <w:rPr>
          <w:b/>
          <w:bCs/>
        </w:rPr>
      </w:pPr>
      <w:r w:rsidRPr="00BD678F">
        <w:rPr>
          <w:b/>
          <w:bCs/>
        </w:rPr>
        <w:t>Food waste physio-chemical characteristics</w:t>
      </w:r>
    </w:p>
    <w:p w14:paraId="697AFA13" w14:textId="15CF83F2" w:rsidR="0055665E" w:rsidRDefault="0055665E" w:rsidP="0055665E">
      <w:r>
        <w:t>Figure S2 illustrated the variation of food waste water content, pH, elements co</w:t>
      </w:r>
      <w:r w:rsidR="00982CC6">
        <w:t xml:space="preserve">ntent include carbon, nitrogen, and sulphur. The variation </w:t>
      </w:r>
      <w:r w:rsidR="000E1760">
        <w:t xml:space="preserve">hinted the potential impact of variable feedstock can have on the digestion efficiency. </w:t>
      </w:r>
    </w:p>
    <w:p w14:paraId="6C22F1F4" w14:textId="77777777" w:rsidR="00A1417D" w:rsidRPr="002D524C" w:rsidRDefault="00A1417D" w:rsidP="00A1417D">
      <w:pPr>
        <w:pStyle w:val="NoSpacing"/>
        <w:keepNext/>
        <w:spacing w:after="120"/>
        <w:rPr>
          <w:rFonts w:cs="Times New Roman"/>
        </w:rPr>
      </w:pPr>
      <w:r>
        <w:rPr>
          <w:noProof/>
        </w:rPr>
        <w:lastRenderedPageBreak/>
        <w:drawing>
          <wp:inline distT="0" distB="0" distL="0" distR="0" wp14:anchorId="59EAB937" wp14:editId="1CD05357">
            <wp:extent cx="4648200" cy="3329940"/>
            <wp:effectExtent l="0" t="0" r="0" b="3810"/>
            <wp:docPr id="8" name="Chart 8">
              <a:extLst xmlns:a="http://schemas.openxmlformats.org/drawingml/2006/main">
                <a:ext uri="{FF2B5EF4-FFF2-40B4-BE49-F238E27FC236}">
                  <a16:creationId xmlns:a16="http://schemas.microsoft.com/office/drawing/2014/main" id="{149EA226-6D47-4BC8-809D-05FFCFA94D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Pr="007D139A">
        <w:rPr>
          <w:noProof/>
        </w:rPr>
        <w:t xml:space="preserve"> </w:t>
      </w:r>
      <w:r>
        <w:rPr>
          <w:noProof/>
        </w:rPr>
        <w:drawing>
          <wp:inline distT="0" distB="0" distL="0" distR="0" wp14:anchorId="7F19FAB5" wp14:editId="22B3E43F">
            <wp:extent cx="4747260" cy="3149600"/>
            <wp:effectExtent l="0" t="0" r="2540" b="0"/>
            <wp:docPr id="10" name="Chart 10">
              <a:extLst xmlns:a="http://schemas.openxmlformats.org/drawingml/2006/main">
                <a:ext uri="{FF2B5EF4-FFF2-40B4-BE49-F238E27FC236}">
                  <a16:creationId xmlns:a16="http://schemas.microsoft.com/office/drawing/2014/main" id="{6710CC3E-F503-44B5-BBC6-6A24413C8AC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3A91DD9" w14:textId="304BC965" w:rsidR="00A1417D" w:rsidRDefault="00A1417D" w:rsidP="00A1417D">
      <w:pPr>
        <w:pStyle w:val="Caption"/>
      </w:pPr>
      <w:r w:rsidRPr="002D524C">
        <w:rPr>
          <w:b/>
          <w:bCs/>
        </w:rPr>
        <w:t xml:space="preserve">Figure </w:t>
      </w:r>
      <w:r>
        <w:rPr>
          <w:b/>
          <w:bCs/>
        </w:rPr>
        <w:t>S2.</w:t>
      </w:r>
      <w:r w:rsidRPr="002D524C">
        <w:t xml:space="preserve"> </w:t>
      </w:r>
      <w:r>
        <w:t>(a) Water content and pH of food waste in the hydropulper and digestor feedstock</w:t>
      </w:r>
      <w:r w:rsidRPr="002D524C">
        <w:t xml:space="preserve">. </w:t>
      </w:r>
      <w:r>
        <w:t>(b) Proportion of carbon, nitrogen and sulphur elements in the hydropulper and digestor feedstock per mass.</w:t>
      </w:r>
    </w:p>
    <w:p w14:paraId="315BD922" w14:textId="77777777" w:rsidR="00A1417D" w:rsidRDefault="00A1417D" w:rsidP="00A72347"/>
    <w:p w14:paraId="12309077" w14:textId="77777777" w:rsidR="00A1417D" w:rsidRDefault="00A1417D" w:rsidP="00A72347"/>
    <w:p w14:paraId="13C1DBC8" w14:textId="77777777" w:rsidR="008F45CD" w:rsidRDefault="008F45CD" w:rsidP="00E664AC">
      <w:pPr>
        <w:spacing w:line="240" w:lineRule="auto"/>
        <w:rPr>
          <w:b/>
          <w:bCs/>
          <w:sz w:val="28"/>
          <w:szCs w:val="28"/>
        </w:rPr>
      </w:pPr>
    </w:p>
    <w:p w14:paraId="3AA2E1E8" w14:textId="68F17FD4" w:rsidR="001F56E2" w:rsidRPr="00E664AC" w:rsidRDefault="00BD141F" w:rsidP="00E664AC">
      <w:pPr>
        <w:spacing w:line="240" w:lineRule="auto"/>
        <w:rPr>
          <w:b/>
          <w:bCs/>
        </w:rPr>
      </w:pPr>
      <w:r w:rsidRPr="00EB7C25">
        <w:rPr>
          <w:b/>
          <w:bCs/>
          <w:sz w:val="28"/>
          <w:szCs w:val="28"/>
        </w:rPr>
        <w:lastRenderedPageBreak/>
        <w:t>References</w:t>
      </w:r>
      <w:r w:rsidRPr="00E664AC">
        <w:rPr>
          <w:b/>
          <w:bCs/>
        </w:rPr>
        <w:t xml:space="preserve"> </w:t>
      </w:r>
    </w:p>
    <w:p w14:paraId="519A0FE8" w14:textId="4A9FC686" w:rsidR="00B06018" w:rsidRPr="00B06018" w:rsidRDefault="004B46D0" w:rsidP="00B06018">
      <w:pPr>
        <w:tabs>
          <w:tab w:val="left" w:pos="560"/>
        </w:tabs>
        <w:spacing w:after="280" w:line="240" w:lineRule="auto"/>
        <w:ind w:left="560" w:hanging="560"/>
        <w:rPr>
          <w:bCs/>
          <w:noProof/>
          <w:sz w:val="22"/>
          <w:szCs w:val="22"/>
        </w:rPr>
      </w:pPr>
      <w:r w:rsidRPr="00B06018">
        <w:rPr>
          <w:b/>
          <w:bCs/>
          <w:sz w:val="22"/>
          <w:szCs w:val="22"/>
        </w:rPr>
        <w:fldChar w:fldCharType="begin" w:fldLock="1"/>
      </w:r>
      <w:r w:rsidR="00B06018" w:rsidRPr="00B06018">
        <w:rPr>
          <w:b/>
          <w:bCs/>
          <w:sz w:val="22"/>
          <w:szCs w:val="22"/>
        </w:rPr>
        <w:instrText>ADDIN paperpile_bibliography &lt;pp-bibliography&gt;&lt;first-reference-indices&gt;&lt;formatting&gt;1&lt;/formatting&gt;&lt;space-after&gt;1&lt;/space-after&gt;&lt;/first-reference-indices&gt;&lt;/pp-bibliography&gt; \* MERGEFORMAT</w:instrText>
      </w:r>
      <w:r w:rsidRPr="00B06018">
        <w:rPr>
          <w:b/>
          <w:bCs/>
          <w:sz w:val="22"/>
          <w:szCs w:val="22"/>
        </w:rPr>
        <w:fldChar w:fldCharType="separate"/>
      </w:r>
      <w:r w:rsidR="00B06018" w:rsidRPr="00B06018">
        <w:rPr>
          <w:bCs/>
          <w:noProof/>
          <w:sz w:val="22"/>
          <w:szCs w:val="22"/>
        </w:rPr>
        <w:t xml:space="preserve">1. </w:t>
      </w:r>
      <w:r w:rsidR="00B06018" w:rsidRPr="00B06018">
        <w:rPr>
          <w:bCs/>
          <w:noProof/>
          <w:sz w:val="22"/>
          <w:szCs w:val="22"/>
        </w:rPr>
        <w:tab/>
        <w:t>Monod J. THE GROWTH OF BACTERIAL CULTURES. https://doi.org/101146/annurev.mi03100149002103. 2003 Nov 28;3(1):371–94.</w:t>
      </w:r>
    </w:p>
    <w:p w14:paraId="0E4A9362" w14:textId="77777777" w:rsidR="00B06018" w:rsidRPr="00B06018" w:rsidRDefault="00B06018" w:rsidP="00B06018">
      <w:pPr>
        <w:tabs>
          <w:tab w:val="left" w:pos="560"/>
        </w:tabs>
        <w:spacing w:after="280" w:line="240" w:lineRule="auto"/>
        <w:ind w:left="560" w:hanging="560"/>
        <w:rPr>
          <w:bCs/>
          <w:noProof/>
          <w:sz w:val="22"/>
          <w:szCs w:val="22"/>
        </w:rPr>
      </w:pPr>
      <w:r w:rsidRPr="00B06018">
        <w:rPr>
          <w:bCs/>
          <w:noProof/>
          <w:sz w:val="22"/>
          <w:szCs w:val="22"/>
        </w:rPr>
        <w:t xml:space="preserve">2. </w:t>
      </w:r>
      <w:r w:rsidRPr="00B06018">
        <w:rPr>
          <w:bCs/>
          <w:noProof/>
          <w:sz w:val="22"/>
          <w:szCs w:val="22"/>
        </w:rPr>
        <w:tab/>
        <w:t>Liu S. Chapter 11 - How Cells Grow. In: Liu S, editor. Bioprocess Engineering (Second Edition). Elsevier; 2017. p. 629–97.</w:t>
      </w:r>
    </w:p>
    <w:p w14:paraId="7AFF06CD" w14:textId="77777777" w:rsidR="00B06018" w:rsidRPr="00B06018" w:rsidRDefault="00B06018" w:rsidP="00B06018">
      <w:pPr>
        <w:tabs>
          <w:tab w:val="left" w:pos="560"/>
        </w:tabs>
        <w:spacing w:after="280" w:line="240" w:lineRule="auto"/>
        <w:ind w:left="560" w:hanging="560"/>
        <w:rPr>
          <w:bCs/>
          <w:noProof/>
          <w:sz w:val="22"/>
          <w:szCs w:val="22"/>
        </w:rPr>
      </w:pPr>
      <w:r w:rsidRPr="00B06018">
        <w:rPr>
          <w:bCs/>
          <w:noProof/>
          <w:sz w:val="22"/>
          <w:szCs w:val="22"/>
        </w:rPr>
        <w:t xml:space="preserve">3. </w:t>
      </w:r>
      <w:r w:rsidRPr="00B06018">
        <w:rPr>
          <w:bCs/>
          <w:noProof/>
          <w:sz w:val="22"/>
          <w:szCs w:val="22"/>
        </w:rPr>
        <w:tab/>
        <w:t>Succi M, Pannella G, Tremonte P, Tipaldi L, Coppola R, Iorizzo M, et al. Sub-optimal pH Preadaptation Improves the Survival of Lactobacillus plantarum Strains and the Malic Acid Consumption in Wine-Like Medium. Front Microbiol [Internet]. 2017;8. Available from: https://www.frontiersin.org/articles/10.3389/fmicb.2017.00470</w:t>
      </w:r>
    </w:p>
    <w:p w14:paraId="5614A6FC" w14:textId="77777777" w:rsidR="00B06018" w:rsidRPr="00B06018" w:rsidRDefault="00B06018" w:rsidP="00B06018">
      <w:pPr>
        <w:tabs>
          <w:tab w:val="left" w:pos="560"/>
        </w:tabs>
        <w:spacing w:after="280" w:line="240" w:lineRule="auto"/>
        <w:ind w:left="560" w:hanging="560"/>
        <w:rPr>
          <w:bCs/>
          <w:noProof/>
          <w:sz w:val="22"/>
          <w:szCs w:val="22"/>
        </w:rPr>
      </w:pPr>
      <w:r w:rsidRPr="00B06018">
        <w:rPr>
          <w:bCs/>
          <w:noProof/>
          <w:sz w:val="22"/>
          <w:szCs w:val="22"/>
        </w:rPr>
        <w:t xml:space="preserve">4. </w:t>
      </w:r>
      <w:r w:rsidRPr="00B06018">
        <w:rPr>
          <w:bCs/>
          <w:noProof/>
          <w:sz w:val="22"/>
          <w:szCs w:val="22"/>
        </w:rPr>
        <w:tab/>
        <w:t>Alvarez MM, Aguirre-Ezkauriatza EJ, Ramírez-Medrano A, Rodríguez-Sánchez Á. Kinetic analysis and mathematical modeling of growth and lactic acid production of Lactobacillus casei var. rhamnosus in milk whey. J Dairy Sci. 2010 Dec 1;93(12):5552–60.</w:t>
      </w:r>
    </w:p>
    <w:p w14:paraId="64ED14CC" w14:textId="31C721A7" w:rsidR="004B46D0" w:rsidRPr="00B06018" w:rsidRDefault="00B06018" w:rsidP="00B06018">
      <w:pPr>
        <w:tabs>
          <w:tab w:val="left" w:pos="560"/>
        </w:tabs>
        <w:spacing w:after="280" w:line="240" w:lineRule="auto"/>
        <w:ind w:left="560" w:hanging="560"/>
        <w:rPr>
          <w:b/>
          <w:bCs/>
          <w:sz w:val="22"/>
          <w:szCs w:val="22"/>
        </w:rPr>
      </w:pPr>
      <w:r w:rsidRPr="00B06018">
        <w:rPr>
          <w:bCs/>
          <w:noProof/>
          <w:sz w:val="22"/>
          <w:szCs w:val="22"/>
        </w:rPr>
        <w:t xml:space="preserve">5. </w:t>
      </w:r>
      <w:r w:rsidRPr="00B06018">
        <w:rPr>
          <w:bCs/>
          <w:noProof/>
          <w:sz w:val="22"/>
          <w:szCs w:val="22"/>
        </w:rPr>
        <w:tab/>
        <w:t>Hwang CF, Chen JN, Huang YT, Mao ZY. Biomass production of Lactobacillus plantarum LP02 isolated from infant feces with potential cholesterollowering ability. Afr J Biotechnol. 2013 Sep 27;10(36):7010–20.</w:t>
      </w:r>
      <w:r w:rsidR="004B46D0" w:rsidRPr="00B06018">
        <w:rPr>
          <w:b/>
          <w:bCs/>
          <w:sz w:val="22"/>
          <w:szCs w:val="22"/>
        </w:rPr>
        <w:fldChar w:fldCharType="end"/>
      </w:r>
    </w:p>
    <w:sectPr w:rsidR="004B46D0" w:rsidRPr="00B06018">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07970C" w14:textId="77777777" w:rsidR="008F383B" w:rsidRDefault="008F383B" w:rsidP="000C3F0C">
      <w:pPr>
        <w:spacing w:after="0" w:line="240" w:lineRule="auto"/>
      </w:pPr>
      <w:r>
        <w:separator/>
      </w:r>
    </w:p>
  </w:endnote>
  <w:endnote w:type="continuationSeparator" w:id="0">
    <w:p w14:paraId="158D4077" w14:textId="77777777" w:rsidR="008F383B" w:rsidRDefault="008F383B" w:rsidP="000C3F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5C529" w14:textId="77777777" w:rsidR="008F45CD" w:rsidRDefault="008F45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4231115"/>
      <w:docPartObj>
        <w:docPartGallery w:val="Page Numbers (Bottom of Page)"/>
        <w:docPartUnique/>
      </w:docPartObj>
    </w:sdtPr>
    <w:sdtEndPr>
      <w:rPr>
        <w:noProof/>
      </w:rPr>
    </w:sdtEndPr>
    <w:sdtContent>
      <w:p w14:paraId="6A72525F" w14:textId="6E8F4E9C" w:rsidR="008F45CD" w:rsidRDefault="008F45C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C139C14" w14:textId="77777777" w:rsidR="008F45CD" w:rsidRDefault="008F45C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CFACA" w14:textId="77777777" w:rsidR="008F45CD" w:rsidRDefault="008F45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980CD7" w14:textId="77777777" w:rsidR="008F383B" w:rsidRDefault="008F383B" w:rsidP="000C3F0C">
      <w:pPr>
        <w:spacing w:after="0" w:line="240" w:lineRule="auto"/>
      </w:pPr>
      <w:r>
        <w:separator/>
      </w:r>
    </w:p>
  </w:footnote>
  <w:footnote w:type="continuationSeparator" w:id="0">
    <w:p w14:paraId="03C01046" w14:textId="77777777" w:rsidR="008F383B" w:rsidRDefault="008F383B" w:rsidP="000C3F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48EFE" w14:textId="77777777" w:rsidR="008F45CD" w:rsidRDefault="008F45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DEB8A" w14:textId="5C88AC71" w:rsidR="00BC447E" w:rsidRPr="00BC447E" w:rsidRDefault="00BC447E" w:rsidP="008F45CD">
    <w:pPr>
      <w:jc w:val="center"/>
    </w:pPr>
    <w:r w:rsidRPr="00BC447E">
      <w:t>Microbial community composition of food waste before anaerobic digestion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80D34" w14:textId="77777777" w:rsidR="008F45CD" w:rsidRDefault="008F45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452F1D"/>
    <w:multiLevelType w:val="hybridMultilevel"/>
    <w:tmpl w:val="69045B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691671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M2NDQ3sDC2sLAwtjRU0lEKTi0uzszPAykwrwUAqRFvVywAAAA="/>
    <w:docVar w:name="paperpile-clusterType" w:val="normal"/>
    <w:docVar w:name="paperpile-doc-id" w:val="G973U133Q424O245"/>
    <w:docVar w:name="paperpile-doc-name" w:val="Supplementary information.docx"/>
    <w:docVar w:name="paperpile-includeDoi" w:val="false"/>
    <w:docVar w:name="paperpile-styleFile" w:val="vancouver.csl"/>
    <w:docVar w:name="paperpile-styleId" w:val="pp-vancouver"/>
    <w:docVar w:name="paperpile-styleLabel" w:val="Vancouver"/>
    <w:docVar w:name="paperpile-styleLocale" w:val="en-GB"/>
  </w:docVars>
  <w:rsids>
    <w:rsidRoot w:val="00171197"/>
    <w:rsid w:val="000C3F0C"/>
    <w:rsid w:val="000E1760"/>
    <w:rsid w:val="000E4C9C"/>
    <w:rsid w:val="00171197"/>
    <w:rsid w:val="001F56E2"/>
    <w:rsid w:val="00201C82"/>
    <w:rsid w:val="00237F5C"/>
    <w:rsid w:val="002B51B8"/>
    <w:rsid w:val="002C10A9"/>
    <w:rsid w:val="003A35B3"/>
    <w:rsid w:val="004B46D0"/>
    <w:rsid w:val="00515085"/>
    <w:rsid w:val="0055665E"/>
    <w:rsid w:val="00586164"/>
    <w:rsid w:val="007B2AC3"/>
    <w:rsid w:val="0081595D"/>
    <w:rsid w:val="008365D5"/>
    <w:rsid w:val="00843ABA"/>
    <w:rsid w:val="008F383B"/>
    <w:rsid w:val="008F45CD"/>
    <w:rsid w:val="00982CC6"/>
    <w:rsid w:val="00A1417D"/>
    <w:rsid w:val="00A41C39"/>
    <w:rsid w:val="00A67935"/>
    <w:rsid w:val="00A72347"/>
    <w:rsid w:val="00AD5F4E"/>
    <w:rsid w:val="00B06018"/>
    <w:rsid w:val="00BC447E"/>
    <w:rsid w:val="00BD141F"/>
    <w:rsid w:val="00BD678F"/>
    <w:rsid w:val="00D61A9D"/>
    <w:rsid w:val="00E664AC"/>
    <w:rsid w:val="00EB7C25"/>
    <w:rsid w:val="00EE16DF"/>
    <w:rsid w:val="00EE31A3"/>
    <w:rsid w:val="00FD77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F8E175"/>
  <w15:chartTrackingRefBased/>
  <w15:docId w15:val="{6835894D-F65C-4565-8A94-00B5F9673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2347"/>
    <w:pPr>
      <w:spacing w:after="120" w:line="480" w:lineRule="auto"/>
      <w:jc w:val="both"/>
    </w:pPr>
    <w:rPr>
      <w:rFonts w:ascii="Times New Roman" w:eastAsia="Times New Roman" w:hAnsi="Times New Roman" w:cs="Times New Roman"/>
      <w:color w:val="000000" w:themeColor="text1"/>
      <w:sz w:val="24"/>
      <w:szCs w:val="24"/>
      <w:lang w:val="en-AU"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3F0C"/>
    <w:pPr>
      <w:tabs>
        <w:tab w:val="center" w:pos="4680"/>
        <w:tab w:val="right" w:pos="9360"/>
      </w:tabs>
      <w:spacing w:after="0" w:line="240" w:lineRule="auto"/>
      <w:jc w:val="left"/>
    </w:pPr>
    <w:rPr>
      <w:rFonts w:asciiTheme="minorHAnsi" w:eastAsia="SimSun" w:hAnsiTheme="minorHAnsi" w:cstheme="minorBidi"/>
      <w:color w:val="auto"/>
      <w:sz w:val="22"/>
      <w:szCs w:val="22"/>
      <w:lang w:val="en-US" w:eastAsia="zh-CN"/>
    </w:rPr>
  </w:style>
  <w:style w:type="character" w:customStyle="1" w:styleId="HeaderChar">
    <w:name w:val="Header Char"/>
    <w:basedOn w:val="DefaultParagraphFont"/>
    <w:link w:val="Header"/>
    <w:uiPriority w:val="99"/>
    <w:rsid w:val="000C3F0C"/>
  </w:style>
  <w:style w:type="paragraph" w:styleId="Footer">
    <w:name w:val="footer"/>
    <w:basedOn w:val="Normal"/>
    <w:link w:val="FooterChar"/>
    <w:uiPriority w:val="99"/>
    <w:unhideWhenUsed/>
    <w:rsid w:val="000C3F0C"/>
    <w:pPr>
      <w:tabs>
        <w:tab w:val="center" w:pos="4680"/>
        <w:tab w:val="right" w:pos="9360"/>
      </w:tabs>
      <w:spacing w:after="0" w:line="240" w:lineRule="auto"/>
      <w:jc w:val="left"/>
    </w:pPr>
    <w:rPr>
      <w:rFonts w:asciiTheme="minorHAnsi" w:eastAsia="SimSun" w:hAnsiTheme="minorHAnsi" w:cstheme="minorBidi"/>
      <w:color w:val="auto"/>
      <w:sz w:val="22"/>
      <w:szCs w:val="22"/>
      <w:lang w:val="en-US" w:eastAsia="zh-CN"/>
    </w:rPr>
  </w:style>
  <w:style w:type="character" w:customStyle="1" w:styleId="FooterChar">
    <w:name w:val="Footer Char"/>
    <w:basedOn w:val="DefaultParagraphFont"/>
    <w:link w:val="Footer"/>
    <w:uiPriority w:val="99"/>
    <w:rsid w:val="000C3F0C"/>
  </w:style>
  <w:style w:type="paragraph" w:styleId="Title">
    <w:name w:val="Title"/>
    <w:basedOn w:val="Normal"/>
    <w:next w:val="Normal"/>
    <w:link w:val="TitleChar"/>
    <w:uiPriority w:val="10"/>
    <w:qFormat/>
    <w:rsid w:val="00A72347"/>
    <w:pPr>
      <w:spacing w:after="0"/>
      <w:contextualSpacing/>
      <w:jc w:val="center"/>
    </w:pPr>
    <w:rPr>
      <w:rFonts w:eastAsiaTheme="majorEastAsia" w:cstheme="majorBidi"/>
      <w:b/>
      <w:spacing w:val="-10"/>
      <w:kern w:val="28"/>
      <w:sz w:val="40"/>
      <w:szCs w:val="56"/>
      <w:lang w:eastAsia="en-US"/>
    </w:rPr>
  </w:style>
  <w:style w:type="character" w:customStyle="1" w:styleId="TitleChar">
    <w:name w:val="Title Char"/>
    <w:basedOn w:val="DefaultParagraphFont"/>
    <w:link w:val="Title"/>
    <w:uiPriority w:val="10"/>
    <w:rsid w:val="00A72347"/>
    <w:rPr>
      <w:rFonts w:ascii="Times New Roman" w:eastAsiaTheme="majorEastAsia" w:hAnsi="Times New Roman" w:cstheme="majorBidi"/>
      <w:b/>
      <w:color w:val="000000" w:themeColor="text1"/>
      <w:spacing w:val="-10"/>
      <w:kern w:val="28"/>
      <w:sz w:val="40"/>
      <w:szCs w:val="56"/>
      <w:lang w:val="en-AU" w:eastAsia="en-US"/>
    </w:rPr>
  </w:style>
  <w:style w:type="character" w:styleId="Hyperlink">
    <w:name w:val="Hyperlink"/>
    <w:basedOn w:val="DefaultParagraphFont"/>
    <w:uiPriority w:val="99"/>
    <w:unhideWhenUsed/>
    <w:rsid w:val="00A72347"/>
    <w:rPr>
      <w:color w:val="0563C1" w:themeColor="hyperlink"/>
      <w:u w:val="single"/>
    </w:rPr>
  </w:style>
  <w:style w:type="character" w:styleId="CommentReference">
    <w:name w:val="annotation reference"/>
    <w:basedOn w:val="DefaultParagraphFont"/>
    <w:uiPriority w:val="99"/>
    <w:semiHidden/>
    <w:unhideWhenUsed/>
    <w:rsid w:val="00A72347"/>
    <w:rPr>
      <w:sz w:val="16"/>
      <w:szCs w:val="16"/>
    </w:rPr>
  </w:style>
  <w:style w:type="paragraph" w:styleId="CommentText">
    <w:name w:val="annotation text"/>
    <w:basedOn w:val="Normal"/>
    <w:link w:val="CommentTextChar"/>
    <w:uiPriority w:val="99"/>
    <w:unhideWhenUsed/>
    <w:rsid w:val="00A72347"/>
    <w:pPr>
      <w:ind w:firstLine="720"/>
    </w:pPr>
    <w:rPr>
      <w:rFonts w:eastAsia="SimSun" w:cstheme="minorBidi"/>
      <w:sz w:val="20"/>
      <w:szCs w:val="20"/>
      <w:lang w:eastAsia="en-US"/>
    </w:rPr>
  </w:style>
  <w:style w:type="character" w:customStyle="1" w:styleId="CommentTextChar">
    <w:name w:val="Comment Text Char"/>
    <w:basedOn w:val="DefaultParagraphFont"/>
    <w:link w:val="CommentText"/>
    <w:uiPriority w:val="99"/>
    <w:rsid w:val="00A72347"/>
    <w:rPr>
      <w:rFonts w:ascii="Times New Roman" w:hAnsi="Times New Roman"/>
      <w:color w:val="000000" w:themeColor="text1"/>
      <w:sz w:val="20"/>
      <w:szCs w:val="20"/>
      <w:lang w:val="en-AU" w:eastAsia="en-US"/>
    </w:rPr>
  </w:style>
  <w:style w:type="paragraph" w:styleId="ListParagraph">
    <w:name w:val="List Paragraph"/>
    <w:basedOn w:val="Normal"/>
    <w:uiPriority w:val="34"/>
    <w:qFormat/>
    <w:rsid w:val="007B2AC3"/>
    <w:pPr>
      <w:ind w:left="720"/>
      <w:contextualSpacing/>
    </w:pPr>
  </w:style>
  <w:style w:type="paragraph" w:styleId="NoSpacing">
    <w:name w:val="No Spacing"/>
    <w:link w:val="NoSpacingChar"/>
    <w:uiPriority w:val="1"/>
    <w:qFormat/>
    <w:rsid w:val="00586164"/>
    <w:pPr>
      <w:spacing w:after="0" w:line="240" w:lineRule="auto"/>
      <w:jc w:val="center"/>
    </w:pPr>
    <w:rPr>
      <w:rFonts w:ascii="Times New Roman" w:hAnsi="Times New Roman"/>
      <w:color w:val="000000" w:themeColor="text1"/>
      <w:lang w:val="en-AU" w:eastAsia="en-US"/>
    </w:rPr>
  </w:style>
  <w:style w:type="paragraph" w:styleId="Caption">
    <w:name w:val="caption"/>
    <w:basedOn w:val="Normal"/>
    <w:next w:val="Normal"/>
    <w:uiPriority w:val="35"/>
    <w:unhideWhenUsed/>
    <w:qFormat/>
    <w:rsid w:val="00586164"/>
    <w:pPr>
      <w:spacing w:line="240" w:lineRule="auto"/>
    </w:pPr>
    <w:rPr>
      <w:rFonts w:cstheme="minorBidi"/>
      <w:iCs/>
      <w:sz w:val="20"/>
      <w:szCs w:val="18"/>
      <w:lang w:eastAsia="en-US"/>
    </w:rPr>
  </w:style>
  <w:style w:type="character" w:customStyle="1" w:styleId="NoSpacingChar">
    <w:name w:val="No Spacing Char"/>
    <w:basedOn w:val="DefaultParagraphFont"/>
    <w:link w:val="NoSpacing"/>
    <w:uiPriority w:val="1"/>
    <w:rsid w:val="00586164"/>
    <w:rPr>
      <w:rFonts w:ascii="Times New Roman" w:hAnsi="Times New Roman"/>
      <w:color w:val="000000" w:themeColor="text1"/>
      <w:lang w:val="en-AU" w:eastAsia="en-US"/>
    </w:rPr>
  </w:style>
  <w:style w:type="character" w:styleId="PlaceholderText">
    <w:name w:val="Placeholder Text"/>
    <w:basedOn w:val="DefaultParagraphFont"/>
    <w:uiPriority w:val="99"/>
    <w:semiHidden/>
    <w:rsid w:val="00E664A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0212803">
      <w:bodyDiv w:val="1"/>
      <w:marLeft w:val="0"/>
      <w:marRight w:val="0"/>
      <w:marTop w:val="0"/>
      <w:marBottom w:val="0"/>
      <w:divBdr>
        <w:top w:val="none" w:sz="0" w:space="0" w:color="auto"/>
        <w:left w:val="none" w:sz="0" w:space="0" w:color="auto"/>
        <w:bottom w:val="none" w:sz="0" w:space="0" w:color="auto"/>
        <w:right w:val="none" w:sz="0" w:space="0" w:color="auto"/>
      </w:divBdr>
      <w:divsChild>
        <w:div w:id="1428114389">
          <w:marLeft w:val="480"/>
          <w:marRight w:val="0"/>
          <w:marTop w:val="0"/>
          <w:marBottom w:val="0"/>
          <w:divBdr>
            <w:top w:val="none" w:sz="0" w:space="0" w:color="auto"/>
            <w:left w:val="none" w:sz="0" w:space="0" w:color="auto"/>
            <w:bottom w:val="none" w:sz="0" w:space="0" w:color="auto"/>
            <w:right w:val="none" w:sz="0" w:space="0" w:color="auto"/>
          </w:divBdr>
        </w:div>
        <w:div w:id="1296254649">
          <w:marLeft w:val="480"/>
          <w:marRight w:val="0"/>
          <w:marTop w:val="0"/>
          <w:marBottom w:val="0"/>
          <w:divBdr>
            <w:top w:val="none" w:sz="0" w:space="0" w:color="auto"/>
            <w:left w:val="none" w:sz="0" w:space="0" w:color="auto"/>
            <w:bottom w:val="none" w:sz="0" w:space="0" w:color="auto"/>
            <w:right w:val="none" w:sz="0" w:space="0" w:color="auto"/>
          </w:divBdr>
        </w:div>
        <w:div w:id="1145506468">
          <w:marLeft w:val="480"/>
          <w:marRight w:val="0"/>
          <w:marTop w:val="0"/>
          <w:marBottom w:val="0"/>
          <w:divBdr>
            <w:top w:val="none" w:sz="0" w:space="0" w:color="auto"/>
            <w:left w:val="none" w:sz="0" w:space="0" w:color="auto"/>
            <w:bottom w:val="none" w:sz="0" w:space="0" w:color="auto"/>
            <w:right w:val="none" w:sz="0" w:space="0" w:color="auto"/>
          </w:divBdr>
        </w:div>
        <w:div w:id="1241790697">
          <w:marLeft w:val="480"/>
          <w:marRight w:val="0"/>
          <w:marTop w:val="0"/>
          <w:marBottom w:val="0"/>
          <w:divBdr>
            <w:top w:val="none" w:sz="0" w:space="0" w:color="auto"/>
            <w:left w:val="none" w:sz="0" w:space="0" w:color="auto"/>
            <w:bottom w:val="none" w:sz="0" w:space="0" w:color="auto"/>
            <w:right w:val="none" w:sz="0" w:space="0" w:color="auto"/>
          </w:divBdr>
        </w:div>
        <w:div w:id="1282303425">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oter" Target="footer2.xml"/></Relationships>
</file>

<file path=word/charts/_rels/chart1.xml.rels><?xml version="1.0" encoding="UTF-8" standalone="yes"?>
<Relationships xmlns="http://schemas.openxmlformats.org/package/2006/relationships"><Relationship Id="rId3" Type="http://schemas.openxmlformats.org/officeDocument/2006/relationships/oleObject" Target="https://unsw-my.sharepoint.com/personal/z5221252_ad_unsw_edu_au/Documents/PhD%202020/Term%203%202020&amp;%20ST%202021/Chapter%201/Jack's/Copy%20of%20Hydropulper%20to%20Digester%20Cell%20Growth%20Model.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1" Type="http://schemas.openxmlformats.org/officeDocument/2006/relationships/oleObject" Target="https://unsw-my.sharepoint.com/personal/z5221252_ad_unsw_edu_au/Documents/PhD%202020/Term%203%202020&amp;%20ST%202021/Experiment%20data/2nd%20round/Data%20sheet.xlsx" TargetMode="External"/></Relationships>
</file>

<file path=word/charts/_rels/chart3.xml.rels><?xml version="1.0" encoding="UTF-8" standalone="yes"?>
<Relationships xmlns="http://schemas.openxmlformats.org/package/2006/relationships"><Relationship Id="rId3" Type="http://schemas.openxmlformats.org/officeDocument/2006/relationships/oleObject" Target="https://unsw-my.sharepoint.com/personal/z5221252_ad_unsw_edu_au/Documents/PhD%202020/Term%203%202020&amp;%20ST%202021/Experiment%20data/2nd%20round/Data%20sheet.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847521857241809"/>
          <c:y val="4.5327364297705661E-2"/>
          <c:w val="0.8305320936367554"/>
          <c:h val="0.78171000329138907"/>
        </c:manualLayout>
      </c:layout>
      <c:scatterChart>
        <c:scatterStyle val="lineMarker"/>
        <c:varyColors val="0"/>
        <c:ser>
          <c:idx val="0"/>
          <c:order val="0"/>
          <c:tx>
            <c:strRef>
              <c:f>'Monod Model 2'!$I$16</c:f>
              <c:strCache>
                <c:ptCount val="1"/>
                <c:pt idx="0">
                  <c:v>Cell Count/mL</c:v>
                </c:pt>
              </c:strCache>
            </c:strRef>
          </c:tx>
          <c:spPr>
            <a:ln w="19050" cap="rnd">
              <a:noFill/>
              <a:round/>
            </a:ln>
            <a:effectLst/>
          </c:spPr>
          <c:marker>
            <c:symbol val="circle"/>
            <c:size val="5"/>
            <c:spPr>
              <a:solidFill>
                <a:schemeClr val="accent1"/>
              </a:solidFill>
              <a:ln w="9525">
                <a:solidFill>
                  <a:schemeClr val="accent1"/>
                </a:solidFill>
              </a:ln>
              <a:effectLst/>
            </c:spPr>
          </c:marker>
          <c:xVal>
            <c:numRef>
              <c:f>'Monod Model 2'!$H$17:$H$57</c:f>
              <c:numCache>
                <c:formatCode>General</c:formatCode>
                <c:ptCount val="41"/>
                <c:pt idx="0">
                  <c:v>0</c:v>
                </c:pt>
                <c:pt idx="1">
                  <c:v>0.5</c:v>
                </c:pt>
                <c:pt idx="2">
                  <c:v>1</c:v>
                </c:pt>
                <c:pt idx="3">
                  <c:v>1.5</c:v>
                </c:pt>
                <c:pt idx="4">
                  <c:v>2</c:v>
                </c:pt>
                <c:pt idx="5">
                  <c:v>2.5</c:v>
                </c:pt>
                <c:pt idx="6">
                  <c:v>3</c:v>
                </c:pt>
                <c:pt idx="7">
                  <c:v>3.5</c:v>
                </c:pt>
                <c:pt idx="8">
                  <c:v>4</c:v>
                </c:pt>
                <c:pt idx="9">
                  <c:v>4.5</c:v>
                </c:pt>
                <c:pt idx="10">
                  <c:v>5</c:v>
                </c:pt>
                <c:pt idx="11">
                  <c:v>5.5</c:v>
                </c:pt>
                <c:pt idx="12">
                  <c:v>6</c:v>
                </c:pt>
                <c:pt idx="13">
                  <c:v>6.5</c:v>
                </c:pt>
                <c:pt idx="14">
                  <c:v>7</c:v>
                </c:pt>
                <c:pt idx="15">
                  <c:v>7.5</c:v>
                </c:pt>
                <c:pt idx="16">
                  <c:v>8</c:v>
                </c:pt>
                <c:pt idx="17">
                  <c:v>8.5</c:v>
                </c:pt>
                <c:pt idx="18">
                  <c:v>9</c:v>
                </c:pt>
                <c:pt idx="19">
                  <c:v>9.5</c:v>
                </c:pt>
                <c:pt idx="20">
                  <c:v>10</c:v>
                </c:pt>
                <c:pt idx="21">
                  <c:v>10.5</c:v>
                </c:pt>
                <c:pt idx="22">
                  <c:v>11</c:v>
                </c:pt>
                <c:pt idx="23">
                  <c:v>11.5</c:v>
                </c:pt>
                <c:pt idx="24">
                  <c:v>12</c:v>
                </c:pt>
                <c:pt idx="25">
                  <c:v>12.5</c:v>
                </c:pt>
                <c:pt idx="26">
                  <c:v>13</c:v>
                </c:pt>
                <c:pt idx="27">
                  <c:v>13.5</c:v>
                </c:pt>
                <c:pt idx="28">
                  <c:v>14</c:v>
                </c:pt>
                <c:pt idx="29">
                  <c:v>14.5</c:v>
                </c:pt>
                <c:pt idx="30">
                  <c:v>15</c:v>
                </c:pt>
                <c:pt idx="31">
                  <c:v>15.5</c:v>
                </c:pt>
                <c:pt idx="32">
                  <c:v>16</c:v>
                </c:pt>
                <c:pt idx="33">
                  <c:v>16.5</c:v>
                </c:pt>
                <c:pt idx="34">
                  <c:v>17</c:v>
                </c:pt>
                <c:pt idx="35">
                  <c:v>17.5</c:v>
                </c:pt>
                <c:pt idx="36">
                  <c:v>18</c:v>
                </c:pt>
                <c:pt idx="37">
                  <c:v>18.5</c:v>
                </c:pt>
                <c:pt idx="38">
                  <c:v>19</c:v>
                </c:pt>
                <c:pt idx="39">
                  <c:v>19.5</c:v>
                </c:pt>
                <c:pt idx="40">
                  <c:v>20</c:v>
                </c:pt>
              </c:numCache>
            </c:numRef>
          </c:xVal>
          <c:yVal>
            <c:numRef>
              <c:f>'Monod Model 2'!$I$17:$I$57</c:f>
              <c:numCache>
                <c:formatCode>0.00E+00</c:formatCode>
                <c:ptCount val="41"/>
                <c:pt idx="0">
                  <c:v>620000000</c:v>
                </c:pt>
                <c:pt idx="1">
                  <c:v>677674418.60465121</c:v>
                </c:pt>
                <c:pt idx="2">
                  <c:v>740693998.9579879</c:v>
                </c:pt>
                <c:pt idx="3">
                  <c:v>809550038.0057689</c:v>
                </c:pt>
                <c:pt idx="4">
                  <c:v>884778127.52817452</c:v>
                </c:pt>
                <c:pt idx="5">
                  <c:v>966961957.04415715</c:v>
                </c:pt>
                <c:pt idx="6">
                  <c:v>1056737397.9144366</c:v>
                </c:pt>
                <c:pt idx="7">
                  <c:v>1154796877.3531716</c:v>
                </c:pt>
                <c:pt idx="8">
                  <c:v>1261894047.3155808</c:v>
                </c:pt>
                <c:pt idx="9">
                  <c:v>1378848747.8162658</c:v>
                </c:pt>
                <c:pt idx="10">
                  <c:v>1506552256.5617018</c:v>
                </c:pt>
                <c:pt idx="11">
                  <c:v>1645972806.0446887</c:v>
                </c:pt>
                <c:pt idx="12">
                  <c:v>1798161334.3374541</c:v>
                </c:pt>
                <c:pt idx="13">
                  <c:v>1964257415.1871915</c:v>
                </c:pt>
                <c:pt idx="14">
                  <c:v>2145495284.4888568</c:v>
                </c:pt>
                <c:pt idx="15">
                  <c:v>2343209840.6932349</c:v>
                </c:pt>
                <c:pt idx="16">
                  <c:v>2558842441.7526889</c:v>
                </c:pt>
                <c:pt idx="17">
                  <c:v>2793946244.317409</c:v>
                </c:pt>
                <c:pt idx="18">
                  <c:v>3050190722.451674</c:v>
                </c:pt>
                <c:pt idx="19">
                  <c:v>3329364848.6626992</c:v>
                </c:pt>
                <c:pt idx="20">
                  <c:v>3633378197.3386536</c:v>
                </c:pt>
                <c:pt idx="21">
                  <c:v>3964258905.1214747</c:v>
                </c:pt>
                <c:pt idx="22">
                  <c:v>4324146938.9967299</c:v>
                </c:pt>
                <c:pt idx="23">
                  <c:v>4715280390.656148</c:v>
                </c:pt>
                <c:pt idx="24">
                  <c:v>5139971383.6614351</c:v>
                </c:pt>
                <c:pt idx="25">
                  <c:v>5600566387.3243399</c:v>
                </c:pt>
                <c:pt idx="26">
                  <c:v>6099382814.3411942</c:v>
                </c:pt>
                <c:pt idx="27">
                  <c:v>6638608884.7107983</c:v>
                </c:pt>
                <c:pt idx="28">
                  <c:v>7220145234.421195</c:v>
                </c:pt>
                <c:pt idx="29">
                  <c:v>7845351377.6379642</c:v>
                </c:pt>
                <c:pt idx="30">
                  <c:v>8514631086.1081495</c:v>
                </c:pt>
                <c:pt idx="31">
                  <c:v>9226733040.0726814</c:v>
                </c:pt>
                <c:pt idx="32">
                  <c:v>9977521910.6254349</c:v>
                </c:pt>
                <c:pt idx="33">
                  <c:v>10757705249.788</c:v>
                </c:pt>
                <c:pt idx="34">
                  <c:v>11548369295.257034</c:v>
                </c:pt>
                <c:pt idx="35">
                  <c:v>12311685024.476603</c:v>
                </c:pt>
                <c:pt idx="36">
                  <c:v>12971411664.182512</c:v>
                </c:pt>
                <c:pt idx="37">
                  <c:v>13384507799.062986</c:v>
                </c:pt>
                <c:pt idx="38">
                  <c:v>13432227473.792763</c:v>
                </c:pt>
                <c:pt idx="39">
                  <c:v>13414898188.033508</c:v>
                </c:pt>
                <c:pt idx="40">
                  <c:v>13421989697.681137</c:v>
                </c:pt>
              </c:numCache>
            </c:numRef>
          </c:yVal>
          <c:smooth val="0"/>
          <c:extLst>
            <c:ext xmlns:c16="http://schemas.microsoft.com/office/drawing/2014/chart" uri="{C3380CC4-5D6E-409C-BE32-E72D297353CC}">
              <c16:uniqueId val="{00000000-2C0D-4689-841C-1FC6747100AA}"/>
            </c:ext>
          </c:extLst>
        </c:ser>
        <c:dLbls>
          <c:showLegendKey val="0"/>
          <c:showVal val="0"/>
          <c:showCatName val="0"/>
          <c:showSerName val="0"/>
          <c:showPercent val="0"/>
          <c:showBubbleSize val="0"/>
        </c:dLbls>
        <c:axId val="181059104"/>
        <c:axId val="180628592"/>
      </c:scatterChart>
      <c:valAx>
        <c:axId val="18105910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Wet food waste</a:t>
                </a:r>
                <a:r>
                  <a:rPr lang="en-US" baseline="0"/>
                  <a:t>, g</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80628592"/>
        <c:crosses val="autoZero"/>
        <c:crossBetween val="midCat"/>
      </c:valAx>
      <c:valAx>
        <c:axId val="1806285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Cell count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00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81059104"/>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sz="1200"/>
            </a:pPr>
            <a:r>
              <a:rPr lang="en-US" sz="1200"/>
              <a:t>a) Water content and pH of food waste samples</a:t>
            </a:r>
          </a:p>
        </c:rich>
      </c:tx>
      <c:layout>
        <c:manualLayout>
          <c:xMode val="edge"/>
          <c:yMode val="edge"/>
          <c:x val="2.2819989845607878E-2"/>
          <c:y val="5.2226252617299247E-2"/>
        </c:manualLayout>
      </c:layout>
      <c:overlay val="0"/>
      <c:spPr>
        <a:noFill/>
        <a:ln>
          <a:noFill/>
        </a:ln>
        <a:effectLst/>
      </c:spPr>
    </c:title>
    <c:autoTitleDeleted val="0"/>
    <c:plotArea>
      <c:layout>
        <c:manualLayout>
          <c:layoutTarget val="inner"/>
          <c:xMode val="edge"/>
          <c:yMode val="edge"/>
          <c:x val="0.13103937007874017"/>
          <c:y val="0.17171296296296298"/>
          <c:w val="0.74903237095363084"/>
          <c:h val="0.61498432487605714"/>
        </c:manualLayout>
      </c:layout>
      <c:scatterChart>
        <c:scatterStyle val="lineMarker"/>
        <c:varyColors val="0"/>
        <c:ser>
          <c:idx val="0"/>
          <c:order val="0"/>
          <c:tx>
            <c:strRef>
              <c:f>'DNA extraction and Qubit'!$AA$26</c:f>
              <c:strCache>
                <c:ptCount val="1"/>
                <c:pt idx="0">
                  <c:v>Hydropulper Water content %</c:v>
                </c:pt>
              </c:strCache>
            </c:strRef>
          </c:tx>
          <c:spPr>
            <a:ln w="19050">
              <a:solidFill>
                <a:schemeClr val="tx1"/>
              </a:solidFill>
              <a:prstDash val="solid"/>
            </a:ln>
          </c:spPr>
          <c:marker>
            <c:symbol val="square"/>
            <c:size val="7"/>
            <c:spPr>
              <a:noFill/>
              <a:ln w="9525">
                <a:solidFill>
                  <a:schemeClr val="tx1"/>
                </a:solidFill>
              </a:ln>
              <a:effectLst/>
            </c:spPr>
          </c:marker>
          <c:xVal>
            <c:numRef>
              <c:f>'DNA extraction and Qubit'!$X$27:$X$45</c:f>
              <c:numCache>
                <c:formatCode>m/d/yyyy</c:formatCode>
                <c:ptCount val="19"/>
                <c:pt idx="0">
                  <c:v>44004</c:v>
                </c:pt>
                <c:pt idx="1">
                  <c:v>44005</c:v>
                </c:pt>
                <c:pt idx="2">
                  <c:v>44006</c:v>
                </c:pt>
                <c:pt idx="3">
                  <c:v>44007</c:v>
                </c:pt>
                <c:pt idx="4">
                  <c:v>44008</c:v>
                </c:pt>
                <c:pt idx="5">
                  <c:v>44011</c:v>
                </c:pt>
                <c:pt idx="6">
                  <c:v>44012</c:v>
                </c:pt>
                <c:pt idx="7">
                  <c:v>44013</c:v>
                </c:pt>
                <c:pt idx="8">
                  <c:v>44014</c:v>
                </c:pt>
                <c:pt idx="9">
                  <c:v>44015</c:v>
                </c:pt>
                <c:pt idx="10">
                  <c:v>44021</c:v>
                </c:pt>
                <c:pt idx="11">
                  <c:v>44028</c:v>
                </c:pt>
                <c:pt idx="12">
                  <c:v>44035</c:v>
                </c:pt>
                <c:pt idx="13">
                  <c:v>44042</c:v>
                </c:pt>
                <c:pt idx="14">
                  <c:v>44056</c:v>
                </c:pt>
                <c:pt idx="15">
                  <c:v>44063</c:v>
                </c:pt>
                <c:pt idx="16">
                  <c:v>44070</c:v>
                </c:pt>
                <c:pt idx="17">
                  <c:v>44084</c:v>
                </c:pt>
                <c:pt idx="18">
                  <c:v>44091</c:v>
                </c:pt>
              </c:numCache>
            </c:numRef>
          </c:xVal>
          <c:yVal>
            <c:numRef>
              <c:f>'DNA extraction and Qubit'!$AA$27:$AA$45</c:f>
              <c:numCache>
                <c:formatCode>0%</c:formatCode>
                <c:ptCount val="19"/>
                <c:pt idx="0">
                  <c:v>0.85</c:v>
                </c:pt>
                <c:pt idx="1">
                  <c:v>0.87</c:v>
                </c:pt>
                <c:pt idx="2">
                  <c:v>0.86</c:v>
                </c:pt>
                <c:pt idx="3">
                  <c:v>0.8</c:v>
                </c:pt>
                <c:pt idx="4">
                  <c:v>0.79</c:v>
                </c:pt>
                <c:pt idx="5">
                  <c:v>0.77</c:v>
                </c:pt>
                <c:pt idx="6">
                  <c:v>0.81</c:v>
                </c:pt>
                <c:pt idx="7">
                  <c:v>0.82</c:v>
                </c:pt>
                <c:pt idx="8">
                  <c:v>0.87</c:v>
                </c:pt>
                <c:pt idx="9">
                  <c:v>0.81</c:v>
                </c:pt>
                <c:pt idx="10">
                  <c:v>0.82</c:v>
                </c:pt>
                <c:pt idx="11">
                  <c:v>0.82</c:v>
                </c:pt>
                <c:pt idx="12">
                  <c:v>0.87</c:v>
                </c:pt>
                <c:pt idx="13">
                  <c:v>0.84</c:v>
                </c:pt>
                <c:pt idx="14">
                  <c:v>0.83</c:v>
                </c:pt>
                <c:pt idx="15">
                  <c:v>0.78</c:v>
                </c:pt>
                <c:pt idx="16">
                  <c:v>0.78</c:v>
                </c:pt>
                <c:pt idx="17">
                  <c:v>0.76</c:v>
                </c:pt>
                <c:pt idx="18">
                  <c:v>0.8</c:v>
                </c:pt>
              </c:numCache>
            </c:numRef>
          </c:yVal>
          <c:smooth val="0"/>
          <c:extLst>
            <c:ext xmlns:c16="http://schemas.microsoft.com/office/drawing/2014/chart" uri="{C3380CC4-5D6E-409C-BE32-E72D297353CC}">
              <c16:uniqueId val="{00000000-8851-4E7C-AE22-BD7BE94BE50D}"/>
            </c:ext>
          </c:extLst>
        </c:ser>
        <c:ser>
          <c:idx val="3"/>
          <c:order val="3"/>
          <c:tx>
            <c:strRef>
              <c:f>'DNA extraction and Qubit'!$AJ$26</c:f>
              <c:strCache>
                <c:ptCount val="1"/>
                <c:pt idx="0">
                  <c:v>Digestor feed Water content</c:v>
                </c:pt>
              </c:strCache>
            </c:strRef>
          </c:tx>
          <c:spPr>
            <a:ln w="19050">
              <a:solidFill>
                <a:schemeClr val="tx1"/>
              </a:solidFill>
            </a:ln>
          </c:spPr>
          <c:marker>
            <c:symbol val="square"/>
            <c:size val="6"/>
            <c:spPr>
              <a:solidFill>
                <a:schemeClr val="tx1"/>
              </a:solidFill>
              <a:ln>
                <a:solidFill>
                  <a:schemeClr val="tx1"/>
                </a:solidFill>
              </a:ln>
            </c:spPr>
          </c:marker>
          <c:xVal>
            <c:numRef>
              <c:f>'DNA extraction and Qubit'!$AG$27:$AG$45</c:f>
              <c:numCache>
                <c:formatCode>m/d/yyyy</c:formatCode>
                <c:ptCount val="19"/>
                <c:pt idx="0">
                  <c:v>44004</c:v>
                </c:pt>
                <c:pt idx="1">
                  <c:v>44005</c:v>
                </c:pt>
                <c:pt idx="2">
                  <c:v>44006</c:v>
                </c:pt>
                <c:pt idx="3">
                  <c:v>44007</c:v>
                </c:pt>
                <c:pt idx="4">
                  <c:v>44008</c:v>
                </c:pt>
                <c:pt idx="5">
                  <c:v>44011</c:v>
                </c:pt>
                <c:pt idx="6">
                  <c:v>44012</c:v>
                </c:pt>
                <c:pt idx="7">
                  <c:v>44013</c:v>
                </c:pt>
                <c:pt idx="8">
                  <c:v>44014</c:v>
                </c:pt>
                <c:pt idx="9">
                  <c:v>44015</c:v>
                </c:pt>
                <c:pt idx="10">
                  <c:v>44021</c:v>
                </c:pt>
                <c:pt idx="11">
                  <c:v>44028</c:v>
                </c:pt>
                <c:pt idx="12">
                  <c:v>44035</c:v>
                </c:pt>
                <c:pt idx="13">
                  <c:v>44042</c:v>
                </c:pt>
                <c:pt idx="14">
                  <c:v>44056</c:v>
                </c:pt>
                <c:pt idx="15">
                  <c:v>44063</c:v>
                </c:pt>
                <c:pt idx="16">
                  <c:v>44070</c:v>
                </c:pt>
                <c:pt idx="17">
                  <c:v>44084</c:v>
                </c:pt>
                <c:pt idx="18">
                  <c:v>44091</c:v>
                </c:pt>
              </c:numCache>
            </c:numRef>
          </c:xVal>
          <c:yVal>
            <c:numRef>
              <c:f>'DNA extraction and Qubit'!$AJ$27:$AJ$45</c:f>
              <c:numCache>
                <c:formatCode>0%</c:formatCode>
                <c:ptCount val="19"/>
                <c:pt idx="0">
                  <c:v>0.81</c:v>
                </c:pt>
                <c:pt idx="1">
                  <c:v>0.92</c:v>
                </c:pt>
                <c:pt idx="2">
                  <c:v>0.84</c:v>
                </c:pt>
                <c:pt idx="3">
                  <c:v>0.83</c:v>
                </c:pt>
                <c:pt idx="4">
                  <c:v>0.89</c:v>
                </c:pt>
                <c:pt idx="5">
                  <c:v>0.88</c:v>
                </c:pt>
                <c:pt idx="6">
                  <c:v>0.81</c:v>
                </c:pt>
                <c:pt idx="7">
                  <c:v>0.86</c:v>
                </c:pt>
                <c:pt idx="8">
                  <c:v>0.83</c:v>
                </c:pt>
                <c:pt idx="9">
                  <c:v>0.83</c:v>
                </c:pt>
                <c:pt idx="10">
                  <c:v>0.85</c:v>
                </c:pt>
                <c:pt idx="11">
                  <c:v>0.85</c:v>
                </c:pt>
                <c:pt idx="12">
                  <c:v>0.87</c:v>
                </c:pt>
                <c:pt idx="13">
                  <c:v>0.82</c:v>
                </c:pt>
                <c:pt idx="14">
                  <c:v>0.85</c:v>
                </c:pt>
                <c:pt idx="15">
                  <c:v>0.73</c:v>
                </c:pt>
                <c:pt idx="16">
                  <c:v>0.87</c:v>
                </c:pt>
                <c:pt idx="17">
                  <c:v>0.8</c:v>
                </c:pt>
                <c:pt idx="18">
                  <c:v>0.85</c:v>
                </c:pt>
              </c:numCache>
            </c:numRef>
          </c:yVal>
          <c:smooth val="0"/>
          <c:extLst>
            <c:ext xmlns:c16="http://schemas.microsoft.com/office/drawing/2014/chart" uri="{C3380CC4-5D6E-409C-BE32-E72D297353CC}">
              <c16:uniqueId val="{00000001-8851-4E7C-AE22-BD7BE94BE50D}"/>
            </c:ext>
          </c:extLst>
        </c:ser>
        <c:dLbls>
          <c:showLegendKey val="0"/>
          <c:showVal val="0"/>
          <c:showCatName val="0"/>
          <c:showSerName val="0"/>
          <c:showPercent val="0"/>
          <c:showBubbleSize val="0"/>
        </c:dLbls>
        <c:axId val="1578260959"/>
        <c:axId val="1578253887"/>
      </c:scatterChart>
      <c:scatterChart>
        <c:scatterStyle val="lineMarker"/>
        <c:varyColors val="0"/>
        <c:ser>
          <c:idx val="1"/>
          <c:order val="1"/>
          <c:tx>
            <c:strRef>
              <c:f>'DNA extraction and Qubit'!$Y$26</c:f>
              <c:strCache>
                <c:ptCount val="1"/>
                <c:pt idx="0">
                  <c:v>Hydropuper pH</c:v>
                </c:pt>
              </c:strCache>
            </c:strRef>
          </c:tx>
          <c:spPr>
            <a:ln w="19050">
              <a:solidFill>
                <a:schemeClr val="tx1"/>
              </a:solidFill>
              <a:prstDash val="solid"/>
            </a:ln>
          </c:spPr>
          <c:marker>
            <c:symbol val="triangle"/>
            <c:size val="6"/>
            <c:spPr>
              <a:noFill/>
              <a:ln>
                <a:solidFill>
                  <a:schemeClr val="tx1"/>
                </a:solidFill>
              </a:ln>
            </c:spPr>
          </c:marker>
          <c:xVal>
            <c:numRef>
              <c:f>'DNA extraction and Qubit'!$AR$27:$AR$44</c:f>
              <c:numCache>
                <c:formatCode>m/d/yyyy</c:formatCode>
                <c:ptCount val="18"/>
                <c:pt idx="0">
                  <c:v>44004</c:v>
                </c:pt>
                <c:pt idx="1">
                  <c:v>44005</c:v>
                </c:pt>
                <c:pt idx="2">
                  <c:v>44006</c:v>
                </c:pt>
                <c:pt idx="3">
                  <c:v>44007</c:v>
                </c:pt>
                <c:pt idx="4">
                  <c:v>44008</c:v>
                </c:pt>
                <c:pt idx="5">
                  <c:v>44011</c:v>
                </c:pt>
                <c:pt idx="6">
                  <c:v>44012</c:v>
                </c:pt>
                <c:pt idx="7">
                  <c:v>44013</c:v>
                </c:pt>
                <c:pt idx="8">
                  <c:v>44014</c:v>
                </c:pt>
                <c:pt idx="9">
                  <c:v>44021</c:v>
                </c:pt>
                <c:pt idx="10">
                  <c:v>44028</c:v>
                </c:pt>
                <c:pt idx="11">
                  <c:v>44035</c:v>
                </c:pt>
                <c:pt idx="12">
                  <c:v>44042</c:v>
                </c:pt>
                <c:pt idx="13">
                  <c:v>44056</c:v>
                </c:pt>
                <c:pt idx="14">
                  <c:v>44063</c:v>
                </c:pt>
                <c:pt idx="15">
                  <c:v>44070</c:v>
                </c:pt>
                <c:pt idx="16">
                  <c:v>44084</c:v>
                </c:pt>
                <c:pt idx="17">
                  <c:v>44091</c:v>
                </c:pt>
              </c:numCache>
            </c:numRef>
          </c:xVal>
          <c:yVal>
            <c:numRef>
              <c:f>'DNA extraction and Qubit'!$AS$27:$AS$44</c:f>
              <c:numCache>
                <c:formatCode>General</c:formatCode>
                <c:ptCount val="18"/>
                <c:pt idx="0">
                  <c:v>4.54</c:v>
                </c:pt>
                <c:pt idx="1">
                  <c:v>4.4400000000000004</c:v>
                </c:pt>
                <c:pt idx="2">
                  <c:v>4.38</c:v>
                </c:pt>
                <c:pt idx="3">
                  <c:v>4.74</c:v>
                </c:pt>
                <c:pt idx="4">
                  <c:v>4.8099999999999996</c:v>
                </c:pt>
                <c:pt idx="5">
                  <c:v>3.33</c:v>
                </c:pt>
                <c:pt idx="6">
                  <c:v>4.62</c:v>
                </c:pt>
                <c:pt idx="7">
                  <c:v>4.93</c:v>
                </c:pt>
                <c:pt idx="8">
                  <c:v>4.18</c:v>
                </c:pt>
                <c:pt idx="9">
                  <c:v>5.14</c:v>
                </c:pt>
                <c:pt idx="10">
                  <c:v>4.74</c:v>
                </c:pt>
                <c:pt idx="11">
                  <c:v>3.53</c:v>
                </c:pt>
                <c:pt idx="12">
                  <c:v>4.53</c:v>
                </c:pt>
                <c:pt idx="13">
                  <c:v>4.63</c:v>
                </c:pt>
                <c:pt idx="14">
                  <c:v>3.99</c:v>
                </c:pt>
                <c:pt idx="15">
                  <c:v>3.66</c:v>
                </c:pt>
                <c:pt idx="16">
                  <c:v>4.18</c:v>
                </c:pt>
                <c:pt idx="17">
                  <c:v>3.48</c:v>
                </c:pt>
              </c:numCache>
            </c:numRef>
          </c:yVal>
          <c:smooth val="0"/>
          <c:extLst>
            <c:ext xmlns:c16="http://schemas.microsoft.com/office/drawing/2014/chart" uri="{C3380CC4-5D6E-409C-BE32-E72D297353CC}">
              <c16:uniqueId val="{00000002-8851-4E7C-AE22-BD7BE94BE50D}"/>
            </c:ext>
          </c:extLst>
        </c:ser>
        <c:ser>
          <c:idx val="2"/>
          <c:order val="2"/>
          <c:tx>
            <c:strRef>
              <c:f>'DNA extraction and Qubit'!$AH$26</c:f>
              <c:strCache>
                <c:ptCount val="1"/>
                <c:pt idx="0">
                  <c:v>Digestor feed pH</c:v>
                </c:pt>
              </c:strCache>
            </c:strRef>
          </c:tx>
          <c:spPr>
            <a:ln w="19050">
              <a:solidFill>
                <a:schemeClr val="tx1"/>
              </a:solidFill>
              <a:prstDash val="solid"/>
            </a:ln>
          </c:spPr>
          <c:marker>
            <c:spPr>
              <a:solidFill>
                <a:schemeClr val="tx1"/>
              </a:solidFill>
              <a:ln>
                <a:solidFill>
                  <a:schemeClr val="tx1"/>
                </a:solidFill>
              </a:ln>
            </c:spPr>
          </c:marker>
          <c:xVal>
            <c:numRef>
              <c:f>'DNA extraction and Qubit'!$AO$27:$AO$44</c:f>
              <c:numCache>
                <c:formatCode>m/d/yyyy</c:formatCode>
                <c:ptCount val="18"/>
                <c:pt idx="0">
                  <c:v>44004</c:v>
                </c:pt>
                <c:pt idx="1">
                  <c:v>44005</c:v>
                </c:pt>
                <c:pt idx="2">
                  <c:v>44006</c:v>
                </c:pt>
                <c:pt idx="3">
                  <c:v>44007</c:v>
                </c:pt>
                <c:pt idx="4">
                  <c:v>44008</c:v>
                </c:pt>
                <c:pt idx="5">
                  <c:v>44011</c:v>
                </c:pt>
                <c:pt idx="6">
                  <c:v>44012</c:v>
                </c:pt>
                <c:pt idx="7">
                  <c:v>44013</c:v>
                </c:pt>
                <c:pt idx="8">
                  <c:v>44014</c:v>
                </c:pt>
                <c:pt idx="9">
                  <c:v>44021</c:v>
                </c:pt>
                <c:pt idx="10">
                  <c:v>44028</c:v>
                </c:pt>
                <c:pt idx="11">
                  <c:v>44035</c:v>
                </c:pt>
                <c:pt idx="12">
                  <c:v>44042</c:v>
                </c:pt>
                <c:pt idx="13">
                  <c:v>44056</c:v>
                </c:pt>
                <c:pt idx="14">
                  <c:v>44063</c:v>
                </c:pt>
                <c:pt idx="15">
                  <c:v>44070</c:v>
                </c:pt>
                <c:pt idx="16">
                  <c:v>44084</c:v>
                </c:pt>
                <c:pt idx="17">
                  <c:v>44091</c:v>
                </c:pt>
              </c:numCache>
            </c:numRef>
          </c:xVal>
          <c:yVal>
            <c:numRef>
              <c:f>'DNA extraction and Qubit'!$AP$27:$AP$44</c:f>
              <c:numCache>
                <c:formatCode>0.00</c:formatCode>
                <c:ptCount val="18"/>
                <c:pt idx="0">
                  <c:v>4.17</c:v>
                </c:pt>
                <c:pt idx="1">
                  <c:v>5.48</c:v>
                </c:pt>
                <c:pt idx="2">
                  <c:v>4.53</c:v>
                </c:pt>
                <c:pt idx="3">
                  <c:v>4.24</c:v>
                </c:pt>
                <c:pt idx="4">
                  <c:v>4.12</c:v>
                </c:pt>
                <c:pt idx="5">
                  <c:v>4.62</c:v>
                </c:pt>
                <c:pt idx="6">
                  <c:v>4.62</c:v>
                </c:pt>
                <c:pt idx="7">
                  <c:v>4.5</c:v>
                </c:pt>
                <c:pt idx="8">
                  <c:v>4</c:v>
                </c:pt>
                <c:pt idx="9">
                  <c:v>4.79</c:v>
                </c:pt>
                <c:pt idx="10">
                  <c:v>4.3499999999999996</c:v>
                </c:pt>
                <c:pt idx="11">
                  <c:v>3.65</c:v>
                </c:pt>
                <c:pt idx="12">
                  <c:v>4.38</c:v>
                </c:pt>
                <c:pt idx="13">
                  <c:v>4.21</c:v>
                </c:pt>
                <c:pt idx="14">
                  <c:v>3.98</c:v>
                </c:pt>
                <c:pt idx="15">
                  <c:v>3.54</c:v>
                </c:pt>
                <c:pt idx="16">
                  <c:v>3.76</c:v>
                </c:pt>
                <c:pt idx="17">
                  <c:v>3.88</c:v>
                </c:pt>
              </c:numCache>
            </c:numRef>
          </c:yVal>
          <c:smooth val="0"/>
          <c:extLst>
            <c:ext xmlns:c16="http://schemas.microsoft.com/office/drawing/2014/chart" uri="{C3380CC4-5D6E-409C-BE32-E72D297353CC}">
              <c16:uniqueId val="{00000003-8851-4E7C-AE22-BD7BE94BE50D}"/>
            </c:ext>
          </c:extLst>
        </c:ser>
        <c:dLbls>
          <c:showLegendKey val="0"/>
          <c:showVal val="0"/>
          <c:showCatName val="0"/>
          <c:showSerName val="0"/>
          <c:showPercent val="0"/>
          <c:showBubbleSize val="0"/>
        </c:dLbls>
        <c:axId val="508540272"/>
        <c:axId val="508539856"/>
      </c:scatterChart>
      <c:valAx>
        <c:axId val="1578260959"/>
        <c:scaling>
          <c:orientation val="minMax"/>
          <c:max val="44100"/>
          <c:min val="44000"/>
        </c:scaling>
        <c:delete val="0"/>
        <c:axPos val="b"/>
        <c:numFmt formatCode="[$-409]d\-mmm;@" sourceLinked="0"/>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1578253887"/>
        <c:crosses val="autoZero"/>
        <c:crossBetween val="midCat"/>
        <c:majorUnit val="15"/>
      </c:valAx>
      <c:valAx>
        <c:axId val="1578253887"/>
        <c:scaling>
          <c:orientation val="minMax"/>
          <c:min val="0.5"/>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b="0"/>
                </a:pPr>
                <a:r>
                  <a:rPr lang="en-AU" b="0"/>
                  <a:t>Water content/air relative humidity %  </a:t>
                </a:r>
              </a:p>
            </c:rich>
          </c:tx>
          <c:overlay val="0"/>
          <c:spPr>
            <a:noFill/>
            <a:ln>
              <a:noFill/>
            </a:ln>
            <a:effectLst/>
          </c:spPr>
        </c:title>
        <c:numFmt formatCode="0%" sourceLinked="1"/>
        <c:majorTickMark val="in"/>
        <c:minorTickMark val="none"/>
        <c:tickLblPos val="nextTo"/>
        <c:spPr>
          <a:noFill/>
          <a:ln w="9525" cap="flat" cmpd="sng" algn="ctr">
            <a:solidFill>
              <a:schemeClr val="tx1"/>
            </a:solidFill>
            <a:round/>
          </a:ln>
          <a:effectLst/>
        </c:spPr>
        <c:txPr>
          <a:bodyPr rot="-60000000" vert="horz"/>
          <a:lstStyle/>
          <a:p>
            <a:pPr>
              <a:defRPr/>
            </a:pPr>
            <a:endParaRPr lang="en-US"/>
          </a:p>
        </c:txPr>
        <c:crossAx val="1578260959"/>
        <c:crosses val="autoZero"/>
        <c:crossBetween val="midCat"/>
        <c:majorUnit val="0.1"/>
      </c:valAx>
      <c:valAx>
        <c:axId val="508539856"/>
        <c:scaling>
          <c:orientation val="minMax"/>
          <c:min val="3"/>
        </c:scaling>
        <c:delete val="0"/>
        <c:axPos val="r"/>
        <c:title>
          <c:tx>
            <c:rich>
              <a:bodyPr/>
              <a:lstStyle/>
              <a:p>
                <a:pPr>
                  <a:defRPr b="0"/>
                </a:pPr>
                <a:r>
                  <a:rPr lang="en-US" altLang="zh-CN" b="0"/>
                  <a:t>pH</a:t>
                </a:r>
              </a:p>
            </c:rich>
          </c:tx>
          <c:overlay val="0"/>
        </c:title>
        <c:numFmt formatCode="General" sourceLinked="1"/>
        <c:majorTickMark val="in"/>
        <c:minorTickMark val="none"/>
        <c:tickLblPos val="nextTo"/>
        <c:spPr>
          <a:solidFill>
            <a:schemeClr val="bg1"/>
          </a:solidFill>
          <a:ln w="9525">
            <a:solidFill>
              <a:schemeClr val="tx1"/>
            </a:solidFill>
          </a:ln>
        </c:spPr>
        <c:txPr>
          <a:bodyPr/>
          <a:lstStyle/>
          <a:p>
            <a:pPr>
              <a:defRPr>
                <a:ln>
                  <a:noFill/>
                </a:ln>
                <a:solidFill>
                  <a:schemeClr val="tx1"/>
                </a:solidFill>
              </a:defRPr>
            </a:pPr>
            <a:endParaRPr lang="en-US"/>
          </a:p>
        </c:txPr>
        <c:crossAx val="508540272"/>
        <c:crosses val="max"/>
        <c:crossBetween val="midCat"/>
      </c:valAx>
      <c:valAx>
        <c:axId val="508540272"/>
        <c:scaling>
          <c:orientation val="minMax"/>
        </c:scaling>
        <c:delete val="1"/>
        <c:axPos val="t"/>
        <c:numFmt formatCode="m/d/yyyy" sourceLinked="1"/>
        <c:majorTickMark val="out"/>
        <c:minorTickMark val="none"/>
        <c:tickLblPos val="nextTo"/>
        <c:crossAx val="508539856"/>
        <c:crosses val="max"/>
        <c:crossBetween val="midCat"/>
      </c:valAx>
    </c:plotArea>
    <c:legend>
      <c:legendPos val="b"/>
      <c:overlay val="0"/>
      <c:spPr>
        <a:noFill/>
        <a:ln>
          <a:solidFill>
            <a:schemeClr val="tx1"/>
          </a:solidFill>
        </a:ln>
        <a:effectLst/>
      </c:spPr>
      <c:txPr>
        <a:bodyPr rot="0" vert="horz"/>
        <a:lstStyle/>
        <a:p>
          <a:pPr>
            <a:defRPr/>
          </a:pPr>
          <a:endParaRPr lang="en-US"/>
        </a:p>
      </c:txPr>
    </c:legend>
    <c:plotVisOnly val="1"/>
    <c:dispBlanksAs val="gap"/>
    <c:showDLblsOverMax val="0"/>
    <c:extLst/>
  </c:chart>
  <c:spPr>
    <a:ln>
      <a:noFill/>
    </a:ln>
  </c:spPr>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AU" sz="1200" b="1">
                <a:solidFill>
                  <a:schemeClr val="tx1"/>
                </a:solidFill>
              </a:rPr>
              <a:t>b) Elemental content of food waste samples </a:t>
            </a:r>
          </a:p>
        </c:rich>
      </c:tx>
      <c:layout>
        <c:manualLayout>
          <c:xMode val="edge"/>
          <c:yMode val="edge"/>
          <c:x val="3.3320703333135998E-2"/>
          <c:y val="2.375296912114014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lineMarker"/>
        <c:varyColors val="0"/>
        <c:ser>
          <c:idx val="0"/>
          <c:order val="0"/>
          <c:tx>
            <c:strRef>
              <c:f>NCS!$G$3</c:f>
              <c:strCache>
                <c:ptCount val="1"/>
                <c:pt idx="0">
                  <c:v>Hydropulper N %</c:v>
                </c:pt>
              </c:strCache>
            </c:strRef>
          </c:tx>
          <c:spPr>
            <a:ln w="25400" cap="rnd">
              <a:solidFill>
                <a:schemeClr val="tx1"/>
              </a:solidFill>
              <a:prstDash val="solid"/>
              <a:round/>
            </a:ln>
            <a:effectLst/>
          </c:spPr>
          <c:marker>
            <c:symbol val="circle"/>
            <c:size val="7"/>
            <c:spPr>
              <a:noFill/>
              <a:ln w="12700">
                <a:solidFill>
                  <a:schemeClr val="tx1"/>
                </a:solidFill>
              </a:ln>
              <a:effectLst/>
            </c:spPr>
          </c:marker>
          <c:xVal>
            <c:numRef>
              <c:f>NCS!$E$4:$E$13</c:f>
              <c:numCache>
                <c:formatCode>m/d/yyyy</c:formatCode>
                <c:ptCount val="10"/>
                <c:pt idx="0">
                  <c:v>44004</c:v>
                </c:pt>
                <c:pt idx="1">
                  <c:v>44006</c:v>
                </c:pt>
                <c:pt idx="2">
                  <c:v>44008</c:v>
                </c:pt>
                <c:pt idx="3">
                  <c:v>44012</c:v>
                </c:pt>
                <c:pt idx="4">
                  <c:v>44014</c:v>
                </c:pt>
                <c:pt idx="5">
                  <c:v>44021</c:v>
                </c:pt>
                <c:pt idx="6">
                  <c:v>44035</c:v>
                </c:pt>
                <c:pt idx="7">
                  <c:v>44056</c:v>
                </c:pt>
                <c:pt idx="8">
                  <c:v>44070</c:v>
                </c:pt>
                <c:pt idx="9">
                  <c:v>44091</c:v>
                </c:pt>
              </c:numCache>
            </c:numRef>
          </c:xVal>
          <c:yVal>
            <c:numRef>
              <c:f>NCS!$G$4:$G$13</c:f>
              <c:numCache>
                <c:formatCode>0.00</c:formatCode>
                <c:ptCount val="10"/>
                <c:pt idx="0">
                  <c:v>2.6</c:v>
                </c:pt>
                <c:pt idx="1">
                  <c:v>2.17</c:v>
                </c:pt>
                <c:pt idx="2">
                  <c:v>1.65</c:v>
                </c:pt>
                <c:pt idx="3">
                  <c:v>2.4</c:v>
                </c:pt>
                <c:pt idx="4">
                  <c:v>2.42</c:v>
                </c:pt>
                <c:pt idx="5">
                  <c:v>1.88</c:v>
                </c:pt>
                <c:pt idx="6">
                  <c:v>2.42</c:v>
                </c:pt>
                <c:pt idx="7">
                  <c:v>2.61</c:v>
                </c:pt>
                <c:pt idx="8">
                  <c:v>3.26</c:v>
                </c:pt>
                <c:pt idx="9">
                  <c:v>3.23</c:v>
                </c:pt>
              </c:numCache>
            </c:numRef>
          </c:yVal>
          <c:smooth val="0"/>
          <c:extLst>
            <c:ext xmlns:c16="http://schemas.microsoft.com/office/drawing/2014/chart" uri="{C3380CC4-5D6E-409C-BE32-E72D297353CC}">
              <c16:uniqueId val="{00000000-DB72-400C-8C9E-7D2197AB910E}"/>
            </c:ext>
          </c:extLst>
        </c:ser>
        <c:ser>
          <c:idx val="2"/>
          <c:order val="2"/>
          <c:tx>
            <c:strRef>
              <c:f>NCS!$I$3</c:f>
              <c:strCache>
                <c:ptCount val="1"/>
                <c:pt idx="0">
                  <c:v>Hydropulper S %</c:v>
                </c:pt>
              </c:strCache>
            </c:strRef>
          </c:tx>
          <c:spPr>
            <a:ln w="25400" cap="rnd" cmpd="sng">
              <a:solidFill>
                <a:schemeClr val="tx1"/>
              </a:solidFill>
              <a:prstDash val="solid"/>
              <a:round/>
            </a:ln>
            <a:effectLst/>
          </c:spPr>
          <c:marker>
            <c:symbol val="square"/>
            <c:size val="7"/>
            <c:spPr>
              <a:noFill/>
              <a:ln w="9525">
                <a:solidFill>
                  <a:schemeClr val="tx1"/>
                </a:solidFill>
              </a:ln>
              <a:effectLst/>
            </c:spPr>
          </c:marker>
          <c:xVal>
            <c:numRef>
              <c:f>NCS!$E$4:$E$13</c:f>
              <c:numCache>
                <c:formatCode>m/d/yyyy</c:formatCode>
                <c:ptCount val="10"/>
                <c:pt idx="0">
                  <c:v>44004</c:v>
                </c:pt>
                <c:pt idx="1">
                  <c:v>44006</c:v>
                </c:pt>
                <c:pt idx="2">
                  <c:v>44008</c:v>
                </c:pt>
                <c:pt idx="3">
                  <c:v>44012</c:v>
                </c:pt>
                <c:pt idx="4">
                  <c:v>44014</c:v>
                </c:pt>
                <c:pt idx="5">
                  <c:v>44021</c:v>
                </c:pt>
                <c:pt idx="6">
                  <c:v>44035</c:v>
                </c:pt>
                <c:pt idx="7">
                  <c:v>44056</c:v>
                </c:pt>
                <c:pt idx="8">
                  <c:v>44070</c:v>
                </c:pt>
                <c:pt idx="9">
                  <c:v>44091</c:v>
                </c:pt>
              </c:numCache>
            </c:numRef>
          </c:xVal>
          <c:yVal>
            <c:numRef>
              <c:f>NCS!$I$4:$I$13</c:f>
              <c:numCache>
                <c:formatCode>0.00</c:formatCode>
                <c:ptCount val="10"/>
                <c:pt idx="0">
                  <c:v>0.70299999999999996</c:v>
                </c:pt>
                <c:pt idx="1">
                  <c:v>0.44500000000000001</c:v>
                </c:pt>
                <c:pt idx="2">
                  <c:v>0.28199999999999997</c:v>
                </c:pt>
                <c:pt idx="3">
                  <c:v>0.26200000000000001</c:v>
                </c:pt>
                <c:pt idx="4">
                  <c:v>0.30299999999999999</c:v>
                </c:pt>
                <c:pt idx="5">
                  <c:v>0.20399999999999999</c:v>
                </c:pt>
                <c:pt idx="6">
                  <c:v>0.221</c:v>
                </c:pt>
                <c:pt idx="7">
                  <c:v>0.23400000000000001</c:v>
                </c:pt>
                <c:pt idx="8">
                  <c:v>0.252</c:v>
                </c:pt>
                <c:pt idx="9">
                  <c:v>0.253</c:v>
                </c:pt>
              </c:numCache>
            </c:numRef>
          </c:yVal>
          <c:smooth val="0"/>
          <c:extLst>
            <c:ext xmlns:c16="http://schemas.microsoft.com/office/drawing/2014/chart" uri="{C3380CC4-5D6E-409C-BE32-E72D297353CC}">
              <c16:uniqueId val="{00000001-DB72-400C-8C9E-7D2197AB910E}"/>
            </c:ext>
          </c:extLst>
        </c:ser>
        <c:ser>
          <c:idx val="3"/>
          <c:order val="3"/>
          <c:tx>
            <c:strRef>
              <c:f>NCS!$G$14</c:f>
              <c:strCache>
                <c:ptCount val="1"/>
                <c:pt idx="0">
                  <c:v>Digestor feed N %</c:v>
                </c:pt>
              </c:strCache>
            </c:strRef>
          </c:tx>
          <c:spPr>
            <a:ln w="25400" cap="rnd">
              <a:solidFill>
                <a:schemeClr val="tx1"/>
              </a:solidFill>
              <a:round/>
            </a:ln>
            <a:effectLst/>
          </c:spPr>
          <c:marker>
            <c:symbol val="circle"/>
            <c:size val="7"/>
            <c:spPr>
              <a:solidFill>
                <a:schemeClr val="tx1"/>
              </a:solidFill>
              <a:ln w="9525">
                <a:solidFill>
                  <a:schemeClr val="tx1"/>
                </a:solidFill>
              </a:ln>
              <a:effectLst/>
            </c:spPr>
          </c:marker>
          <c:xVal>
            <c:numRef>
              <c:f>NCS!$E$16:$E$25</c:f>
              <c:numCache>
                <c:formatCode>m/d/yyyy</c:formatCode>
                <c:ptCount val="10"/>
                <c:pt idx="0">
                  <c:v>44004</c:v>
                </c:pt>
                <c:pt idx="1">
                  <c:v>44006</c:v>
                </c:pt>
                <c:pt idx="2">
                  <c:v>44008</c:v>
                </c:pt>
                <c:pt idx="3">
                  <c:v>44012</c:v>
                </c:pt>
                <c:pt idx="4">
                  <c:v>44014</c:v>
                </c:pt>
                <c:pt idx="5">
                  <c:v>44021</c:v>
                </c:pt>
                <c:pt idx="6">
                  <c:v>44035</c:v>
                </c:pt>
                <c:pt idx="7">
                  <c:v>44056</c:v>
                </c:pt>
                <c:pt idx="8">
                  <c:v>44070</c:v>
                </c:pt>
                <c:pt idx="9">
                  <c:v>44091</c:v>
                </c:pt>
              </c:numCache>
            </c:numRef>
          </c:xVal>
          <c:yVal>
            <c:numRef>
              <c:f>NCS!$G$15:$G$25</c:f>
              <c:numCache>
                <c:formatCode>0.00</c:formatCode>
                <c:ptCount val="11"/>
                <c:pt idx="0">
                  <c:v>2.4640000000000004</c:v>
                </c:pt>
                <c:pt idx="1">
                  <c:v>2.4500000000000002</c:v>
                </c:pt>
                <c:pt idx="2">
                  <c:v>2.15</c:v>
                </c:pt>
                <c:pt idx="3">
                  <c:v>2.0299999999999998</c:v>
                </c:pt>
                <c:pt idx="4">
                  <c:v>2.21</c:v>
                </c:pt>
                <c:pt idx="5">
                  <c:v>2.27</c:v>
                </c:pt>
                <c:pt idx="6">
                  <c:v>1.73</c:v>
                </c:pt>
                <c:pt idx="7">
                  <c:v>2.21</c:v>
                </c:pt>
                <c:pt idx="8">
                  <c:v>2.5099999999999998</c:v>
                </c:pt>
                <c:pt idx="9">
                  <c:v>3.14</c:v>
                </c:pt>
                <c:pt idx="10">
                  <c:v>3.28</c:v>
                </c:pt>
              </c:numCache>
            </c:numRef>
          </c:yVal>
          <c:smooth val="0"/>
          <c:extLst>
            <c:ext xmlns:c16="http://schemas.microsoft.com/office/drawing/2014/chart" uri="{C3380CC4-5D6E-409C-BE32-E72D297353CC}">
              <c16:uniqueId val="{00000002-DB72-400C-8C9E-7D2197AB910E}"/>
            </c:ext>
          </c:extLst>
        </c:ser>
        <c:ser>
          <c:idx val="5"/>
          <c:order val="5"/>
          <c:tx>
            <c:strRef>
              <c:f>NCS!$I$14</c:f>
              <c:strCache>
                <c:ptCount val="1"/>
                <c:pt idx="0">
                  <c:v>Digestor feed  S %</c:v>
                </c:pt>
              </c:strCache>
            </c:strRef>
          </c:tx>
          <c:spPr>
            <a:ln w="25400" cap="rnd">
              <a:solidFill>
                <a:schemeClr val="tx1"/>
              </a:solidFill>
              <a:prstDash val="solid"/>
              <a:round/>
            </a:ln>
            <a:effectLst/>
          </c:spPr>
          <c:marker>
            <c:symbol val="square"/>
            <c:size val="7"/>
            <c:spPr>
              <a:solidFill>
                <a:schemeClr val="tx1"/>
              </a:solidFill>
              <a:ln w="9525">
                <a:solidFill>
                  <a:schemeClr val="tx1"/>
                </a:solidFill>
              </a:ln>
              <a:effectLst/>
            </c:spPr>
          </c:marker>
          <c:xVal>
            <c:numRef>
              <c:f>NCS!$E$16:$E$25</c:f>
              <c:numCache>
                <c:formatCode>m/d/yyyy</c:formatCode>
                <c:ptCount val="10"/>
                <c:pt idx="0">
                  <c:v>44004</c:v>
                </c:pt>
                <c:pt idx="1">
                  <c:v>44006</c:v>
                </c:pt>
                <c:pt idx="2">
                  <c:v>44008</c:v>
                </c:pt>
                <c:pt idx="3">
                  <c:v>44012</c:v>
                </c:pt>
                <c:pt idx="4">
                  <c:v>44014</c:v>
                </c:pt>
                <c:pt idx="5">
                  <c:v>44021</c:v>
                </c:pt>
                <c:pt idx="6">
                  <c:v>44035</c:v>
                </c:pt>
                <c:pt idx="7">
                  <c:v>44056</c:v>
                </c:pt>
                <c:pt idx="8">
                  <c:v>44070</c:v>
                </c:pt>
                <c:pt idx="9">
                  <c:v>44091</c:v>
                </c:pt>
              </c:numCache>
            </c:numRef>
          </c:xVal>
          <c:yVal>
            <c:numRef>
              <c:f>NCS!$I$15:$I$25</c:f>
              <c:numCache>
                <c:formatCode>0.00</c:formatCode>
                <c:ptCount val="11"/>
                <c:pt idx="0">
                  <c:v>0.31589999999999996</c:v>
                </c:pt>
                <c:pt idx="1">
                  <c:v>0.20599999999999999</c:v>
                </c:pt>
                <c:pt idx="2">
                  <c:v>0.184</c:v>
                </c:pt>
                <c:pt idx="3">
                  <c:v>0.16900000000000001</c:v>
                </c:pt>
                <c:pt idx="4">
                  <c:v>0.16</c:v>
                </c:pt>
                <c:pt idx="5">
                  <c:v>0.17599999999999999</c:v>
                </c:pt>
                <c:pt idx="6">
                  <c:v>0.15</c:v>
                </c:pt>
                <c:pt idx="7">
                  <c:v>0.161</c:v>
                </c:pt>
                <c:pt idx="8">
                  <c:v>0.17399999999999999</c:v>
                </c:pt>
                <c:pt idx="9">
                  <c:v>0.21199999999999999</c:v>
                </c:pt>
                <c:pt idx="10">
                  <c:v>0.224</c:v>
                </c:pt>
              </c:numCache>
            </c:numRef>
          </c:yVal>
          <c:smooth val="0"/>
          <c:extLst>
            <c:ext xmlns:c16="http://schemas.microsoft.com/office/drawing/2014/chart" uri="{C3380CC4-5D6E-409C-BE32-E72D297353CC}">
              <c16:uniqueId val="{00000003-DB72-400C-8C9E-7D2197AB910E}"/>
            </c:ext>
          </c:extLst>
        </c:ser>
        <c:dLbls>
          <c:showLegendKey val="0"/>
          <c:showVal val="0"/>
          <c:showCatName val="0"/>
          <c:showSerName val="0"/>
          <c:showPercent val="0"/>
          <c:showBubbleSize val="0"/>
        </c:dLbls>
        <c:axId val="1577424368"/>
        <c:axId val="1577425200"/>
      </c:scatterChart>
      <c:scatterChart>
        <c:scatterStyle val="lineMarker"/>
        <c:varyColors val="0"/>
        <c:ser>
          <c:idx val="1"/>
          <c:order val="1"/>
          <c:tx>
            <c:strRef>
              <c:f>NCS!$H$3</c:f>
              <c:strCache>
                <c:ptCount val="1"/>
                <c:pt idx="0">
                  <c:v>Hydropulper C %</c:v>
                </c:pt>
              </c:strCache>
            </c:strRef>
          </c:tx>
          <c:spPr>
            <a:ln w="25400" cap="rnd">
              <a:solidFill>
                <a:schemeClr val="tx1"/>
              </a:solidFill>
              <a:prstDash val="solid"/>
              <a:round/>
            </a:ln>
            <a:effectLst/>
          </c:spPr>
          <c:marker>
            <c:symbol val="triangle"/>
            <c:size val="7"/>
            <c:spPr>
              <a:noFill/>
              <a:ln w="9525">
                <a:solidFill>
                  <a:schemeClr val="tx1"/>
                </a:solidFill>
              </a:ln>
              <a:effectLst/>
            </c:spPr>
          </c:marker>
          <c:xVal>
            <c:numRef>
              <c:f>NCS!$E$4:$E$13</c:f>
              <c:numCache>
                <c:formatCode>m/d/yyyy</c:formatCode>
                <c:ptCount val="10"/>
                <c:pt idx="0">
                  <c:v>44004</c:v>
                </c:pt>
                <c:pt idx="1">
                  <c:v>44006</c:v>
                </c:pt>
                <c:pt idx="2">
                  <c:v>44008</c:v>
                </c:pt>
                <c:pt idx="3">
                  <c:v>44012</c:v>
                </c:pt>
                <c:pt idx="4">
                  <c:v>44014</c:v>
                </c:pt>
                <c:pt idx="5">
                  <c:v>44021</c:v>
                </c:pt>
                <c:pt idx="6">
                  <c:v>44035</c:v>
                </c:pt>
                <c:pt idx="7">
                  <c:v>44056</c:v>
                </c:pt>
                <c:pt idx="8">
                  <c:v>44070</c:v>
                </c:pt>
                <c:pt idx="9">
                  <c:v>44091</c:v>
                </c:pt>
              </c:numCache>
            </c:numRef>
          </c:xVal>
          <c:yVal>
            <c:numRef>
              <c:f>NCS!$H$4:$H$13</c:f>
              <c:numCache>
                <c:formatCode>0.00</c:formatCode>
                <c:ptCount val="10"/>
                <c:pt idx="0">
                  <c:v>43.61</c:v>
                </c:pt>
                <c:pt idx="1">
                  <c:v>41.73</c:v>
                </c:pt>
                <c:pt idx="2">
                  <c:v>41.02</c:v>
                </c:pt>
                <c:pt idx="3">
                  <c:v>42.85</c:v>
                </c:pt>
                <c:pt idx="4">
                  <c:v>42.16</c:v>
                </c:pt>
                <c:pt idx="5">
                  <c:v>42.45</c:v>
                </c:pt>
                <c:pt idx="6">
                  <c:v>43.22</c:v>
                </c:pt>
                <c:pt idx="7">
                  <c:v>41.36</c:v>
                </c:pt>
                <c:pt idx="8">
                  <c:v>43.8</c:v>
                </c:pt>
                <c:pt idx="9">
                  <c:v>42.51</c:v>
                </c:pt>
              </c:numCache>
            </c:numRef>
          </c:yVal>
          <c:smooth val="0"/>
          <c:extLst>
            <c:ext xmlns:c16="http://schemas.microsoft.com/office/drawing/2014/chart" uri="{C3380CC4-5D6E-409C-BE32-E72D297353CC}">
              <c16:uniqueId val="{00000004-DB72-400C-8C9E-7D2197AB910E}"/>
            </c:ext>
          </c:extLst>
        </c:ser>
        <c:ser>
          <c:idx val="4"/>
          <c:order val="4"/>
          <c:tx>
            <c:strRef>
              <c:f>NCS!$H$14</c:f>
              <c:strCache>
                <c:ptCount val="1"/>
                <c:pt idx="0">
                  <c:v>Digestor feed  C %</c:v>
                </c:pt>
              </c:strCache>
            </c:strRef>
          </c:tx>
          <c:spPr>
            <a:ln w="25400" cap="rnd" cmpd="sng">
              <a:solidFill>
                <a:schemeClr val="tx1"/>
              </a:solidFill>
              <a:round/>
            </a:ln>
            <a:effectLst/>
          </c:spPr>
          <c:marker>
            <c:symbol val="triangle"/>
            <c:size val="7"/>
            <c:spPr>
              <a:solidFill>
                <a:schemeClr val="tx1"/>
              </a:solidFill>
              <a:ln w="9525">
                <a:solidFill>
                  <a:schemeClr val="tx1"/>
                </a:solidFill>
              </a:ln>
              <a:effectLst/>
            </c:spPr>
          </c:marker>
          <c:xVal>
            <c:numRef>
              <c:f>NCS!$E$16:$E$25</c:f>
              <c:numCache>
                <c:formatCode>m/d/yyyy</c:formatCode>
                <c:ptCount val="10"/>
                <c:pt idx="0">
                  <c:v>44004</c:v>
                </c:pt>
                <c:pt idx="1">
                  <c:v>44006</c:v>
                </c:pt>
                <c:pt idx="2">
                  <c:v>44008</c:v>
                </c:pt>
                <c:pt idx="3">
                  <c:v>44012</c:v>
                </c:pt>
                <c:pt idx="4">
                  <c:v>44014</c:v>
                </c:pt>
                <c:pt idx="5">
                  <c:v>44021</c:v>
                </c:pt>
                <c:pt idx="6">
                  <c:v>44035</c:v>
                </c:pt>
                <c:pt idx="7">
                  <c:v>44056</c:v>
                </c:pt>
                <c:pt idx="8">
                  <c:v>44070</c:v>
                </c:pt>
                <c:pt idx="9">
                  <c:v>44091</c:v>
                </c:pt>
              </c:numCache>
            </c:numRef>
          </c:xVal>
          <c:yVal>
            <c:numRef>
              <c:f>NCS!$H$15:$H$25</c:f>
              <c:numCache>
                <c:formatCode>0.00</c:formatCode>
                <c:ptCount val="11"/>
                <c:pt idx="0">
                  <c:v>42.470999999999997</c:v>
                </c:pt>
                <c:pt idx="1">
                  <c:v>49.37</c:v>
                </c:pt>
                <c:pt idx="2">
                  <c:v>42.39</c:v>
                </c:pt>
                <c:pt idx="3">
                  <c:v>44.56</c:v>
                </c:pt>
                <c:pt idx="4">
                  <c:v>43.7</c:v>
                </c:pt>
                <c:pt idx="5">
                  <c:v>40.22</c:v>
                </c:pt>
                <c:pt idx="6">
                  <c:v>40.950000000000003</c:v>
                </c:pt>
                <c:pt idx="7">
                  <c:v>42.85</c:v>
                </c:pt>
                <c:pt idx="8">
                  <c:v>45.04</c:v>
                </c:pt>
                <c:pt idx="9">
                  <c:v>42.93</c:v>
                </c:pt>
                <c:pt idx="10">
                  <c:v>41.75</c:v>
                </c:pt>
              </c:numCache>
            </c:numRef>
          </c:yVal>
          <c:smooth val="0"/>
          <c:extLst>
            <c:ext xmlns:c16="http://schemas.microsoft.com/office/drawing/2014/chart" uri="{C3380CC4-5D6E-409C-BE32-E72D297353CC}">
              <c16:uniqueId val="{00000005-DB72-400C-8C9E-7D2197AB910E}"/>
            </c:ext>
          </c:extLst>
        </c:ser>
        <c:dLbls>
          <c:showLegendKey val="0"/>
          <c:showVal val="0"/>
          <c:showCatName val="0"/>
          <c:showSerName val="0"/>
          <c:showPercent val="0"/>
          <c:showBubbleSize val="0"/>
        </c:dLbls>
        <c:axId val="166036992"/>
        <c:axId val="166036576"/>
      </c:scatterChart>
      <c:valAx>
        <c:axId val="1577424368"/>
        <c:scaling>
          <c:orientation val="minMax"/>
          <c:max val="44095"/>
          <c:min val="44000"/>
        </c:scaling>
        <c:delete val="0"/>
        <c:axPos val="b"/>
        <c:numFmt formatCode="[$-409]d\-mmm;@"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77425200"/>
        <c:crosses val="autoZero"/>
        <c:crossBetween val="midCat"/>
        <c:majorUnit val="15"/>
      </c:valAx>
      <c:valAx>
        <c:axId val="1577425200"/>
        <c:scaling>
          <c:orientation val="minMax"/>
          <c:max val="4"/>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AU"/>
                  <a:t>N% &amp; 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77424368"/>
        <c:crosses val="autoZero"/>
        <c:crossBetween val="midCat"/>
        <c:majorUnit val="1"/>
      </c:valAx>
      <c:valAx>
        <c:axId val="166036576"/>
        <c:scaling>
          <c:orientation val="minMax"/>
          <c:max val="50"/>
          <c:min val="40"/>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AU"/>
                  <a:t>C%</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66036992"/>
        <c:crosses val="max"/>
        <c:crossBetween val="midCat"/>
        <c:majorUnit val="2"/>
        <c:minorUnit val="0.5"/>
      </c:valAx>
      <c:valAx>
        <c:axId val="166036992"/>
        <c:scaling>
          <c:orientation val="minMax"/>
        </c:scaling>
        <c:delete val="1"/>
        <c:axPos val="b"/>
        <c:numFmt formatCode="m/d/yyyy" sourceLinked="1"/>
        <c:majorTickMark val="out"/>
        <c:minorTickMark val="none"/>
        <c:tickLblPos val="nextTo"/>
        <c:crossAx val="166036576"/>
        <c:crosses val="autoZero"/>
        <c:crossBetween val="midCat"/>
        <c:majorUnit val="1"/>
        <c:minorUnit val="1"/>
      </c:valAx>
      <c:spPr>
        <a:noFill/>
        <a:ln>
          <a:noFill/>
        </a:ln>
        <a:effectLst/>
      </c:spPr>
    </c:plotArea>
    <c:legend>
      <c:legendPos val="b"/>
      <c:overlay val="0"/>
      <c:spPr>
        <a:noFill/>
        <a:ln>
          <a:solidFill>
            <a:schemeClr val="tx1"/>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D4F606A-0BD2-4FE6-9DA9-4D4F75909347}">
  <we:reference id="wa104382081" version="1.35.0.0" store="en-US" storeType="OMEX"/>
  <we:alternateReferences>
    <we:reference id="WA104382081" version="1.35.0.0" store="en-US" storeType="OMEX"/>
  </we:alternateReferences>
  <we:properties>
    <we:property name="MENDELEY_CITATIONS" value="[{&quot;citationID&quot;:&quot;MENDELEY_CITATION_1341a03e-3972-4bab-81a9-0d733d740bad&quot;,&quot;citationItems&quot;:[{&quot;id&quot;:&quot;6c559011-4806-30d1-9063-85e15fb23000&quot;,&quot;itemData&quot;:{&quot;type&quot;:&quot;article-journal&quot;,&quot;id&quot;:&quot;6c559011-4806-30d1-9063-85e15fb23000&quot;,&quot;title&quot;:&quot;THE GROWTH OF BACTERIAL CULTURES&quot;,&quot;author&quot;:[{&quot;family&quot;:&quot;Monod&quot;,&quot;given&quot;:&quot;Jacques&quot;,&quot;parse-names&quot;:false,&quot;dropping-particle&quot;:&quot;&quot;,&quot;non-dropping-particle&quot;:&quot;&quot;}],&quot;container-title&quot;:&quot;https://doi.org/10.1146/annurev.mi.03.100149.002103&quot;,&quot;accessed&quot;:{&quot;date-parts&quot;:[[2021,9,10]]},&quot;DOI&quot;:&quot;10.1146/ANNUREV.MI.03.100149.002103&quot;,&quot;URL&quot;:&quot;https://www.annualreviews.org/doi/abs/10.1146/annurev.mi.03.100149.002103&quot;,&quot;issued&quot;:{&quot;date-parts&quot;:[[2003,11,28]]},&quot;page&quot;:&quot;371-394&quot;,&quot;abstract&quot;:&quot;The study of the growth of bacterial cultures does not constitute a specialized subject or branch of research: it is the basic method of Microbiology. It would be a foolish enterprise, and doomed to failure, to attempt reviewing briefly a \&quot;subject\&quot; which covers actually our whole discipline. Unless, of course, we considered the formal laws of growth for their own sake, an approach which has repeatedly proved sterile. In the present review we shall consider bacterial growth as a method for the study of bacterial physiology and biochemistry. More precisely, we shall concern ourselves with the quantitative aspects of the method, with the interpretation of quantitative data referring to bacterial growth. Furthermore, we shall consider z exclusively the positive phases of growth, since the study of bacterial \&quot;death,\&quot; i.e., of the negative phases of growth, involves distinct problems and methods. The discussion will be limited to populations considered genetically homogeneous. The problems of mutation and selection in growing cultures have been excellently dealt with in recent review articles by Delbriick (1) and Luria (2). No attempt is made at reviewing the literature on a subject which, as we have just seen, is not really a subject at all. The papers and results quoted have been selected as illustrations of the points discussed.&quot;,&quot;publisher&quot;:&quot; Annual Reviews  4139 El Camino Way, P.O. Box 10139, Palo Alto, CA 94303-0139, USA  &quot;,&quot;issue&quot;:&quot;1&quot;,&quot;volume&quot;:&quot;3&quot;},&quot;isTemporary&quot;:false}],&quot;properties&quot;:{&quot;noteIndex&quot;:0},&quot;isEdited&quot;:false,&quot;manualOverride&quot;:{&quot;isManuallyOverridden&quot;:false,&quot;citeprocText&quot;:&quot;(Monod, 2003)&quot;,&quot;manualOverrideText&quot;:&quot;&quot;},&quot;citationTag&quot;:&quot;MENDELEY_CITATION_v3_eyJjaXRhdGlvbklEIjoiTUVOREVMRVlfQ0lUQVRJT05fMTM0MWEwM2UtMzk3Mi00YmFiLTgxYTktMGQ3MzNkNzQwYmFkIiwiY2l0YXRpb25JdGVtcyI6W3siaWQiOiI2YzU1OTAxMS00ODA2LTMwZDEtOTA2My04NWUxNWZiMjMwMDAiLCJpdGVtRGF0YSI6eyJ0eXBlIjoiYXJ0aWNsZS1qb3VybmFsIiwiaWQiOiI2YzU1OTAxMS00ODA2LTMwZDEtOTA2My04NWUxNWZiMjMwMDAiLCJ0aXRsZSI6IlRIRSBHUk9XVEggT0YgQkFDVEVSSUFMIENVTFRVUkVTIiwiYXV0aG9yIjpbeyJmYW1pbHkiOiJNb25vZCIsImdpdmVuIjoiSmFjcXVlcyIsInBhcnNlLW5hbWVzIjpmYWxzZSwiZHJvcHBpbmctcGFydGljbGUiOiIiLCJub24tZHJvcHBpbmctcGFydGljbGUiOiIifV0sImNvbnRhaW5lci10aXRsZSI6Imh0dHBzOi8vZG9pLm9yZy8xMC4xMTQ2L2FubnVyZXYubWkuMDMuMTAwMTQ5LjAwMjEwMyIsImFjY2Vzc2VkIjp7ImRhdGUtcGFydHMiOltbMjAyMSw5LDEwXV19LCJET0kiOiIxMC4xMTQ2L0FOTlVSRVYuTUkuMDMuMTAwMTQ5LjAwMjEwMyIsIlVSTCI6Imh0dHBzOi8vd3d3LmFubnVhbHJldmlld3Mub3JnL2RvaS9hYnMvMTAuMTE0Ni9hbm51cmV2Lm1pLjAzLjEwMDE0OS4wMDIxMDMiLCJpc3N1ZWQiOnsiZGF0ZS1wYXJ0cyI6W1syMDAzLDExLDI4XV19LCJwYWdlIjoiMzcxLTM5NCIsImFic3RyYWN0IjoiVGhlIHN0dWR5IG9mIHRoZSBncm93dGggb2YgYmFjdGVyaWFsIGN1bHR1cmVzIGRvZXMgbm90IGNvbnN0aXR1dGUgYSBzcGVjaWFsaXplZCBzdWJqZWN0IG9yIGJyYW5jaCBvZiByZXNlYXJjaDogaXQgaXMgdGhlIGJhc2ljIG1ldGhvZCBvZiBNaWNyb2Jpb2xvZ3kuIEl0IHdvdWxkIGJlIGEgZm9vbGlzaCBlbnRlcnByaXNlLCBhbmQgZG9vbWVkIHRvIGZhaWx1cmUsIHRvIGF0dGVtcHQgcmV2aWV3aW5nIGJyaWVmbHkgYSBcInN1YmplY3RcIiB3aGljaCBjb3ZlcnMgYWN0dWFsbHkgb3VyIHdob2xlIGRpc2NpcGxpbmUuIFVubGVzcywgb2YgY291cnNlLCB3ZSBjb25zaWRlcmVkIHRoZSBmb3JtYWwgbGF3cyBvZiBncm93dGggZm9yIHRoZWlyIG93biBzYWtlLCBhbiBhcHByb2FjaCB3aGljaCBoYXMgcmVwZWF0ZWRseSBwcm92ZWQgc3RlcmlsZS4gSW4gdGhlIHByZXNlbnQgcmV2aWV3IHdlIHNoYWxsIGNvbnNpZGVyIGJhY3RlcmlhbCBncm93dGggYXMgYSBtZXRob2QgZm9yIHRoZSBzdHVkeSBvZiBiYWN0ZXJpYWwgcGh5c2lvbG9neSBhbmQgYmlvY2hlbWlzdHJ5LiBNb3JlIHByZWNpc2VseSwgd2Ugc2hhbGwgY29uY2VybiBvdXJzZWx2ZXMgd2l0aCB0aGUgcXVhbnRpdGF0aXZlIGFzcGVjdHMgb2YgdGhlIG1ldGhvZCwgd2l0aCB0aGUgaW50ZXJwcmV0YXRpb24gb2YgcXVhbnRpdGF0aXZlIGRhdGEgcmVmZXJyaW5nIHRvIGJhY3RlcmlhbCBncm93dGguIEZ1cnRoZXJtb3JlLCB3ZSBzaGFsbCBjb25zaWRlciB6IGV4Y2x1c2l2ZWx5IHRoZSBwb3NpdGl2ZSBwaGFzZXMgb2YgZ3Jvd3RoLCBzaW5jZSB0aGUgc3R1ZHkgb2YgYmFjdGVyaWFsIFwiZGVhdGgsXCIgaS5lLiwgb2YgdGhlIG5lZ2F0aXZlIHBoYXNlcyBvZiBncm93dGgsIGludm9sdmVzIGRpc3RpbmN0IHByb2JsZW1zIGFuZCBtZXRob2RzLiBUaGUgZGlzY3Vzc2lvbiB3aWxsIGJlIGxpbWl0ZWQgdG8gcG9wdWxhdGlvbnMgY29uc2lkZXJlZCBnZW5ldGljYWxseSBob21vZ2VuZW91cy4gVGhlIHByb2JsZW1zIG9mIG11dGF0aW9uIGFuZCBzZWxlY3Rpb24gaW4gZ3Jvd2luZyBjdWx0dXJlcyBoYXZlIGJlZW4gZXhjZWxsZW50bHkgZGVhbHQgd2l0aCBpbiByZWNlbnQgcmV2aWV3IGFydGljbGVzIGJ5IERlbGJyaWljayAoMSkgYW5kIEx1cmlhICgyKS4gTm8gYXR0ZW1wdCBpcyBtYWRlIGF0IHJldmlld2luZyB0aGUgbGl0ZXJhdHVyZSBvbiBhIHN1YmplY3Qgd2hpY2gsIGFzIHdlIGhhdmUganVzdCBzZWVuLCBpcyBub3QgcmVhbGx5IGEgc3ViamVjdCBhdCBhbGwuIFRoZSBwYXBlcnMgYW5kIHJlc3VsdHMgcXVvdGVkIGhhdmUgYmVlbiBzZWxlY3RlZCBhcyBpbGx1c3RyYXRpb25zIG9mIHRoZSBwb2ludHMgZGlzY3Vzc2VkLiIsInB1Ymxpc2hlciI6IiBBbm51YWwgUmV2aWV3cyAgNDEzOSBFbCBDYW1pbm8gV2F5LCBQLk8uIEJveCAxMDEzOSwgUGFsbyBBbHRvLCBDQSA5NDMwMy0wMTM5LCBVU0EgICIsImlzc3VlIjoiMSIsInZvbHVtZSI6IjMifSwiaXNUZW1wb3JhcnkiOmZhbHNlfV0sInByb3BlcnRpZXMiOnsibm90ZUluZGV4IjowfSwiaXNFZGl0ZWQiOmZhbHNlLCJtYW51YWxPdmVycmlkZSI6eyJpc01hbnVhbGx5T3ZlcnJpZGRlbiI6ZmFsc2UsImNpdGVwcm9jVGV4dCI6IihNb25vZCwgMjAwMykiLCJtYW51YWxPdmVycmlkZVRleHQiOiIifX0=&quot;},{&quot;citationID&quot;:&quot;MENDELEY_CITATION_04a45aaa-e435-43b3-89de-7b9241ebfeca&quot;,&quot;citationItems&quot;:[{&quot;id&quot;:&quot;4a495872-b1e4-36f6-9ceb-92e2dc70b383&quot;,&quot;itemData&quot;:{&quot;type&quot;:&quot;article-journal&quot;,&quot;id&quot;:&quot;4a495872-b1e4-36f6-9ceb-92e2dc70b383&quot;,&quot;title&quot;:&quot;How Cells Grow&quot;,&quot;author&quot;:[{&quot;family&quot;:&quot;Liu&quot;,&quot;given&quot;:&quot;Shijie&quot;,&quot;parse-names&quot;:false,&quot;dropping-particle&quot;:&quot;&quot;,&quot;non-dropping-particle&quot;:&quot;&quot;}],&quot;container-title&quot;:&quot;Bioprocess Engineering&quot;,&quot;accessed&quot;:{&quot;date-parts&quot;:[[2021,9,10]]},&quot;DOI&quot;:&quot;10.1016/B978-0-444-63783-3.00011-3&quot;,&quot;ISBN&quot;:&quot;978-0-444-63783-3&quot;,&quot;issued&quot;:{&quot;date-parts&quot;:[[2017,1,1]]},&quot;page&quot;:&quot;629-697&quot;,&quot;abstract&quot;:&quot;A volume in the Routledge Studies in Critical Realism (Margaret Archer, Roy Bhaskar, Andrew Collier, Tony Lawson, &amp; Alan Norrie, series editors) provides contributions centered on structure &amp; agency, the linguistic turn in philosophy, politics &amp; policy, &amp; political economy &amp; globalization written from the critical realist perspective. Adapted from source document.&quot;,&quot;publisher&quot;:&quot;Elsevier&quot;},&quot;isTemporary&quot;:false}],&quot;properties&quot;:{&quot;noteIndex&quot;:0},&quot;isEdited&quot;:false,&quot;manualOverride&quot;:{&quot;isManuallyOverridden&quot;:false,&quot;citeprocText&quot;:&quot;(Liu, 2017)&quot;,&quot;manualOverrideText&quot;:&quot;&quot;},&quot;citationTag&quot;:&quot;MENDELEY_CITATION_v3_eyJjaXRhdGlvbklEIjoiTUVOREVMRVlfQ0lUQVRJT05fMDRhNDVhYWEtZTQzNS00M2IzLTg5ZGUtN2I5MjQxZWJmZWNhIiwiY2l0YXRpb25JdGVtcyI6W3siaWQiOiI0YTQ5NTg3Mi1iMWU0LTM2ZjYtOWNlYi05MmUyZGM3MGIzODMiLCJpdGVtRGF0YSI6eyJ0eXBlIjoiYXJ0aWNsZS1qb3VybmFsIiwiaWQiOiI0YTQ5NTg3Mi1iMWU0LTM2ZjYtOWNlYi05MmUyZGM3MGIzODMiLCJ0aXRsZSI6IkhvdyBDZWxscyBHcm93IiwiYXV0aG9yIjpbeyJmYW1pbHkiOiJMaXUiLCJnaXZlbiI6IlNoaWppZSIsInBhcnNlLW5hbWVzIjpmYWxzZSwiZHJvcHBpbmctcGFydGljbGUiOiIiLCJub24tZHJvcHBpbmctcGFydGljbGUiOiIifV0sImNvbnRhaW5lci10aXRsZSI6IkJpb3Byb2Nlc3MgRW5naW5lZXJpbmciLCJhY2Nlc3NlZCI6eyJkYXRlLXBhcnRzIjpbWzIwMjEsOSwxMF1dfSwiRE9JIjoiMTAuMTAxNi9COTc4LTAtNDQ0LTYzNzgzLTMuMDAwMTEtMyIsIklTQk4iOiI5NzgtMC00NDQtNjM3ODMtMyIsImlzc3VlZCI6eyJkYXRlLXBhcnRzIjpbWzIwMTcsMSwxXV19LCJwYWdlIjoiNjI5LTY5NyIsImFic3RyYWN0IjoiQSB2b2x1bWUgaW4gdGhlIFJvdXRsZWRnZSBTdHVkaWVzIGluIENyaXRpY2FsIFJlYWxpc20gKE1hcmdhcmV0IEFyY2hlciwgUm95IEJoYXNrYXIsIEFuZHJldyBDb2xsaWVyLCBUb255IExhd3NvbiwgJiBBbGFuIE5vcnJpZSwgc2VyaWVzIGVkaXRvcnMpIHByb3ZpZGVzIGNvbnRyaWJ1dGlvbnMgY2VudGVyZWQgb24gc3RydWN0dXJlICYgYWdlbmN5LCB0aGUgbGluZ3Vpc3RpYyB0dXJuIGluIHBoaWxvc29waHksIHBvbGl0aWNzICYgcG9saWN5LCAmIHBvbGl0aWNhbCBlY29ub215ICYgZ2xvYmFsaXphdGlvbiB3cml0dGVuIGZyb20gdGhlIGNyaXRpY2FsIHJlYWxpc3QgcGVyc3BlY3RpdmUuIEFkYXB0ZWQgZnJvbSBzb3VyY2UgZG9jdW1lbnQuIiwicHVibGlzaGVyIjoiRWxzZXZpZXIifSwiaXNUZW1wb3JhcnkiOmZhbHNlfV0sInByb3BlcnRpZXMiOnsibm90ZUluZGV4IjowfSwiaXNFZGl0ZWQiOmZhbHNlLCJtYW51YWxPdmVycmlkZSI6eyJpc01hbnVhbGx5T3ZlcnJpZGRlbiI6ZmFsc2UsImNpdGVwcm9jVGV4dCI6IihMaXUsIDIwMTcpIiwibWFudWFsT3ZlcnJpZGVUZXh0IjoiIn19&quot;},{&quot;citationID&quot;:&quot;MENDELEY_CITATION_891dc771-cb03-4952-adb0-6af6d1cfbd3b&quot;,&quot;citationItems&quot;:[{&quot;id&quot;:&quot;4a495872-b1e4-36f6-9ceb-92e2dc70b383&quot;,&quot;itemData&quot;:{&quot;type&quot;:&quot;article-journal&quot;,&quot;id&quot;:&quot;4a495872-b1e4-36f6-9ceb-92e2dc70b383&quot;,&quot;title&quot;:&quot;How Cells Grow&quot;,&quot;author&quot;:[{&quot;family&quot;:&quot;Liu&quot;,&quot;given&quot;:&quot;Shijie&quot;,&quot;parse-names&quot;:false,&quot;dropping-particle&quot;:&quot;&quot;,&quot;non-dropping-particle&quot;:&quot;&quot;}],&quot;container-title&quot;:&quot;Bioprocess Engineering&quot;,&quot;accessed&quot;:{&quot;date-parts&quot;:[[2021,9,10]]},&quot;DOI&quot;:&quot;10.1016/B978-0-444-63783-3.00011-3&quot;,&quot;ISBN&quot;:&quot;978-0-444-63783-3&quot;,&quot;issued&quot;:{&quot;date-parts&quot;:[[2017,1,1]]},&quot;page&quot;:&quot;629-697&quot;,&quot;abstract&quot;:&quot;A volume in the Routledge Studies in Critical Realism (Margaret Archer, Roy Bhaskar, Andrew Collier, Tony Lawson, &amp; Alan Norrie, series editors) provides contributions centered on structure &amp; agency, the linguistic turn in philosophy, politics &amp; policy, &amp; political economy &amp; globalization written from the critical realist perspective. Adapted from source document.&quot;,&quot;publisher&quot;:&quot;Elsevier&quot;},&quot;isTemporary&quot;:false}],&quot;properties&quot;:{&quot;noteIndex&quot;:0},&quot;isEdited&quot;:false,&quot;manualOverride&quot;:{&quot;isManuallyOverridden&quot;:false,&quot;citeprocText&quot;:&quot;(Liu, 2017)&quot;,&quot;manualOverrideText&quot;:&quot;&quot;},&quot;citationTag&quot;:&quot;MENDELEY_CITATION_v3_eyJjaXRhdGlvbklEIjoiTUVOREVMRVlfQ0lUQVRJT05fODkxZGM3NzEtY2IwMy00OTUyLWFkYjAtNmFmNmQxY2ZiZDNiIiwiY2l0YXRpb25JdGVtcyI6W3siaWQiOiI0YTQ5NTg3Mi1iMWU0LTM2ZjYtOWNlYi05MmUyZGM3MGIzODMiLCJpdGVtRGF0YSI6eyJ0eXBlIjoiYXJ0aWNsZS1qb3VybmFsIiwiaWQiOiI0YTQ5NTg3Mi1iMWU0LTM2ZjYtOWNlYi05MmUyZGM3MGIzODMiLCJ0aXRsZSI6IkhvdyBDZWxscyBHcm93IiwiYXV0aG9yIjpbeyJmYW1pbHkiOiJMaXUiLCJnaXZlbiI6IlNoaWppZSIsInBhcnNlLW5hbWVzIjpmYWxzZSwiZHJvcHBpbmctcGFydGljbGUiOiIiLCJub24tZHJvcHBpbmctcGFydGljbGUiOiIifV0sImNvbnRhaW5lci10aXRsZSI6IkJpb3Byb2Nlc3MgRW5naW5lZXJpbmciLCJhY2Nlc3NlZCI6eyJkYXRlLXBhcnRzIjpbWzIwMjEsOSwxMF1dfSwiRE9JIjoiMTAuMTAxNi9COTc4LTAtNDQ0LTYzNzgzLTMuMDAwMTEtMyIsIklTQk4iOiI5NzgtMC00NDQtNjM3ODMtMyIsImlzc3VlZCI6eyJkYXRlLXBhcnRzIjpbWzIwMTcsMSwxXV19LCJwYWdlIjoiNjI5LTY5NyIsImFic3RyYWN0IjoiQSB2b2x1bWUgaW4gdGhlIFJvdXRsZWRnZSBTdHVkaWVzIGluIENyaXRpY2FsIFJlYWxpc20gKE1hcmdhcmV0IEFyY2hlciwgUm95IEJoYXNrYXIsIEFuZHJldyBDb2xsaWVyLCBUb255IExhd3NvbiwgJiBBbGFuIE5vcnJpZSwgc2VyaWVzIGVkaXRvcnMpIHByb3ZpZGVzIGNvbnRyaWJ1dGlvbnMgY2VudGVyZWQgb24gc3RydWN0dXJlICYgYWdlbmN5LCB0aGUgbGluZ3Vpc3RpYyB0dXJuIGluIHBoaWxvc29waHksIHBvbGl0aWNzICYgcG9saWN5LCAmIHBvbGl0aWNhbCBlY29ub215ICYgZ2xvYmFsaXphdGlvbiB3cml0dGVuIGZyb20gdGhlIGNyaXRpY2FsIHJlYWxpc3QgcGVyc3BlY3RpdmUuIEFkYXB0ZWQgZnJvbSBzb3VyY2UgZG9jdW1lbnQuIiwicHVibGlzaGVyIjoiRWxzZXZpZXIifSwiaXNUZW1wb3JhcnkiOmZhbHNlfV0sInByb3BlcnRpZXMiOnsibm90ZUluZGV4IjowfSwiaXNFZGl0ZWQiOmZhbHNlLCJtYW51YWxPdmVycmlkZSI6eyJpc01hbnVhbGx5T3ZlcnJpZGRlbiI6ZmFsc2UsImNpdGVwcm9jVGV4dCI6IihMaXUsIDIwMTcpIiwibWFudWFsT3ZlcnJpZGVUZXh0IjoiIn19&quot;},{&quot;citationID&quot;:&quot;MENDELEY_CITATION_eb4b6954-1757-4c79-9cd7-bcff19aaa9e8&quot;,&quot;citationItems&quot;:[{&quot;id&quot;:&quot;1031c96f-d081-33f2-9fd0-60264948c247&quot;,&quot;itemData&quot;:{&quot;type&quot;:&quot;article-journal&quot;,&quot;id&quot;:&quot;1031c96f-d081-33f2-9fd0-60264948c247&quot;,&quot;title&quot;:&quot;Sub-optimal pH Preadaptation Improves the Survival of Lactobacillus plantarum Strains and the Malic Acid Consumption in Wine-Like Medium&quot;,&quot;author&quot;:[{&quot;family&quot;:&quot;Succi&quot;,&quot;given&quot;:&quot;Mariantonietta&quot;,&quot;parse-names&quot;:false,&quot;dropping-particle&quot;:&quot;&quot;,&quot;non-dropping-particle&quot;:&quot;&quot;},{&quot;family&quot;:&quot;Pannella&quot;,&quot;given&quot;:&quot;Gianfranco&quot;,&quot;parse-names&quot;:false,&quot;dropping-particle&quot;:&quot;&quot;,&quot;non-dropping-particle&quot;:&quot;&quot;},{&quot;family&quot;:&quot;Tremonte&quot;,&quot;given&quot;:&quot;Patrizio&quot;,&quot;parse-names&quot;:false,&quot;dropping-particle&quot;:&quot;&quot;,&quot;non-dropping-particle&quot;:&quot;&quot;},{&quot;family&quot;:&quot;Tipaldi&quot;,&quot;given&quot;:&quot;Luca&quot;,&quot;parse-names&quot;:false,&quot;dropping-particle&quot;:&quot;&quot;,&quot;non-dropping-particle&quot;:&quot;&quot;},{&quot;family&quot;:&quot;Coppola&quot;,&quot;given&quot;:&quot;Raffaele&quot;,&quot;parse-names&quot;:false,&quot;dropping-particle&quot;:&quot;&quot;,&quot;non-dropping-particle&quot;:&quot;&quot;},{&quot;family&quot;:&quot;Iorizzo&quot;,&quot;given&quot;:&quot;Massimo&quot;,&quot;parse-names&quot;:false,&quot;dropping-particle&quot;:&quot;&quot;,&quot;non-dropping-particle&quot;:&quot;&quot;},{&quot;family&quot;:&quot;Lombardi&quot;,&quot;given&quot;:&quot;Silvia Jane&quot;,&quot;parse-names&quot;:false,&quot;dropping-particle&quot;:&quot;&quot;,&quot;non-dropping-particle&quot;:&quot;&quot;},{&quot;family&quot;:&quot;Sorrentino&quot;,&quot;given&quot;:&quot;Elena&quot;,&quot;parse-names&quot;:false,&quot;dropping-particle&quot;:&quot;&quot;,&quot;non-dropping-particle&quot;:&quot;&quot;}],&quot;container-title&quot;:&quot;Frontiers in Microbiology&quot;,&quot;accessed&quot;:{&quot;date-parts&quot;:[[2021,9,10]]},&quot;DOI&quot;:&quot;10.3389/FMICB.2017.00470&quot;,&quot;ISSN&quot;:&quot;1664-302X&quot;,&quot;issued&quot;:{&quot;date-parts&quot;:[[2017,3,22]]},&quot;page&quot;:&quot;470&quot;,&quot;abstract&quot;:&quot;Forty-two oenological strains of Lb. plantarum were assessed for their response to ethanol and pH values generally encountered in wines. Strains showed a higher variability in the survival when exposed to low pH (3.5 or 3.0) than when exposed to ethanol (10% or 14%). The study allowed to individuate the highest ethanol concentration (8%) and the lowest pH value (4.0) for the growth of strains, even if the maximum specific growth rate (µmax) resulted significantly reduced by these conditions. Two strains (GT1 and LT11) preadapted at 2% ethanol and cultured up to 14 % of ethanol showed a higher growth than those non-preadapted when they were cultivated at 8% of ethanol. The evaluation of the same strains preadapted at low pH values (5.0 and 4.0) and then grown at pH 3.5 or 3.0 showed only for GT1 a sensitive µmax increment when it was cultivated in MRS at pH 3 after a preadaptation at pH 5.0. The survival of GT1 and LT11 was evaluated in Ringer’s solution at 14% ethanol after a long-term adaptation in MRS with 2% ethanol or in MRS with 2% ethanol acidified at pH 5.0 (both conditions, BC). Analogously, the survival was evaluated at pH 3.5 after a long-term adaptation in MRS at pH 5.0 or in MRS BC. The impact of the physiologic state (exponential phase vs stationary phase) on the survival was also evaluated. Preadapted cells showed the same behaviour of non-preadapted cells only when cultures were recovered in the stationary phase. Mathematical functions were individuated for the description of the survival of GT1 and LT11 in MRS at 14% ethanol or at pH 3.5. Finally, a synthetic wine (SW) was used to assess the behaviour of Lb. plantarum GT1 and LT11 preadapted in MRS at 2% ethanol or at pH 5.0 or in BC. Only GT1 preadapted at pH 5.0 and collected in the stationary phase showed constant values of microbial counts after incubation for 15 days at 20 °C. In addition, after 15 days the L-malic acid resulted completely degraded and the pH value increased of about 0.3 units.&quot;,&quot;publisher&quot;:&quot;Frontiers&quot;,&quot;issue&quot;:&quot;MAR&quot;,&quot;volume&quot;:&quot;0&quot;},&quot;isTemporary&quot;:false}],&quot;properties&quot;:{&quot;noteIndex&quot;:0},&quot;isEdited&quot;:false,&quot;manualOverride&quot;:{&quot;isManuallyOverridden&quot;:false,&quot;citeprocText&quot;:&quot;(Succi et al., 2017)&quot;,&quot;manualOverrideText&quot;:&quot;&quot;},&quot;citationTag&quot;:&quot;MENDELEY_CITATION_v3_eyJjaXRhdGlvbklEIjoiTUVOREVMRVlfQ0lUQVRJT05fZWI0YjY5NTQtMTc1Ny00Yzc5LTljZDctYmNmZjE5YWFhOWU4IiwiY2l0YXRpb25JdGVtcyI6W3siaWQiOiIxMDMxYzk2Zi1kMDgxLTMzZjItOWZkMC02MDI2NDk0OGMyNDciLCJpdGVtRGF0YSI6eyJ0eXBlIjoiYXJ0aWNsZS1qb3VybmFsIiwiaWQiOiIxMDMxYzk2Zi1kMDgxLTMzZjItOWZkMC02MDI2NDk0OGMyNDciLCJ0aXRsZSI6IlN1Yi1vcHRpbWFsIHBIIFByZWFkYXB0YXRpb24gSW1wcm92ZXMgdGhlIFN1cnZpdmFsIG9mIExhY3RvYmFjaWxsdXMgcGxhbnRhcnVtIFN0cmFpbnMgYW5kIHRoZSBNYWxpYyBBY2lkIENvbnN1bXB0aW9uIGluIFdpbmUtTGlrZSBNZWRpdW0iLCJhdXRob3IiOlt7ImZhbWlseSI6IlN1Y2NpIiwiZ2l2ZW4iOiJNYXJpYW50b25pZXR0YSIsInBhcnNlLW5hbWVzIjpmYWxzZSwiZHJvcHBpbmctcGFydGljbGUiOiIiLCJub24tZHJvcHBpbmctcGFydGljbGUiOiIifSx7ImZhbWlseSI6IlBhbm5lbGxhIiwiZ2l2ZW4iOiJHaWFuZnJhbmNvIiwicGFyc2UtbmFtZXMiOmZhbHNlLCJkcm9wcGluZy1wYXJ0aWNsZSI6IiIsIm5vbi1kcm9wcGluZy1wYXJ0aWNsZSI6IiJ9LHsiZmFtaWx5IjoiVHJlbW9udGUiLCJnaXZlbiI6IlBhdHJpemlvIiwicGFyc2UtbmFtZXMiOmZhbHNlLCJkcm9wcGluZy1wYXJ0aWNsZSI6IiIsIm5vbi1kcm9wcGluZy1wYXJ0aWNsZSI6IiJ9LHsiZmFtaWx5IjoiVGlwYWxkaSIsImdpdmVuIjoiTHVjYSIsInBhcnNlLW5hbWVzIjpmYWxzZSwiZHJvcHBpbmctcGFydGljbGUiOiIiLCJub24tZHJvcHBpbmctcGFydGljbGUiOiIifSx7ImZhbWlseSI6IkNvcHBvbGEiLCJnaXZlbiI6IlJhZmZhZWxlIiwicGFyc2UtbmFtZXMiOmZhbHNlLCJkcm9wcGluZy1wYXJ0aWNsZSI6IiIsIm5vbi1kcm9wcGluZy1wYXJ0aWNsZSI6IiJ9LHsiZmFtaWx5IjoiSW9yaXp6byIsImdpdmVuIjoiTWFzc2ltbyIsInBhcnNlLW5hbWVzIjpmYWxzZSwiZHJvcHBpbmctcGFydGljbGUiOiIiLCJub24tZHJvcHBpbmctcGFydGljbGUiOiIifSx7ImZhbWlseSI6IkxvbWJhcmRpIiwiZ2l2ZW4iOiJTaWx2aWEgSmFuZSIsInBhcnNlLW5hbWVzIjpmYWxzZSwiZHJvcHBpbmctcGFydGljbGUiOiIiLCJub24tZHJvcHBpbmctcGFydGljbGUiOiIifSx7ImZhbWlseSI6IlNvcnJlbnRpbm8iLCJnaXZlbiI6IkVsZW5hIiwicGFyc2UtbmFtZXMiOmZhbHNlLCJkcm9wcGluZy1wYXJ0aWNsZSI6IiIsIm5vbi1kcm9wcGluZy1wYXJ0aWNsZSI6IiJ9XSwiY29udGFpbmVyLXRpdGxlIjoiRnJvbnRpZXJzIGluIE1pY3JvYmlvbG9neSIsImFjY2Vzc2VkIjp7ImRhdGUtcGFydHMiOltbMjAyMSw5LDEwXV19LCJET0kiOiIxMC4zMzg5L0ZNSUNCLjIwMTcuMDA0NzAiLCJJU1NOIjoiMTY2NC0zMDJYIiwiaXNzdWVkIjp7ImRhdGUtcGFydHMiOltbMjAxNywzLDIyXV19LCJwYWdlIjoiNDcwIiwiYWJzdHJhY3QiOiJGb3J0eS10d28gb2Vub2xvZ2ljYWwgc3RyYWlucyBvZiBMYi4gcGxhbnRhcnVtIHdlcmUgYXNzZXNzZWQgZm9yIHRoZWlyIHJlc3BvbnNlIHRvIGV0aGFub2wgYW5kIHBIIHZhbHVlcyBnZW5lcmFsbHkgZW5jb3VudGVyZWQgaW4gd2luZXMuIFN0cmFpbnMgc2hvd2VkIGEgaGlnaGVyIHZhcmlhYmlsaXR5IGluIHRoZSBzdXJ2aXZhbCB3aGVuIGV4cG9zZWQgdG8gbG93IHBIICgzLjUgb3IgMy4wKSB0aGFuIHdoZW4gZXhwb3NlZCB0byBldGhhbm9sICgxMCUgb3IgMTQlKS4gVGhlIHN0dWR5IGFsbG93ZWQgdG8gaW5kaXZpZHVhdGUgdGhlIGhpZ2hlc3QgZXRoYW5vbCBjb25jZW50cmF0aW9uICg4JSkgYW5kIHRoZSBsb3dlc3QgcEggdmFsdWUgKDQuMCkgZm9yIHRoZSBncm93dGggb2Ygc3RyYWlucywgZXZlbiBpZiB0aGUgbWF4aW11bSBzcGVjaWZpYyBncm93dGggcmF0ZSAowrVtYXgpIHJlc3VsdGVkIHNpZ25pZmljYW50bHkgcmVkdWNlZCBieSB0aGVzZSBjb25kaXRpb25zLiBUd28gc3RyYWlucyAoR1QxIGFuZCBMVDExKSBwcmVhZGFwdGVkIGF0IDIlIGV0aGFub2wgYW5kIGN1bHR1cmVkIHVwIHRvIDE0ICUgb2YgZXRoYW5vbCBzaG93ZWQgYSBoaWdoZXIgZ3Jvd3RoIHRoYW4gdGhvc2Ugbm9uLXByZWFkYXB0ZWQgd2hlbiB0aGV5IHdlcmUgY3VsdGl2YXRlZCBhdCA4JSBvZiBldGhhbm9sLiBUaGUgZXZhbHVhdGlvbiBvZiB0aGUgc2FtZSBzdHJhaW5zIHByZWFkYXB0ZWQgYXQgbG93IHBIIHZhbHVlcyAoNS4wIGFuZCA0LjApIGFuZCB0aGVuIGdyb3duIGF0IHBIIDMuNSBvciAzLjAgc2hvd2VkIG9ubHkgZm9yIEdUMSBhIHNlbnNpdGl2ZSDCtW1heCBpbmNyZW1lbnQgd2hlbiBpdCB3YXMgY3VsdGl2YXRlZCBpbiBNUlMgYXQgcEggMyBhZnRlciBhIHByZWFkYXB0YXRpb24gYXQgcEggNS4wLiBUaGUgc3Vydml2YWwgb2YgR1QxIGFuZCBMVDExIHdhcyBldmFsdWF0ZWQgaW4gUmluZ2Vy4oCZcyBzb2x1dGlvbiBhdCAxNCUgZXRoYW5vbCBhZnRlciBhIGxvbmctdGVybSBhZGFwdGF0aW9uIGluIE1SUyB3aXRoIDIlIGV0aGFub2wgb3IgaW4gTVJTIHdpdGggMiUgZXRoYW5vbCBhY2lkaWZpZWQgYXQgcEggNS4wIChib3RoIGNvbmRpdGlvbnMsIEJDKS4gQW5hbG9nb3VzbHksIHRoZSBzdXJ2aXZhbCB3YXMgZXZhbHVhdGVkIGF0IHBIIDMuNSBhZnRlciBhIGxvbmctdGVybSBhZGFwdGF0aW9uIGluIE1SUyBhdCBwSCA1LjAgb3IgaW4gTVJTIEJDLiBUaGUgaW1wYWN0IG9mIHRoZSBwaHlzaW9sb2dpYyBzdGF0ZSAoZXhwb25lbnRpYWwgcGhhc2UgdnMgc3RhdGlvbmFyeSBwaGFzZSkgb24gdGhlIHN1cnZpdmFsIHdhcyBhbHNvIGV2YWx1YXRlZC4gUHJlYWRhcHRlZCBjZWxscyBzaG93ZWQgdGhlIHNhbWUgYmVoYXZpb3VyIG9mIG5vbi1wcmVhZGFwdGVkIGNlbGxzIG9ubHkgd2hlbiBjdWx0dXJlcyB3ZXJlIHJlY292ZXJlZCBpbiB0aGUgc3RhdGlvbmFyeSBwaGFzZS4gTWF0aGVtYXRpY2FsIGZ1bmN0aW9ucyB3ZXJlIGluZGl2aWR1YXRlZCBmb3IgdGhlIGRlc2NyaXB0aW9uIG9mIHRoZSBzdXJ2aXZhbCBvZiBHVDEgYW5kIExUMTEgaW4gTVJTIGF0IDE0JSBldGhhbm9sIG9yIGF0IHBIIDMuNS4gRmluYWxseSwgYSBzeW50aGV0aWMgd2luZSAoU1cpIHdhcyB1c2VkIHRvIGFzc2VzcyB0aGUgYmVoYXZpb3VyIG9mIExiLiBwbGFudGFydW0gR1QxIGFuZCBMVDExIHByZWFkYXB0ZWQgaW4gTVJTIGF0IDIlIGV0aGFub2wgb3IgYXQgcEggNS4wIG9yIGluIEJDLiBPbmx5IEdUMSBwcmVhZGFwdGVkIGF0IHBIIDUuMCBhbmQgY29sbGVjdGVkIGluIHRoZSBzdGF0aW9uYXJ5IHBoYXNlIHNob3dlZCBjb25zdGFudCB2YWx1ZXMgb2YgbWljcm9iaWFsIGNvdW50cyBhZnRlciBpbmN1YmF0aW9uIGZvciAxNSBkYXlzIGF0IDIwIMKwQy4gSW4gYWRkaXRpb24sIGFmdGVyIDE1IGRheXMgdGhlIEwtbWFsaWMgYWNpZCByZXN1bHRlZCBjb21wbGV0ZWx5IGRlZ3JhZGVkIGFuZCB0aGUgcEggdmFsdWUgaW5jcmVhc2VkIG9mIGFib3V0IDAuMyB1bml0cy4iLCJwdWJsaXNoZXIiOiJGcm9udGllcnMiLCJpc3N1ZSI6Ik1BUiIsInZvbHVtZSI6IjAifSwiaXNUZW1wb3JhcnkiOmZhbHNlfV0sInByb3BlcnRpZXMiOnsibm90ZUluZGV4IjowfSwiaXNFZGl0ZWQiOmZhbHNlLCJtYW51YWxPdmVycmlkZSI6eyJpc01hbnVhbGx5T3ZlcnJpZGRlbiI6ZmFsc2UsImNpdGVwcm9jVGV4dCI6IihTdWNjaSBldCBhbC4sIDIwMTcpIiwibWFudWFsT3ZlcnJpZGVUZXh0IjoiIn19&quot;},{&quot;citationID&quot;:&quot;MENDELEY_CITATION_14b5ff12-a299-45b6-9fdc-6ccac09aca0f&quot;,&quot;citationItems&quot;:[{&quot;id&quot;:&quot;ae623721-39fa-3f21-972e-53d3db0d3351&quot;,&quot;itemData&quot;:{&quot;type&quot;:&quot;article-journal&quot;,&quot;id&quot;:&quot;ae623721-39fa-3f21-972e-53d3db0d3351&quot;,&quot;title&quot;:&quot;Kinetic analysis and mathematical modeling of growth and lactic acid production of Lactobacillus casei var. rhamnosus in milk whey&quot;,&quot;author&quot;:[{&quot;family&quot;:&quot;Alvarez&quot;,&quot;given&quot;:&quot;M. M.&quot;,&quot;parse-names&quot;:false,&quot;dropping-particle&quot;:&quot;&quot;,&quot;non-dropping-particle&quot;:&quot;&quot;},{&quot;family&quot;:&quot;Aguirre-Ezkauriatza&quot;,&quot;given&quot;:&quot;E. J.&quot;,&quot;parse-names&quot;:false,&quot;dropping-particle&quot;:&quot;&quot;,&quot;non-dropping-particle&quot;:&quot;&quot;},{&quot;family&quot;:&quot;Ramírez-Medrano&quot;,&quot;given&quot;:&quot;A.&quot;,&quot;parse-names&quot;:false,&quot;dropping-particle&quot;:&quot;&quot;,&quot;non-dropping-particle&quot;:&quot;&quot;},{&quot;family&quot;:&quot;Rodríguez-Sánchez&quot;,&quot;given&quot;:&quot;Á&quot;,&quot;parse-names&quot;:false,&quot;dropping-particle&quot;:&quot;&quot;,&quot;non-dropping-particle&quot;:&quot;&quot;}],&quot;container-title&quot;:&quot;Journal of Dairy Science&quot;,&quot;accessed&quot;:{&quot;date-parts&quot;:[[2021,9,10]]},&quot;DOI&quot;:&quot;10.3168/JDS.2010-3116&quot;,&quot;ISSN&quot;:&quot;0022-0302&quot;,&quot;issued&quot;:{&quot;date-parts&quot;:[[2010,12,1]]},&quot;page&quot;:&quot;5552-5560&quot;,&quot;abstract&quot;:&quot;Lactobacillus casei is a lactic acid bacterium (LAB) that colonizes diverse ecological niches and that has found broad commercial application. The aim of this study was to characterize the kinetics of biomass production, lactic acid production, and substrate consumption of Lactobacillus casei var. rhamnosus cultured in deproteinized milk whey. Batch culture experiments were performed in an instrumented, 2-L, stirred tank bioreactor using different inoculum concentrations (0.5 to 1.0. g/L) and lactose levels (35 to 70. g/L). The time series of experimental data corresponding to biomass growth, lactose consumption, and lactic acid formation were differentiated to calculate the corresponding kinetic rates. Strong exponentially dependent product inhibition effects were evident at low lactic acid concentrations, and lactic acid production rate was partially associated with biomass growth. A mathematical model is presented that reproduces the experimental lactose, biomass, and lactic acid concentration profiles. © 2010 American Dairy Science Association.&quot;,&quot;publisher&quot;:&quot;Elsevier&quot;,&quot;issue&quot;:&quot;12&quot;,&quot;volume&quot;:&quot;93&quot;},&quot;isTemporary&quot;:false}],&quot;properties&quot;:{&quot;noteIndex&quot;:0},&quot;isEdited&quot;:false,&quot;manualOverride&quot;:{&quot;isManuallyOverridden&quot;:false,&quot;citeprocText&quot;:&quot;(Alvarez et al., 2010)&quot;,&quot;manualOverrideText&quot;:&quot;&quot;},&quot;citationTag&quot;:&quot;MENDELEY_CITATION_v3_eyJjaXRhdGlvbklEIjoiTUVOREVMRVlfQ0lUQVRJT05fMTRiNWZmMTItYTI5OS00NWI2LTlmZGMtNmNjYWMwOWFjYTBmIiwiY2l0YXRpb25JdGVtcyI6W3siaWQiOiJhZTYyMzcyMS0zOWZhLTNmMjEtOTcyZS01M2QzZGIwZDMzNTEiLCJpdGVtRGF0YSI6eyJ0eXBlIjoiYXJ0aWNsZS1qb3VybmFsIiwiaWQiOiJhZTYyMzcyMS0zOWZhLTNmMjEtOTcyZS01M2QzZGIwZDMzNTEiLCJ0aXRsZSI6IktpbmV0aWMgYW5hbHlzaXMgYW5kIG1hdGhlbWF0aWNhbCBtb2RlbGluZyBvZiBncm93dGggYW5kIGxhY3RpYyBhY2lkIHByb2R1Y3Rpb24gb2YgTGFjdG9iYWNpbGx1cyBjYXNlaSB2YXIuIHJoYW1ub3N1cyBpbiBtaWxrIHdoZXkiLCJhdXRob3IiOlt7ImZhbWlseSI6IkFsdmFyZXoiLCJnaXZlbiI6Ik0uIE0uIiwicGFyc2UtbmFtZXMiOmZhbHNlLCJkcm9wcGluZy1wYXJ0aWNsZSI6IiIsIm5vbi1kcm9wcGluZy1wYXJ0aWNsZSI6IiJ9LHsiZmFtaWx5IjoiQWd1aXJyZS1FemthdXJpYXR6YSIsImdpdmVuIjoiRS4gSi4iLCJwYXJzZS1uYW1lcyI6ZmFsc2UsImRyb3BwaW5nLXBhcnRpY2xlIjoiIiwibm9uLWRyb3BwaW5nLXBhcnRpY2xlIjoiIn0seyJmYW1pbHkiOiJSYW3DrXJlei1NZWRyYW5vIiwiZ2l2ZW4iOiJBLiIsInBhcnNlLW5hbWVzIjpmYWxzZSwiZHJvcHBpbmctcGFydGljbGUiOiIiLCJub24tZHJvcHBpbmctcGFydGljbGUiOiIifSx7ImZhbWlseSI6IlJvZHLDrWd1ZXotU8OhbmNoZXoiLCJnaXZlbiI6IsOBIiwicGFyc2UtbmFtZXMiOmZhbHNlLCJkcm9wcGluZy1wYXJ0aWNsZSI6IiIsIm5vbi1kcm9wcGluZy1wYXJ0aWNsZSI6IiJ9XSwiY29udGFpbmVyLXRpdGxlIjoiSm91cm5hbCBvZiBEYWlyeSBTY2llbmNlIiwiYWNjZXNzZWQiOnsiZGF0ZS1wYXJ0cyI6W1syMDIxLDksMTBdXX0sIkRPSSI6IjEwLjMxNjgvSkRTLjIwMTAtMzExNiIsIklTU04iOiIwMDIyLTAzMDIiLCJpc3N1ZWQiOnsiZGF0ZS1wYXJ0cyI6W1syMDEwLDEyLDFdXX0sInBhZ2UiOiI1NTUyLTU1NjAiLCJhYnN0cmFjdCI6IkxhY3RvYmFjaWxsdXMgY2FzZWkgaXMgYSBsYWN0aWMgYWNpZCBiYWN0ZXJpdW0gKExBQikgdGhhdCBjb2xvbml6ZXMgZGl2ZXJzZSBlY29sb2dpY2FsIG5pY2hlcyBhbmQgdGhhdCBoYXMgZm91bmQgYnJvYWQgY29tbWVyY2lhbCBhcHBsaWNhdGlvbi4gVGhlIGFpbSBvZiB0aGlzIHN0dWR5IHdhcyB0byBjaGFyYWN0ZXJpemUgdGhlIGtpbmV0aWNzIG9mIGJpb21hc3MgcHJvZHVjdGlvbiwgbGFjdGljIGFjaWQgcHJvZHVjdGlvbiwgYW5kIHN1YnN0cmF0ZSBjb25zdW1wdGlvbiBvZiBMYWN0b2JhY2lsbHVzIGNhc2VpIHZhci4gcmhhbW5vc3VzIGN1bHR1cmVkIGluIGRlcHJvdGVpbml6ZWQgbWlsayB3aGV5LiBCYXRjaCBjdWx0dXJlIGV4cGVyaW1lbnRzIHdlcmUgcGVyZm9ybWVkIGluIGFuIGluc3RydW1lbnRlZCwgMi1MLCBzdGlycmVkIHRhbmsgYmlvcmVhY3RvciB1c2luZyBkaWZmZXJlbnQgaW5vY3VsdW0gY29uY2VudHJhdGlvbnMgKDAuNSB0byAxLjAuIGcvTCkgYW5kIGxhY3Rvc2UgbGV2ZWxzICgzNSB0byA3MC4gZy9MKS4gVGhlIHRpbWUgc2VyaWVzIG9mIGV4cGVyaW1lbnRhbCBkYXRhIGNvcnJlc3BvbmRpbmcgdG8gYmlvbWFzcyBncm93dGgsIGxhY3Rvc2UgY29uc3VtcHRpb24sIGFuZCBsYWN0aWMgYWNpZCBmb3JtYXRpb24gd2VyZSBkaWZmZXJlbnRpYXRlZCB0byBjYWxjdWxhdGUgdGhlIGNvcnJlc3BvbmRpbmcga2luZXRpYyByYXRlcy4gU3Ryb25nIGV4cG9uZW50aWFsbHkgZGVwZW5kZW50IHByb2R1Y3QgaW5oaWJpdGlvbiBlZmZlY3RzIHdlcmUgZXZpZGVudCBhdCBsb3cgbGFjdGljIGFjaWQgY29uY2VudHJhdGlvbnMsIGFuZCBsYWN0aWMgYWNpZCBwcm9kdWN0aW9uIHJhdGUgd2FzIHBhcnRpYWxseSBhc3NvY2lhdGVkIHdpdGggYmlvbWFzcyBncm93dGguIEEgbWF0aGVtYXRpY2FsIG1vZGVsIGlzIHByZXNlbnRlZCB0aGF0IHJlcHJvZHVjZXMgdGhlIGV4cGVyaW1lbnRhbCBsYWN0b3NlLCBiaW9tYXNzLCBhbmQgbGFjdGljIGFjaWQgY29uY2VudHJhdGlvbiBwcm9maWxlcy4gwqkgMjAxMCBBbWVyaWNhbiBEYWlyeSBTY2llbmNlIEFzc29jaWF0aW9uLiIsInB1Ymxpc2hlciI6IkVsc2V2aWVyIiwiaXNzdWUiOiIxMiIsInZvbHVtZSI6IjkzIn0sImlzVGVtcG9yYXJ5IjpmYWxzZX1dLCJwcm9wZXJ0aWVzIjp7Im5vdGVJbmRleCI6MH0sImlzRWRpdGVkIjpmYWxzZSwibWFudWFsT3ZlcnJpZGUiOnsiaXNNYW51YWxseU92ZXJyaWRkZW4iOmZhbHNlLCJjaXRlcHJvY1RleHQiOiIoQWx2YXJleiBldCBhbC4sIDIwMTApIiwibWFudWFsT3ZlcnJpZGVUZXh0IjoiIn19&quot;},{&quot;citationID&quot;:&quot;MENDELEY_CITATION_d54066bf-264c-40d0-bf9f-67b52e9d44d6&quot;,&quot;citationItems&quot;:[{&quot;id&quot;:&quot;797be555-9466-39ba-b351-f9260ff07703&quot;,&quot;itemData&quot;:{&quot;type&quot;:&quot;article-journal&quot;,&quot;id&quot;:&quot;797be555-9466-39ba-b351-f9260ff07703&quot;,&quot;title&quot;:&quot;Biomass production of &lt;i&gt;Lactobacillus plantarum&lt;/i&gt; LP02 isolated from infant feces with potential cholesterollowering ability&quot;,&quot;author&quot;:[{&quot;family&quot;:&quot;Hwang&quot;,&quot;given&quot;:&quot;CF&quot;,&quot;parse-names&quot;:false,&quot;dropping-particle&quot;:&quot;&quot;,&quot;non-dropping-particle&quot;:&quot;&quot;},{&quot;family&quot;:&quot;Chen&quot;,&quot;given&quot;:&quot;JN&quot;,&quot;parse-names&quot;:false,&quot;dropping-particle&quot;:&quot;&quot;,&quot;non-dropping-particle&quot;:&quot;&quot;},{&quot;family&quot;:&quot;Huang&quot;,&quot;given&quot;:&quot;YT&quot;,&quot;parse-names&quot;:false,&quot;dropping-particle&quot;:&quot;&quot;,&quot;non-dropping-particle&quot;:&quot;&quot;},{&quot;family&quot;:&quot;Mao&quot;,&quot;given&quot;:&quot;ZY&quot;,&quot;parse-names&quot;:false,&quot;dropping-particle&quot;:&quot;&quot;,&quot;non-dropping-particle&quot;:&quot;&quot;}],&quot;container-title&quot;:&quot;African Journal of Biotechnology&quot;,&quot;accessed&quot;:{&quot;date-parts&quot;:[[2021,9,10]]},&quot;DOI&quot;:&quot;10.4314/ajb.v10i36.&quot;,&quot;ISSN&quot;:&quot;1684-5315&quot;,&quot;URL&quot;:&quot;https://www.ajol.info/index.php/ajb/article/view/94704&quot;,&quot;issued&quot;:{&quot;date-parts&quot;:[[2013,9,27]]},&quot;page&quot;:&quot;7010-7020&quot;,&quot;abstract&quot;:&quot;The potentially hypocholesterolemic strain, designated PL02, of Lactobacillus plantarum, was isolated from infant feces. The aim of this study was to characterize and to cultivate this isolate for biomass production in a 5 L fermentor by batch or fed-batch fermentation. A modified medium composition without peptone was used to produce more viable cells with a 150 rpm agitation speed and 0.5 vvm of aeration during incubation. A cell concentration of 2.2 g dry cell weight (DCW) per liter in fermented broth was reached in a 5 L fermentor after the glucose was consumed completely during batch fermentation. In addition, biomass was significantly improved at 28 h of fed-batch fermentation (9.45 g DCW/l) over a constant feeding rate of 20 ml/h of feeding solution since the glucose was consumed at batch process. A much shorter fermentation time (15 h) and greater biomass (10.12 g DCW/l) was obtained by using multistep feeding rates to maintain glucose concentration of 1 to 5 g/l during fedbatch process. The biomass of L. plantarum PL02 produced by fed-batch fermentation was greater than that achieved by batch fermentation and the fed-batch method might also be suitable for other  lactic acid bacteria fermentation.Key words: Lactobacillus plantarum, fermentation, fed-batch fermentation, cholesterol&quot;,&quot;issue&quot;:&quot;36&quot;,&quot;volume&quot;:&quot;10&quot;},&quot;isTemporary&quot;:false}],&quot;properties&quot;:{&quot;noteIndex&quot;:0},&quot;isEdited&quot;:false,&quot;manualOverride&quot;:{&quot;isManuallyOverridden&quot;:false,&quot;citeprocText&quot;:&quot;(Hwang et al., 2013)&quot;,&quot;manualOverrideText&quot;:&quot;&quot;},&quot;citationTag&quot;:&quot;MENDELEY_CITATION_v3_eyJjaXRhdGlvbklEIjoiTUVOREVMRVlfQ0lUQVRJT05fZDU0MDY2YmYtMjY0Yy00MGQwLWJmOWYtNjdiNTJlOWQ0NGQ2IiwiY2l0YXRpb25JdGVtcyI6W3siaWQiOiI3OTdiZTU1NS05NDY2LTM5YmEtYjM1MS1mOTI2MGZmMDc3MDMiLCJpdGVtRGF0YSI6eyJ0eXBlIjoiYXJ0aWNsZS1qb3VybmFsIiwiaWQiOiI3OTdiZTU1NS05NDY2LTM5YmEtYjM1MS1mOTI2MGZmMDc3MDMiLCJ0aXRsZSI6IkJpb21hc3MgcHJvZHVjdGlvbiBvZiA8aT5MYWN0b2JhY2lsbHVzIHBsYW50YXJ1bTwvaT4gTFAwMiBpc29sYXRlZCBmcm9tIGluZmFudCBmZWNlcyB3aXRoIHBvdGVudGlhbCBjaG9sZXN0ZXJvbGxvd2VyaW5nIGFiaWxpdHkiLCJhdXRob3IiOlt7ImZhbWlseSI6Ikh3YW5nIiwiZ2l2ZW4iOiJDRiIsInBhcnNlLW5hbWVzIjpmYWxzZSwiZHJvcHBpbmctcGFydGljbGUiOiIiLCJub24tZHJvcHBpbmctcGFydGljbGUiOiIifSx7ImZhbWlseSI6IkNoZW4iLCJnaXZlbiI6IkpOIiwicGFyc2UtbmFtZXMiOmZhbHNlLCJkcm9wcGluZy1wYXJ0aWNsZSI6IiIsIm5vbi1kcm9wcGluZy1wYXJ0aWNsZSI6IiJ9LHsiZmFtaWx5IjoiSHVhbmciLCJnaXZlbiI6IllUIiwicGFyc2UtbmFtZXMiOmZhbHNlLCJkcm9wcGluZy1wYXJ0aWNsZSI6IiIsIm5vbi1kcm9wcGluZy1wYXJ0aWNsZSI6IiJ9LHsiZmFtaWx5IjoiTWFvIiwiZ2l2ZW4iOiJaWSIsInBhcnNlLW5hbWVzIjpmYWxzZSwiZHJvcHBpbmctcGFydGljbGUiOiIiLCJub24tZHJvcHBpbmctcGFydGljbGUiOiIifV0sImNvbnRhaW5lci10aXRsZSI6IkFmcmljYW4gSm91cm5hbCBvZiBCaW90ZWNobm9sb2d5IiwiYWNjZXNzZWQiOnsiZGF0ZS1wYXJ0cyI6W1syMDIxLDksMTBdXX0sIkRPSSI6IjEwLjQzMTQvYWpiLnYxMGkzNi4iLCJJU1NOIjoiMTY4NC01MzE1IiwiVVJMIjoiaHR0cHM6Ly93d3cuYWpvbC5pbmZvL2luZGV4LnBocC9hamIvYXJ0aWNsZS92aWV3Lzk0NzA0IiwiaXNzdWVkIjp7ImRhdGUtcGFydHMiOltbMjAxMyw5LDI3XV19LCJwYWdlIjoiNzAxMC03MDIwIiwiYWJzdHJhY3QiOiJUaGUgcG90ZW50aWFsbHkgaHlwb2Nob2xlc3Rlcm9sZW1pYyBzdHJhaW4sIGRlc2lnbmF0ZWQgUEwwMiwgb2YgTGFjdG9iYWNpbGx1cyBwbGFudGFydW0sIHdhcyBpc29sYXRlZCBmcm9tIGluZmFudCBmZWNlcy4gVGhlIGFpbSBvZiB0aGlzIHN0dWR5IHdhcyB0byBjaGFyYWN0ZXJpemUgYW5kIHRvIGN1bHRpdmF0ZSB0aGlzIGlzb2xhdGUgZm9yIGJpb21hc3MgcHJvZHVjdGlvbiBpbiBhIDUgTCBmZXJtZW50b3IgYnkgYmF0Y2ggb3IgZmVkLWJhdGNoIGZlcm1lbnRhdGlvbi4gQSBtb2RpZmllZCBtZWRpdW0gY29tcG9zaXRpb24gd2l0aG91dCBwZXB0b25lIHdhcyB1c2VkIHRvIHByb2R1Y2UgbW9yZSB2aWFibGUgY2VsbHMgd2l0aCBhIDE1MCBycG0gYWdpdGF0aW9uIHNwZWVkIGFuZCAwLjUgdnZtIG9mIGFlcmF0aW9uIGR1cmluZyBpbmN1YmF0aW9uLiBBIGNlbGwgY29uY2VudHJhdGlvbiBvZiAyLjIgZyBkcnkgY2VsbCB3ZWlnaHQgKERDVykgcGVyIGxpdGVyIGluIGZlcm1lbnRlZCBicm90aCB3YXMgcmVhY2hlZCBpbiBhIDUgTCBmZXJtZW50b3IgYWZ0ZXIgdGhlIGdsdWNvc2Ugd2FzIGNvbnN1bWVkIGNvbXBsZXRlbHkgZHVyaW5nIGJhdGNoIGZlcm1lbnRhdGlvbi4gSW4gYWRkaXRpb24sIGJpb21hc3Mgd2FzIHNpZ25pZmljYW50bHkgaW1wcm92ZWQgYXQgMjggaCBvZiBmZWQtYmF0Y2ggZmVybWVudGF0aW9uICg5LjQ1IGcgRENXL2wpIG92ZXIgYSBjb25zdGFudCBmZWVkaW5nIHJhdGUgb2YgMjAgbWwvaCBvZiBmZWVkaW5nIHNvbHV0aW9uIHNpbmNlIHRoZSBnbHVjb3NlIHdhcyBjb25zdW1lZCBhdCBiYXRjaCBwcm9jZXNzLiBBIG11Y2ggc2hvcnRlciBmZXJtZW50YXRpb24gdGltZSAoMTUgaCkgYW5kIGdyZWF0ZXIgYmlvbWFzcyAoMTAuMTIgZyBEQ1cvbCkgd2FzIG9idGFpbmVkIGJ5IHVzaW5nIG11bHRpc3RlcCBmZWVkaW5nIHJhdGVzIHRvIG1haW50YWluIGdsdWNvc2UgY29uY2VudHJhdGlvbiBvZiAxIHRvIDUgZy9sIGR1cmluZyBmZWRiYXRjaCBwcm9jZXNzLiBUaGUgYmlvbWFzcyBvZiBMLiBwbGFudGFydW0gUEwwMiBwcm9kdWNlZCBieSBmZWQtYmF0Y2ggZmVybWVudGF0aW9uIHdhcyBncmVhdGVyIHRoYW4gdGhhdCBhY2hpZXZlZCBieSBiYXRjaCBmZXJtZW50YXRpb24gYW5kIHRoZSBmZWQtYmF0Y2ggbWV0aG9kIG1pZ2h0IGFsc28gYmUgc3VpdGFibGUgZm9yIG90aGVywqAgbGFjdGljIGFjaWQgYmFjdGVyaWEgZmVybWVudGF0aW9uLktleSB3b3JkczogTGFjdG9iYWNpbGx1cyBwbGFudGFydW0sIGZlcm1lbnRhdGlvbiwgZmVkLWJhdGNoIGZlcm1lbnRhdGlvbiwgY2hvbGVzdGVyb2wiLCJpc3N1ZSI6IjM2Iiwidm9sdW1lIjoiMTAifSwiaXNUZW1wb3JhcnkiOmZhbHNlfV0sInByb3BlcnRpZXMiOnsibm90ZUluZGV4IjowfSwiaXNFZGl0ZWQiOmZhbHNlLCJtYW51YWxPdmVycmlkZSI6eyJpc01hbnVhbGx5T3ZlcnJpZGRlbiI6ZmFsc2UsImNpdGVwcm9jVGV4dCI6IihId2FuZyBldCBhbC4sIDIwMTMpIiwibWFudWFsT3ZlcnJpZGVUZXh0IjoiIn19&quot;}]"/>
    <we:property name="MENDELEY_CITATIONS_STYLE" value="&quot;https://www.zotero.org/styles/apa&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C875F9-3FD5-4F8D-8767-0CCD2CDBDB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5</Pages>
  <Words>2652</Words>
  <Characters>15119</Characters>
  <Application>Microsoft Office Word</Application>
  <DocSecurity>0</DocSecurity>
  <Lines>125</Lines>
  <Paragraphs>35</Paragraphs>
  <ScaleCrop>false</ScaleCrop>
  <Company/>
  <LinksUpToDate>false</LinksUpToDate>
  <CharactersWithSpaces>17736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Linjie Tang</dc:creator>
  <cp:keywords/>
  <dc:description/>
  <cp:lastModifiedBy>Linjie Tang</cp:lastModifiedBy>
  <cp:revision>31</cp:revision>
  <cp:lastPrinted>2023-01-26T05:08:00Z</cp:lastPrinted>
  <dcterms:created xsi:type="dcterms:W3CDTF">2021-09-17T00:21:00Z</dcterms:created>
  <dcterms:modified xsi:type="dcterms:W3CDTF">2023-04-19T02:04:00Z</dcterms:modified>
</cp:coreProperties>
</file>