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B5E8C36" w14:textId="77777777" w:rsidR="000C626C" w:rsidRPr="00D72A7B" w:rsidRDefault="000C626C" w:rsidP="000C626C">
      <w:pPr>
        <w:spacing w:line="360" w:lineRule="auto"/>
        <w:rPr>
          <w:b/>
          <w:sz w:val="28"/>
          <w:szCs w:val="28"/>
        </w:rPr>
      </w:pPr>
      <w:r w:rsidRPr="00D72A7B">
        <w:rPr>
          <w:b/>
          <w:sz w:val="28"/>
          <w:szCs w:val="28"/>
        </w:rPr>
        <w:t>Supplementary Information</w:t>
      </w:r>
    </w:p>
    <w:p w14:paraId="5535D3F9" w14:textId="77777777" w:rsidR="000C626C" w:rsidRDefault="000C626C" w:rsidP="000C626C">
      <w:pPr>
        <w:jc w:val="both"/>
        <w:rPr>
          <w:noProof/>
        </w:rPr>
      </w:pPr>
      <w:r>
        <w:rPr>
          <w:b/>
          <w:noProof/>
          <w:lang w:val="es-AR"/>
        </w:rPr>
        <w:drawing>
          <wp:inline distT="0" distB="0" distL="0" distR="0" wp14:anchorId="79135239" wp14:editId="75465B93">
            <wp:extent cx="5733415" cy="2210435"/>
            <wp:effectExtent l="0" t="0" r="635" b="0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88" r="492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3415" cy="22104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D11E7EE" w14:textId="77777777" w:rsidR="000C626C" w:rsidRDefault="000C626C" w:rsidP="000C626C">
      <w:pPr>
        <w:spacing w:before="240" w:line="360" w:lineRule="auto"/>
        <w:jc w:val="both"/>
      </w:pPr>
      <w:r>
        <w:rPr>
          <w:b/>
        </w:rPr>
        <w:t>Supplementary Figure S1.</w:t>
      </w:r>
      <w:r>
        <w:t xml:space="preserve"> Antigen preparation and llama immunization. (</w:t>
      </w:r>
      <w:r>
        <w:rPr>
          <w:b/>
        </w:rPr>
        <w:t>A</w:t>
      </w:r>
      <w:r>
        <w:t>) SDS-PAGE and Coomassie blue staining showing the expression and purification of the recombinant HEV-3 ORF2 protein. (</w:t>
      </w:r>
      <w:r>
        <w:rPr>
          <w:b/>
        </w:rPr>
        <w:t>B</w:t>
      </w:r>
      <w:r>
        <w:t>) Schematic representation of the llama immunization protocol depicting boosting, antigen dose and blood extraction time (</w:t>
      </w:r>
      <w:proofErr w:type="spellStart"/>
      <w:r>
        <w:t>p.i.</w:t>
      </w:r>
      <w:proofErr w:type="spellEnd"/>
      <w:r>
        <w:t>: post immunization). (</w:t>
      </w:r>
      <w:r>
        <w:rPr>
          <w:b/>
        </w:rPr>
        <w:t xml:space="preserve">C) </w:t>
      </w:r>
      <w:r>
        <w:t>Antibody titer against HEV-3 ORF2 in llama sera after immunization, a maximum response is reached at PID 32. (</w:t>
      </w:r>
      <w:r>
        <w:rPr>
          <w:b/>
        </w:rPr>
        <w:t>D</w:t>
      </w:r>
      <w:r>
        <w:t>) Agarose gel showing the ~700 bp PCR fragments corresponding to VHHs of variable size amplified from randomly picked individual colonies.</w:t>
      </w:r>
    </w:p>
    <w:p w14:paraId="02FB3B3B" w14:textId="77777777" w:rsidR="000C626C" w:rsidRDefault="000C626C" w:rsidP="000C626C">
      <w:pPr>
        <w:jc w:val="both"/>
        <w:rPr>
          <w:rFonts w:ascii="Calibri" w:eastAsia="Calibri" w:hAnsi="Calibri" w:cs="Calibri"/>
          <w:noProof/>
        </w:rPr>
      </w:pPr>
    </w:p>
    <w:p w14:paraId="7B1BE886" w14:textId="77777777" w:rsidR="000C626C" w:rsidRDefault="000C626C" w:rsidP="000C626C">
      <w:pPr>
        <w:jc w:val="both"/>
      </w:pPr>
      <w:r>
        <w:rPr>
          <w:noProof/>
          <w:lang w:val="es-AR"/>
        </w:rPr>
        <w:drawing>
          <wp:inline distT="0" distB="0" distL="0" distR="0" wp14:anchorId="273414CF" wp14:editId="140F0D2A">
            <wp:extent cx="5446395" cy="1092200"/>
            <wp:effectExtent l="0" t="0" r="0" b="0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4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4832" b="60641"/>
                    <a:stretch/>
                  </pic:blipFill>
                  <pic:spPr bwMode="auto">
                    <a:xfrm>
                      <a:off x="0" y="0"/>
                      <a:ext cx="5446395" cy="1092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8B44F52" w14:textId="77777777" w:rsidR="000C626C" w:rsidRDefault="000C626C" w:rsidP="000C626C">
      <w:pPr>
        <w:spacing w:before="240" w:line="360" w:lineRule="auto"/>
        <w:jc w:val="both"/>
      </w:pPr>
      <w:r>
        <w:rPr>
          <w:b/>
        </w:rPr>
        <w:t xml:space="preserve">Supplementary Figure S2. </w:t>
      </w:r>
      <w:r>
        <w:t>Construction of an immune Nb library. (</w:t>
      </w:r>
      <w:r>
        <w:rPr>
          <w:b/>
        </w:rPr>
        <w:t>A</w:t>
      </w:r>
      <w:r>
        <w:t>) Total RNA extracted from llama lymphocytes (sample 1 and 4) was reversed transcribed into cDNA and used as templates for the nested PCR. (</w:t>
      </w:r>
      <w:r>
        <w:rPr>
          <w:b/>
        </w:rPr>
        <w:t>B</w:t>
      </w:r>
      <w:r>
        <w:t>) First PCR, a fragment of ~700 bp representing the heavy chain–only antibody repertoire and a fragment of 1,000 bp corresponding to the heavy chain of the conventional antibodies were obtained. (</w:t>
      </w:r>
      <w:r>
        <w:rPr>
          <w:b/>
        </w:rPr>
        <w:t>C</w:t>
      </w:r>
      <w:r>
        <w:t>) The band of 700 bp was isolated and used as template for the second PCR, a fragment of 400 bp, corresponding to the VHHs was observed.</w:t>
      </w:r>
    </w:p>
    <w:p w14:paraId="3853EA43" w14:textId="77777777" w:rsidR="000C626C" w:rsidRDefault="000C626C" w:rsidP="000C626C">
      <w:pPr>
        <w:jc w:val="both"/>
        <w:rPr>
          <w:rFonts w:ascii="Calibri" w:eastAsia="Calibri" w:hAnsi="Calibri" w:cs="Calibri"/>
        </w:rPr>
      </w:pPr>
      <w:r>
        <w:rPr>
          <w:noProof/>
          <w:lang w:val="es-AR"/>
        </w:rPr>
        <w:lastRenderedPageBreak/>
        <w:drawing>
          <wp:inline distT="0" distB="0" distL="0" distR="0" wp14:anchorId="2078AE12" wp14:editId="50BAA9A7">
            <wp:extent cx="5414645" cy="1948180"/>
            <wp:effectExtent l="0" t="0" r="0" b="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5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14645" cy="19481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64ECE5B" w14:textId="77777777" w:rsidR="000C626C" w:rsidRDefault="000C626C" w:rsidP="000C626C">
      <w:pPr>
        <w:spacing w:before="240" w:line="360" w:lineRule="auto"/>
        <w:jc w:val="both"/>
      </w:pPr>
      <w:r>
        <w:rPr>
          <w:b/>
          <w:bCs/>
        </w:rPr>
        <w:t>Supplementary Figure S3</w:t>
      </w:r>
      <w:r>
        <w:t xml:space="preserve">. Screening of specific </w:t>
      </w:r>
      <w:proofErr w:type="spellStart"/>
      <w:r>
        <w:t>Nbs</w:t>
      </w:r>
      <w:proofErr w:type="spellEnd"/>
      <w:r>
        <w:t xml:space="preserve"> against HEV-3 ORF2 protein extracted from periplasm of infected TG1 bacteria. </w:t>
      </w:r>
      <w:r>
        <w:rPr>
          <w:b/>
          <w:bCs/>
        </w:rPr>
        <w:t>(A)</w:t>
      </w:r>
      <w:r>
        <w:t xml:space="preserve"> ELISA on a plate coated HEV-3 ORF2 protein.  </w:t>
      </w:r>
      <w:r>
        <w:rPr>
          <w:b/>
          <w:bCs/>
        </w:rPr>
        <w:t>(B)</w:t>
      </w:r>
      <w:r>
        <w:t xml:space="preserve"> ELISA on a plate coated with an irrelevant protein (negative control). Specific reaction was developed using horseradish peroxidase (HRP)-linked anti-HA antibody and the TMB substrate. Colonies were picked from agar plates seeded with infected TG1 after different round of panning and elution strategies as follows: A1-A12 and B1-B4 (first round of panning - cell elution); B5-B12 and C1-C12 (first round of panning - trypsin elution); D1-D12 and E1-E4 (second round of panning - cell elution); E5-E12 and F1-F12 (second round of panning - trypsin elution); G1-G12 and H1-H6 (third round of panning - trypsin elution) and H6-H12 (third round of panning – cell elution).</w:t>
      </w:r>
    </w:p>
    <w:p w14:paraId="184F2D83" w14:textId="77777777" w:rsidR="000C626C" w:rsidRDefault="000C626C" w:rsidP="000C626C">
      <w:pPr>
        <w:spacing w:line="360" w:lineRule="auto"/>
        <w:jc w:val="both"/>
      </w:pPr>
    </w:p>
    <w:p w14:paraId="3091B3C3" w14:textId="77777777" w:rsidR="000C626C" w:rsidRDefault="000C626C" w:rsidP="000C626C">
      <w:pPr>
        <w:spacing w:line="360" w:lineRule="auto"/>
        <w:jc w:val="both"/>
      </w:pPr>
      <w:r>
        <w:rPr>
          <w:noProof/>
        </w:rPr>
        <w:drawing>
          <wp:inline distT="0" distB="0" distL="0" distR="0" wp14:anchorId="240B3F97" wp14:editId="5E93481D">
            <wp:extent cx="5824013" cy="3263265"/>
            <wp:effectExtent l="0" t="0" r="5715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38883" cy="327159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0AA0A04" w14:textId="77777777" w:rsidR="000C626C" w:rsidRDefault="000C626C" w:rsidP="000C626C">
      <w:pPr>
        <w:spacing w:before="240" w:line="360" w:lineRule="auto"/>
        <w:jc w:val="both"/>
      </w:pPr>
      <w:r>
        <w:rPr>
          <w:b/>
          <w:bCs/>
        </w:rPr>
        <w:t>Supplementary Figure S4</w:t>
      </w:r>
      <w:r>
        <w:t>. Expression and purification of anti-HEV-3 ORF2</w:t>
      </w:r>
      <w:r w:rsidRPr="007A0C20">
        <w:t xml:space="preserve"> </w:t>
      </w:r>
      <w:proofErr w:type="spellStart"/>
      <w:r>
        <w:t>Nbs</w:t>
      </w:r>
      <w:proofErr w:type="spellEnd"/>
      <w:r>
        <w:t xml:space="preserve">. </w:t>
      </w:r>
      <w:r>
        <w:rPr>
          <w:b/>
          <w:bCs/>
        </w:rPr>
        <w:t>(A)</w:t>
      </w:r>
      <w:r>
        <w:t xml:space="preserve"> Ten </w:t>
      </w:r>
      <w:proofErr w:type="spellStart"/>
      <w:r>
        <w:t>Nbs</w:t>
      </w:r>
      <w:proofErr w:type="spellEnd"/>
      <w:r>
        <w:t xml:space="preserve"> (two different clones for each Nb) were analyzed by SDS-PAGE and Western blot, </w:t>
      </w:r>
      <w:r>
        <w:lastRenderedPageBreak/>
        <w:t xml:space="preserve">proteins with small differences in size were observed. </w:t>
      </w:r>
      <w:r>
        <w:rPr>
          <w:b/>
          <w:bCs/>
        </w:rPr>
        <w:t>(B)</w:t>
      </w:r>
      <w:r>
        <w:t xml:space="preserve"> Purification of 6 </w:t>
      </w:r>
      <w:proofErr w:type="spellStart"/>
      <w:r>
        <w:t>Nbs</w:t>
      </w:r>
      <w:proofErr w:type="spellEnd"/>
      <w:r>
        <w:t xml:space="preserve"> by affinity chromatography (Ni-NTA resin), FT: flow through, W: wash, and E: elution.</w:t>
      </w:r>
    </w:p>
    <w:p w14:paraId="57ADB957" w14:textId="16C7D724" w:rsidR="000C626C" w:rsidRDefault="00394828" w:rsidP="00394828">
      <w:pPr>
        <w:spacing w:before="240" w:line="360" w:lineRule="auto"/>
        <w:jc w:val="both"/>
      </w:pPr>
      <w:r w:rsidRPr="00394828">
        <w:rPr>
          <w:noProof/>
        </w:rPr>
        <w:drawing>
          <wp:inline distT="0" distB="0" distL="0" distR="0" wp14:anchorId="64CC11CE" wp14:editId="219F9ACF">
            <wp:extent cx="3749040" cy="274320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49040" cy="2743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EAC319F" w14:textId="77777777" w:rsidR="000C626C" w:rsidRDefault="000C626C" w:rsidP="000C626C">
      <w:pPr>
        <w:spacing w:line="360" w:lineRule="auto"/>
        <w:jc w:val="both"/>
      </w:pPr>
      <w:r>
        <w:rPr>
          <w:b/>
          <w:bCs/>
        </w:rPr>
        <w:t xml:space="preserve">Supplementary Figure S5. </w:t>
      </w:r>
      <w:r>
        <w:t xml:space="preserve">Limit of detection of the </w:t>
      </w:r>
      <w:proofErr w:type="spellStart"/>
      <w:r>
        <w:t>cELISA</w:t>
      </w:r>
      <w:proofErr w:type="spellEnd"/>
      <w:r>
        <w:t xml:space="preserve">. Standard serum for HEV antibodies was diluted and analyzed by developed </w:t>
      </w:r>
      <w:proofErr w:type="spellStart"/>
      <w:r>
        <w:t>cELISA</w:t>
      </w:r>
      <w:proofErr w:type="spellEnd"/>
      <w:r>
        <w:t>.</w:t>
      </w:r>
    </w:p>
    <w:p w14:paraId="6EF873A1" w14:textId="77777777" w:rsidR="000C626C" w:rsidRDefault="000C626C" w:rsidP="000C626C">
      <w:pPr>
        <w:spacing w:line="360" w:lineRule="auto"/>
        <w:jc w:val="both"/>
        <w:rPr>
          <w:b/>
        </w:rPr>
      </w:pPr>
    </w:p>
    <w:p w14:paraId="4C78E3A5" w14:textId="77777777" w:rsidR="000C626C" w:rsidRDefault="000C626C" w:rsidP="000C626C">
      <w:pPr>
        <w:spacing w:line="360" w:lineRule="auto"/>
        <w:jc w:val="both"/>
        <w:rPr>
          <w:b/>
        </w:rPr>
      </w:pPr>
      <w:r>
        <w:rPr>
          <w:b/>
        </w:rPr>
        <w:t xml:space="preserve">Supplementary Table 1 Determination of the positive/negative ratio to select the optimal conditions of a novel </w:t>
      </w:r>
      <w:proofErr w:type="spellStart"/>
      <w:r>
        <w:rPr>
          <w:b/>
        </w:rPr>
        <w:t>cELISA</w:t>
      </w:r>
      <w:proofErr w:type="spellEnd"/>
      <w:r>
        <w:rPr>
          <w:b/>
        </w:rPr>
        <w:t xml:space="preserve"> for human and swine sera</w:t>
      </w:r>
    </w:p>
    <w:p w14:paraId="54C20A08" w14:textId="77777777" w:rsidR="000C626C" w:rsidRDefault="000C626C" w:rsidP="000C626C">
      <w:pPr>
        <w:spacing w:line="360" w:lineRule="auto"/>
        <w:jc w:val="both"/>
        <w:rPr>
          <w:b/>
        </w:rPr>
      </w:pPr>
    </w:p>
    <w:p w14:paraId="66AE60C9" w14:textId="380027EC" w:rsidR="000C626C" w:rsidRDefault="000C626C" w:rsidP="000C626C">
      <w:pPr>
        <w:spacing w:line="360" w:lineRule="auto"/>
        <w:jc w:val="both"/>
        <w:rPr>
          <w:b/>
        </w:rPr>
      </w:pPr>
      <w:r>
        <w:rPr>
          <w:b/>
          <w:noProof/>
        </w:rPr>
        <w:drawing>
          <wp:inline distT="0" distB="0" distL="0" distR="0" wp14:anchorId="2C1CE5AE" wp14:editId="6BA420BF">
            <wp:extent cx="5711143" cy="3502660"/>
            <wp:effectExtent l="0" t="0" r="4445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4814" cy="352331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DF6BCDA" w14:textId="77777777" w:rsidR="00A4594D" w:rsidRDefault="00A4594D" w:rsidP="000C626C">
      <w:pPr>
        <w:spacing w:line="360" w:lineRule="auto"/>
        <w:jc w:val="both"/>
        <w:rPr>
          <w:b/>
        </w:rPr>
      </w:pPr>
    </w:p>
    <w:p w14:paraId="38408F7B" w14:textId="625924AB" w:rsidR="000C626C" w:rsidRDefault="000C626C" w:rsidP="000C626C">
      <w:pPr>
        <w:spacing w:line="360" w:lineRule="auto"/>
        <w:jc w:val="both"/>
        <w:rPr>
          <w:b/>
          <w:color w:val="000000"/>
        </w:rPr>
      </w:pPr>
      <w:r>
        <w:rPr>
          <w:b/>
        </w:rPr>
        <w:lastRenderedPageBreak/>
        <w:t xml:space="preserve">Supplementary Table 2 Reproducibility of </w:t>
      </w:r>
      <w:r>
        <w:rPr>
          <w:b/>
          <w:color w:val="000000"/>
        </w:rPr>
        <w:t xml:space="preserve">novel </w:t>
      </w:r>
      <w:proofErr w:type="spellStart"/>
      <w:r>
        <w:rPr>
          <w:b/>
          <w:color w:val="000000"/>
        </w:rPr>
        <w:t>cELISA</w:t>
      </w:r>
      <w:proofErr w:type="spellEnd"/>
    </w:p>
    <w:p w14:paraId="1FCD2A4B" w14:textId="77777777" w:rsidR="000C626C" w:rsidRDefault="000C626C" w:rsidP="000C626C">
      <w:pPr>
        <w:spacing w:line="360" w:lineRule="auto"/>
        <w:jc w:val="both"/>
        <w:rPr>
          <w:b/>
          <w:color w:val="000000"/>
        </w:rPr>
      </w:pPr>
    </w:p>
    <w:p w14:paraId="62D97860" w14:textId="6ED335C1" w:rsidR="000C626C" w:rsidRDefault="00A4594D" w:rsidP="000C626C">
      <w:pPr>
        <w:spacing w:line="360" w:lineRule="auto"/>
        <w:jc w:val="both"/>
        <w:rPr>
          <w:b/>
        </w:rPr>
      </w:pPr>
      <w:r>
        <w:rPr>
          <w:b/>
          <w:noProof/>
        </w:rPr>
        <w:drawing>
          <wp:inline distT="0" distB="0" distL="0" distR="0" wp14:anchorId="2CBF103D" wp14:editId="282CF997">
            <wp:extent cx="4974821" cy="6791960"/>
            <wp:effectExtent l="0" t="0" r="0" b="0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86977" cy="680855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CF63602" w14:textId="77777777" w:rsidR="00A4594D" w:rsidRDefault="00A4594D" w:rsidP="000C626C">
      <w:pPr>
        <w:spacing w:line="360" w:lineRule="auto"/>
        <w:jc w:val="both"/>
        <w:rPr>
          <w:b/>
        </w:rPr>
      </w:pPr>
    </w:p>
    <w:p w14:paraId="0F496162" w14:textId="77777777" w:rsidR="006358BE" w:rsidRDefault="006358BE" w:rsidP="000C626C">
      <w:pPr>
        <w:spacing w:line="360" w:lineRule="auto"/>
        <w:jc w:val="both"/>
        <w:rPr>
          <w:b/>
        </w:rPr>
      </w:pPr>
    </w:p>
    <w:p w14:paraId="57A69E47" w14:textId="77777777" w:rsidR="006358BE" w:rsidRDefault="006358BE" w:rsidP="000C626C">
      <w:pPr>
        <w:spacing w:line="360" w:lineRule="auto"/>
        <w:jc w:val="both"/>
        <w:rPr>
          <w:b/>
        </w:rPr>
      </w:pPr>
    </w:p>
    <w:p w14:paraId="777C7E37" w14:textId="77777777" w:rsidR="006358BE" w:rsidRDefault="006358BE" w:rsidP="000C626C">
      <w:pPr>
        <w:spacing w:line="360" w:lineRule="auto"/>
        <w:jc w:val="both"/>
        <w:rPr>
          <w:b/>
        </w:rPr>
      </w:pPr>
    </w:p>
    <w:p w14:paraId="7B053F89" w14:textId="77777777" w:rsidR="006358BE" w:rsidRDefault="006358BE" w:rsidP="000C626C">
      <w:pPr>
        <w:spacing w:line="360" w:lineRule="auto"/>
        <w:jc w:val="both"/>
        <w:rPr>
          <w:b/>
        </w:rPr>
      </w:pPr>
    </w:p>
    <w:p w14:paraId="46A1143B" w14:textId="1C12098E" w:rsidR="000C626C" w:rsidRDefault="000C626C" w:rsidP="000C626C">
      <w:pPr>
        <w:spacing w:line="360" w:lineRule="auto"/>
        <w:jc w:val="both"/>
      </w:pPr>
      <w:r>
        <w:rPr>
          <w:b/>
        </w:rPr>
        <w:lastRenderedPageBreak/>
        <w:t xml:space="preserve">Supplementary Table 3 </w:t>
      </w:r>
      <w:r w:rsidRPr="006B7775">
        <w:rPr>
          <w:b/>
        </w:rPr>
        <w:t>Agreements of the</w:t>
      </w:r>
      <w:r>
        <w:rPr>
          <w:b/>
        </w:rPr>
        <w:t xml:space="preserve"> </w:t>
      </w:r>
      <w:proofErr w:type="spellStart"/>
      <w:r w:rsidRPr="006B7775">
        <w:rPr>
          <w:b/>
        </w:rPr>
        <w:t>cELISA</w:t>
      </w:r>
      <w:proofErr w:type="spellEnd"/>
      <w:r w:rsidRPr="006B7775">
        <w:rPr>
          <w:b/>
        </w:rPr>
        <w:t xml:space="preserve"> with a commercial ELISA</w:t>
      </w:r>
      <w:r>
        <w:rPr>
          <w:b/>
        </w:rPr>
        <w:t xml:space="preserve"> with samples from different species</w:t>
      </w:r>
    </w:p>
    <w:p w14:paraId="2C920695" w14:textId="77777777" w:rsidR="000C626C" w:rsidRPr="006C3059" w:rsidRDefault="000C626C" w:rsidP="000C626C">
      <w:pPr>
        <w:spacing w:line="360" w:lineRule="auto"/>
        <w:rPr>
          <w:color w:val="000000"/>
          <w:lang w:val="es-US"/>
        </w:rPr>
      </w:pPr>
      <w:r>
        <w:rPr>
          <w:noProof/>
          <w:lang w:val="es-AR"/>
        </w:rPr>
        <w:drawing>
          <wp:inline distT="0" distB="0" distL="0" distR="0" wp14:anchorId="7F5400E4" wp14:editId="54B32F60">
            <wp:extent cx="3518535" cy="8028933"/>
            <wp:effectExtent l="0" t="0" r="5715" b="0"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/>
                    <pic:cNvPicPr>
                      <a:picLocks noChangeAspect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40555" cy="807918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color w:val="000000"/>
          <w:lang w:val="es-US"/>
        </w:rPr>
        <w:fldChar w:fldCharType="begin"/>
      </w:r>
      <w:r>
        <w:rPr>
          <w:color w:val="000000"/>
          <w:lang w:val="es-US"/>
        </w:rPr>
        <w:instrText xml:space="preserve"> ADDIN </w:instrText>
      </w:r>
      <w:r>
        <w:rPr>
          <w:color w:val="000000"/>
          <w:lang w:val="es-US"/>
        </w:rPr>
        <w:fldChar w:fldCharType="end"/>
      </w:r>
    </w:p>
    <w:p w14:paraId="720F7BC2" w14:textId="77777777" w:rsidR="00396ABF" w:rsidRDefault="00396ABF" w:rsidP="00AC4051">
      <w:pPr>
        <w:rPr>
          <w:b/>
          <w:u w:val="single"/>
        </w:rPr>
      </w:pPr>
    </w:p>
    <w:p w14:paraId="72926345" w14:textId="77777777" w:rsidR="00A4594D" w:rsidRDefault="00A4594D" w:rsidP="00AC4051">
      <w:pPr>
        <w:rPr>
          <w:b/>
          <w:u w:val="single"/>
        </w:rPr>
      </w:pPr>
    </w:p>
    <w:p w14:paraId="43030AD2" w14:textId="77777777" w:rsidR="00A4594D" w:rsidRDefault="00A4594D" w:rsidP="00AC4051">
      <w:pPr>
        <w:rPr>
          <w:b/>
          <w:u w:val="single"/>
        </w:rPr>
      </w:pPr>
    </w:p>
    <w:p w14:paraId="1D0D1457" w14:textId="77777777" w:rsidR="00A4594D" w:rsidRDefault="00A4594D" w:rsidP="00AC4051">
      <w:pPr>
        <w:rPr>
          <w:b/>
          <w:u w:val="single"/>
        </w:rPr>
      </w:pPr>
    </w:p>
    <w:p w14:paraId="605F4708" w14:textId="0A348CE0" w:rsidR="002D0D0C" w:rsidRPr="002D0D0C" w:rsidRDefault="002D0D0C" w:rsidP="00AC4051">
      <w:pPr>
        <w:rPr>
          <w:b/>
          <w:u w:val="single"/>
        </w:rPr>
      </w:pPr>
      <w:r w:rsidRPr="002D0D0C">
        <w:rPr>
          <w:b/>
          <w:u w:val="single"/>
        </w:rPr>
        <w:t>Unmodified gels</w:t>
      </w:r>
    </w:p>
    <w:p w14:paraId="2C04D9AF" w14:textId="4370FB23" w:rsidR="00AC4051" w:rsidRDefault="00AC4051" w:rsidP="002D0D0C">
      <w:pPr>
        <w:spacing w:before="240"/>
      </w:pPr>
      <w:r>
        <w:rPr>
          <w:b/>
        </w:rPr>
        <w:t>Supplementary Figure S1.</w:t>
      </w:r>
    </w:p>
    <w:p w14:paraId="4ED56446" w14:textId="5CB1D8CE" w:rsidR="00AC4051" w:rsidRDefault="002D0D0C" w:rsidP="00AC4051">
      <w:r>
        <w:rPr>
          <w:noProof/>
        </w:rPr>
        <w:drawing>
          <wp:inline distT="0" distB="0" distL="0" distR="0" wp14:anchorId="71D33CE6" wp14:editId="1E03A753">
            <wp:extent cx="3067663" cy="2012614"/>
            <wp:effectExtent l="0" t="0" r="0" b="6985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80000" cy="202070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98573AA" w14:textId="77777777" w:rsidR="002D0D0C" w:rsidRDefault="002D0D0C" w:rsidP="00AC4051"/>
    <w:p w14:paraId="71767D2C" w14:textId="1E2BA8C0" w:rsidR="002D0D0C" w:rsidRDefault="002D0D0C" w:rsidP="00AC4051">
      <w:r w:rsidRPr="002D0D0C">
        <w:t>(</w:t>
      </w:r>
      <w:r w:rsidR="00AC4051" w:rsidRPr="00AC4051">
        <w:rPr>
          <w:b/>
          <w:bCs/>
        </w:rPr>
        <w:t>A</w:t>
      </w:r>
      <w:r w:rsidRPr="002D0D0C">
        <w:t>)</w:t>
      </w:r>
      <w:r w:rsidR="00AC4051">
        <w:t xml:space="preserve"> SDS-PAGE and Coomassie blue staining showing the expression and purification of the recombinant HEV-3 ORF2 protein. </w:t>
      </w:r>
      <w:r>
        <w:t>FT: flow through, W: wash, and E: elution.</w:t>
      </w:r>
    </w:p>
    <w:p w14:paraId="2463C557" w14:textId="77777777" w:rsidR="002D0D0C" w:rsidRDefault="002D0D0C" w:rsidP="00AC4051"/>
    <w:p w14:paraId="1B1CBE3F" w14:textId="4C580660" w:rsidR="00563EB5" w:rsidRDefault="00563EB5" w:rsidP="00AC4051">
      <w:r>
        <w:rPr>
          <w:noProof/>
        </w:rPr>
        <w:drawing>
          <wp:inline distT="0" distB="0" distL="0" distR="0" wp14:anchorId="38DB3B1E" wp14:editId="3AC5F082">
            <wp:extent cx="5472959" cy="2971800"/>
            <wp:effectExtent l="0" t="0" r="0" b="0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7373" cy="297962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E478584" w14:textId="77777777" w:rsidR="002D0D0C" w:rsidRDefault="002D0D0C" w:rsidP="00AC4051"/>
    <w:p w14:paraId="61565933" w14:textId="2E80BB6C" w:rsidR="00AC4051" w:rsidRDefault="002D0D0C" w:rsidP="00AC4051">
      <w:r w:rsidRPr="002D0D0C">
        <w:t>(</w:t>
      </w:r>
      <w:r w:rsidR="002F0428">
        <w:rPr>
          <w:b/>
          <w:bCs/>
        </w:rPr>
        <w:t>D</w:t>
      </w:r>
      <w:r w:rsidRPr="002D0D0C">
        <w:t>)</w:t>
      </w:r>
      <w:r>
        <w:t xml:space="preserve"> </w:t>
      </w:r>
      <w:r w:rsidR="00AC4051">
        <w:t>Agarose gel showing the ~700 bp PCR fragments corresponding to VHHs of variable size amplified from randomly picked individual colonies.</w:t>
      </w:r>
    </w:p>
    <w:p w14:paraId="23253120" w14:textId="77777777" w:rsidR="00AC4051" w:rsidRDefault="00AC4051"/>
    <w:p w14:paraId="6ACECFA9" w14:textId="77777777" w:rsidR="002D0D0C" w:rsidRDefault="002D0D0C" w:rsidP="002D0D0C">
      <w:pPr>
        <w:spacing w:before="240" w:line="360" w:lineRule="auto"/>
        <w:jc w:val="both"/>
        <w:rPr>
          <w:b/>
        </w:rPr>
      </w:pPr>
      <w:r>
        <w:rPr>
          <w:b/>
        </w:rPr>
        <w:t xml:space="preserve">Supplementary Figure S2. </w:t>
      </w:r>
    </w:p>
    <w:p w14:paraId="4F9E6EEC" w14:textId="5E0A144E" w:rsidR="006358BE" w:rsidRDefault="006358BE" w:rsidP="002D0D0C">
      <w:pPr>
        <w:spacing w:before="240" w:line="360" w:lineRule="auto"/>
        <w:jc w:val="both"/>
      </w:pPr>
      <w:r>
        <w:rPr>
          <w:noProof/>
        </w:rPr>
        <w:lastRenderedPageBreak/>
        <w:drawing>
          <wp:inline distT="0" distB="0" distL="0" distR="0" wp14:anchorId="21899F11" wp14:editId="619E966A">
            <wp:extent cx="5643033" cy="1377950"/>
            <wp:effectExtent l="0" t="0" r="0" b="0"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 rotWithShape="1"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32663"/>
                    <a:stretch/>
                  </pic:blipFill>
                  <pic:spPr bwMode="auto">
                    <a:xfrm>
                      <a:off x="0" y="0"/>
                      <a:ext cx="5781395" cy="14117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4CB6F4E" w14:textId="77777777" w:rsidR="002D0D0C" w:rsidRDefault="002D0D0C" w:rsidP="002D0D0C">
      <w:pPr>
        <w:spacing w:before="240" w:line="360" w:lineRule="auto"/>
        <w:jc w:val="both"/>
      </w:pPr>
      <w:r>
        <w:t>(</w:t>
      </w:r>
      <w:r>
        <w:rPr>
          <w:b/>
        </w:rPr>
        <w:t>A</w:t>
      </w:r>
      <w:r>
        <w:t xml:space="preserve">) Total RNA extracted from llama lymphocytes (sample 1 and 4) was reversed transcribed into cDNA and used as templates for the nested PCR. </w:t>
      </w:r>
    </w:p>
    <w:p w14:paraId="71F649BB" w14:textId="77777777" w:rsidR="002D0D0C" w:rsidRDefault="002D0D0C" w:rsidP="006358BE">
      <w:pPr>
        <w:spacing w:line="360" w:lineRule="auto"/>
        <w:jc w:val="both"/>
      </w:pPr>
      <w:r>
        <w:t>(</w:t>
      </w:r>
      <w:r>
        <w:rPr>
          <w:b/>
        </w:rPr>
        <w:t>B</w:t>
      </w:r>
      <w:r>
        <w:t xml:space="preserve">) First PCR, a fragment of ~700 bp representing the heavy chain–only antibody repertoire and a fragment of 1,000 bp corresponding to the heavy chain of the conventional antibodies were obtained. </w:t>
      </w:r>
    </w:p>
    <w:p w14:paraId="07B8CDDB" w14:textId="30F63FB1" w:rsidR="002D0D0C" w:rsidRDefault="002D0D0C" w:rsidP="006358BE">
      <w:pPr>
        <w:spacing w:line="360" w:lineRule="auto"/>
        <w:jc w:val="both"/>
      </w:pPr>
      <w:r>
        <w:t>(</w:t>
      </w:r>
      <w:r>
        <w:rPr>
          <w:b/>
        </w:rPr>
        <w:t>C</w:t>
      </w:r>
      <w:r>
        <w:t>) The band of 700 bp was isolated and used as template for the second PCR, a fragment of 400 bp, corresponding to the VHHs was observed.</w:t>
      </w:r>
    </w:p>
    <w:p w14:paraId="33A9AFEE" w14:textId="77777777" w:rsidR="002D0D0C" w:rsidRDefault="002D0D0C"/>
    <w:p w14:paraId="690022F5" w14:textId="77777777" w:rsidR="002D0D0C" w:rsidRDefault="002D0D0C">
      <w:r>
        <w:rPr>
          <w:b/>
          <w:bCs/>
        </w:rPr>
        <w:t>Supplementary Figure S4</w:t>
      </w:r>
      <w:r>
        <w:t xml:space="preserve">. </w:t>
      </w:r>
    </w:p>
    <w:p w14:paraId="7B919615" w14:textId="77777777" w:rsidR="002D0D0C" w:rsidRDefault="002D0D0C"/>
    <w:p w14:paraId="317C265D" w14:textId="52B39AA8" w:rsidR="002D0D0C" w:rsidRDefault="00F6404A">
      <w:r>
        <w:rPr>
          <w:noProof/>
        </w:rPr>
        <w:drawing>
          <wp:inline distT="0" distB="0" distL="0" distR="0" wp14:anchorId="18C89441" wp14:editId="6110D445">
            <wp:extent cx="4191440" cy="2087131"/>
            <wp:effectExtent l="0" t="0" r="0" b="889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26279" cy="210447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109B530" w14:textId="77777777" w:rsidR="002D0D0C" w:rsidRDefault="002D0D0C"/>
    <w:p w14:paraId="7172E381" w14:textId="2BD0D836" w:rsidR="00B93AE6" w:rsidRDefault="00B93AE6" w:rsidP="00B93AE6">
      <w:r>
        <w:t>(</w:t>
      </w:r>
      <w:r>
        <w:rPr>
          <w:b/>
        </w:rPr>
        <w:t>A</w:t>
      </w:r>
      <w:r>
        <w:t xml:space="preserve">) </w:t>
      </w:r>
      <w:r w:rsidR="002D0D0C">
        <w:t xml:space="preserve">Ten </w:t>
      </w:r>
      <w:proofErr w:type="spellStart"/>
      <w:r w:rsidR="002D0D0C">
        <w:t>Nbs</w:t>
      </w:r>
      <w:proofErr w:type="spellEnd"/>
      <w:r w:rsidR="002D0D0C">
        <w:t xml:space="preserve"> (two different clones for each Nb) were analyzed by SDS-PAGE and Western blot, proteins with small differences in size were observed. </w:t>
      </w:r>
    </w:p>
    <w:p w14:paraId="73DAA607" w14:textId="77777777" w:rsidR="00B93AE6" w:rsidRDefault="00B93AE6" w:rsidP="00B93AE6"/>
    <w:p w14:paraId="726CDA38" w14:textId="549CE137" w:rsidR="00F6404A" w:rsidRDefault="00B93AE6">
      <w:r>
        <w:rPr>
          <w:noProof/>
        </w:rPr>
        <w:lastRenderedPageBreak/>
        <w:drawing>
          <wp:inline distT="0" distB="0" distL="0" distR="0" wp14:anchorId="789BFE5B" wp14:editId="11CF1EF0">
            <wp:extent cx="5160475" cy="4986163"/>
            <wp:effectExtent l="0" t="0" r="0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 rotWithShape="1"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808" r="15007"/>
                    <a:stretch/>
                  </pic:blipFill>
                  <pic:spPr bwMode="auto">
                    <a:xfrm>
                      <a:off x="0" y="0"/>
                      <a:ext cx="5183825" cy="50087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C3E18B7" w14:textId="22A8370F" w:rsidR="00F6404A" w:rsidRDefault="00F6404A"/>
    <w:p w14:paraId="443F939C" w14:textId="1764AC99" w:rsidR="002D0D0C" w:rsidRDefault="002D0D0C">
      <w:r>
        <w:rPr>
          <w:b/>
          <w:bCs/>
        </w:rPr>
        <w:t>(B)</w:t>
      </w:r>
      <w:r>
        <w:t xml:space="preserve"> Purification of 6 </w:t>
      </w:r>
      <w:proofErr w:type="spellStart"/>
      <w:r>
        <w:t>Nbs</w:t>
      </w:r>
      <w:proofErr w:type="spellEnd"/>
      <w:r>
        <w:t xml:space="preserve"> by affinity chromatography (Ni-NTA resin), FT: flow through, W: wash, and E: elution.</w:t>
      </w:r>
    </w:p>
    <w:sectPr w:rsidR="002D0D0C" w:rsidSect="006B7775">
      <w:footerReference w:type="default" r:id="rId20"/>
      <w:pgSz w:w="11909" w:h="16834"/>
      <w:pgMar w:top="1440" w:right="1440" w:bottom="1440" w:left="1440" w:header="720" w:footer="720" w:gutter="0"/>
      <w:lnNumType w:countBy="1" w:restart="continuous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FDFC204" w14:textId="77777777" w:rsidR="0032269C" w:rsidRDefault="0032269C">
      <w:pPr>
        <w:spacing w:line="240" w:lineRule="auto"/>
      </w:pPr>
      <w:r>
        <w:separator/>
      </w:r>
    </w:p>
  </w:endnote>
  <w:endnote w:type="continuationSeparator" w:id="0">
    <w:p w14:paraId="50B798CD" w14:textId="77777777" w:rsidR="0032269C" w:rsidRDefault="0032269C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205852644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792D5C26" w14:textId="77777777" w:rsidR="00490A1C" w:rsidRDefault="00000000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24</w:t>
        </w:r>
        <w:r>
          <w:rPr>
            <w:noProof/>
          </w:rPr>
          <w:fldChar w:fldCharType="end"/>
        </w:r>
      </w:p>
    </w:sdtContent>
  </w:sdt>
  <w:p w14:paraId="5C351BAF" w14:textId="77777777" w:rsidR="00490A1C" w:rsidRDefault="0000000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ABE71BD" w14:textId="77777777" w:rsidR="0032269C" w:rsidRDefault="0032269C">
      <w:pPr>
        <w:spacing w:line="240" w:lineRule="auto"/>
      </w:pPr>
      <w:r>
        <w:separator/>
      </w:r>
    </w:p>
  </w:footnote>
  <w:footnote w:type="continuationSeparator" w:id="0">
    <w:p w14:paraId="4ED5868F" w14:textId="77777777" w:rsidR="0032269C" w:rsidRDefault="0032269C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1410E94"/>
    <w:multiLevelType w:val="hybridMultilevel"/>
    <w:tmpl w:val="A3CEC104"/>
    <w:lvl w:ilvl="0" w:tplc="291682A6">
      <w:start w:val="1"/>
      <w:numFmt w:val="upperLetter"/>
      <w:lvlText w:val="%1."/>
      <w:lvlJc w:val="left"/>
      <w:pPr>
        <w:ind w:left="720" w:hanging="360"/>
      </w:pPr>
      <w:rPr>
        <w:rFonts w:hint="default"/>
        <w:b/>
      </w:rPr>
    </w:lvl>
    <w:lvl w:ilvl="1" w:tplc="2C0A0019" w:tentative="1">
      <w:start w:val="1"/>
      <w:numFmt w:val="lowerLetter"/>
      <w:lvlText w:val="%2."/>
      <w:lvlJc w:val="left"/>
      <w:pPr>
        <w:ind w:left="1440" w:hanging="360"/>
      </w:pPr>
    </w:lvl>
    <w:lvl w:ilvl="2" w:tplc="2C0A001B" w:tentative="1">
      <w:start w:val="1"/>
      <w:numFmt w:val="lowerRoman"/>
      <w:lvlText w:val="%3."/>
      <w:lvlJc w:val="right"/>
      <w:pPr>
        <w:ind w:left="2160" w:hanging="180"/>
      </w:pPr>
    </w:lvl>
    <w:lvl w:ilvl="3" w:tplc="2C0A000F" w:tentative="1">
      <w:start w:val="1"/>
      <w:numFmt w:val="decimal"/>
      <w:lvlText w:val="%4."/>
      <w:lvlJc w:val="left"/>
      <w:pPr>
        <w:ind w:left="2880" w:hanging="360"/>
      </w:pPr>
    </w:lvl>
    <w:lvl w:ilvl="4" w:tplc="2C0A0019" w:tentative="1">
      <w:start w:val="1"/>
      <w:numFmt w:val="lowerLetter"/>
      <w:lvlText w:val="%5."/>
      <w:lvlJc w:val="left"/>
      <w:pPr>
        <w:ind w:left="3600" w:hanging="360"/>
      </w:pPr>
    </w:lvl>
    <w:lvl w:ilvl="5" w:tplc="2C0A001B" w:tentative="1">
      <w:start w:val="1"/>
      <w:numFmt w:val="lowerRoman"/>
      <w:lvlText w:val="%6."/>
      <w:lvlJc w:val="right"/>
      <w:pPr>
        <w:ind w:left="4320" w:hanging="180"/>
      </w:pPr>
    </w:lvl>
    <w:lvl w:ilvl="6" w:tplc="2C0A000F" w:tentative="1">
      <w:start w:val="1"/>
      <w:numFmt w:val="decimal"/>
      <w:lvlText w:val="%7."/>
      <w:lvlJc w:val="left"/>
      <w:pPr>
        <w:ind w:left="5040" w:hanging="360"/>
      </w:pPr>
    </w:lvl>
    <w:lvl w:ilvl="7" w:tplc="2C0A0019" w:tentative="1">
      <w:start w:val="1"/>
      <w:numFmt w:val="lowerLetter"/>
      <w:lvlText w:val="%8."/>
      <w:lvlJc w:val="left"/>
      <w:pPr>
        <w:ind w:left="5760" w:hanging="360"/>
      </w:pPr>
    </w:lvl>
    <w:lvl w:ilvl="8" w:tplc="2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3C27F50"/>
    <w:multiLevelType w:val="hybridMultilevel"/>
    <w:tmpl w:val="E252EBDC"/>
    <w:lvl w:ilvl="0" w:tplc="E0C6BC6A">
      <w:start w:val="1"/>
      <w:numFmt w:val="upperLetter"/>
      <w:lvlText w:val="(%1)"/>
      <w:lvlJc w:val="left"/>
      <w:pPr>
        <w:ind w:left="730" w:hanging="370"/>
      </w:pPr>
      <w:rPr>
        <w:rFonts w:hint="default"/>
        <w:b/>
      </w:rPr>
    </w:lvl>
    <w:lvl w:ilvl="1" w:tplc="2C0A0019" w:tentative="1">
      <w:start w:val="1"/>
      <w:numFmt w:val="lowerLetter"/>
      <w:lvlText w:val="%2."/>
      <w:lvlJc w:val="left"/>
      <w:pPr>
        <w:ind w:left="1440" w:hanging="360"/>
      </w:pPr>
    </w:lvl>
    <w:lvl w:ilvl="2" w:tplc="2C0A001B" w:tentative="1">
      <w:start w:val="1"/>
      <w:numFmt w:val="lowerRoman"/>
      <w:lvlText w:val="%3."/>
      <w:lvlJc w:val="right"/>
      <w:pPr>
        <w:ind w:left="2160" w:hanging="180"/>
      </w:pPr>
    </w:lvl>
    <w:lvl w:ilvl="3" w:tplc="2C0A000F" w:tentative="1">
      <w:start w:val="1"/>
      <w:numFmt w:val="decimal"/>
      <w:lvlText w:val="%4."/>
      <w:lvlJc w:val="left"/>
      <w:pPr>
        <w:ind w:left="2880" w:hanging="360"/>
      </w:pPr>
    </w:lvl>
    <w:lvl w:ilvl="4" w:tplc="2C0A0019" w:tentative="1">
      <w:start w:val="1"/>
      <w:numFmt w:val="lowerLetter"/>
      <w:lvlText w:val="%5."/>
      <w:lvlJc w:val="left"/>
      <w:pPr>
        <w:ind w:left="3600" w:hanging="360"/>
      </w:pPr>
    </w:lvl>
    <w:lvl w:ilvl="5" w:tplc="2C0A001B" w:tentative="1">
      <w:start w:val="1"/>
      <w:numFmt w:val="lowerRoman"/>
      <w:lvlText w:val="%6."/>
      <w:lvlJc w:val="right"/>
      <w:pPr>
        <w:ind w:left="4320" w:hanging="180"/>
      </w:pPr>
    </w:lvl>
    <w:lvl w:ilvl="6" w:tplc="2C0A000F" w:tentative="1">
      <w:start w:val="1"/>
      <w:numFmt w:val="decimal"/>
      <w:lvlText w:val="%7."/>
      <w:lvlJc w:val="left"/>
      <w:pPr>
        <w:ind w:left="5040" w:hanging="360"/>
      </w:pPr>
    </w:lvl>
    <w:lvl w:ilvl="7" w:tplc="2C0A0019" w:tentative="1">
      <w:start w:val="1"/>
      <w:numFmt w:val="lowerLetter"/>
      <w:lvlText w:val="%8."/>
      <w:lvlJc w:val="left"/>
      <w:pPr>
        <w:ind w:left="5760" w:hanging="360"/>
      </w:pPr>
    </w:lvl>
    <w:lvl w:ilvl="8" w:tplc="2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770468772">
    <w:abstractNumId w:val="0"/>
  </w:num>
  <w:num w:numId="2" w16cid:durableId="98346520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C626C"/>
    <w:rsid w:val="00043DB1"/>
    <w:rsid w:val="000C626C"/>
    <w:rsid w:val="002D0D0C"/>
    <w:rsid w:val="002F0428"/>
    <w:rsid w:val="0032269C"/>
    <w:rsid w:val="00394828"/>
    <w:rsid w:val="00396ABF"/>
    <w:rsid w:val="00563EB5"/>
    <w:rsid w:val="006358BE"/>
    <w:rsid w:val="00A4594D"/>
    <w:rsid w:val="00AC4051"/>
    <w:rsid w:val="00B5272F"/>
    <w:rsid w:val="00B93AE6"/>
    <w:rsid w:val="00F640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65A2B16"/>
  <w15:chartTrackingRefBased/>
  <w15:docId w15:val="{6EBA55A9-48F2-44C6-A89C-20EDA13D63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A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C626C"/>
    <w:pPr>
      <w:spacing w:after="0" w:line="276" w:lineRule="auto"/>
    </w:pPr>
    <w:rPr>
      <w:rFonts w:ascii="Arial" w:eastAsia="Arial" w:hAnsi="Arial" w:cs="Arial"/>
      <w:kern w:val="0"/>
      <w:lang w:val="en-US" w:eastAsia="es-AR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0C626C"/>
    <w:pPr>
      <w:tabs>
        <w:tab w:val="center" w:pos="4513"/>
        <w:tab w:val="right" w:pos="9026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C626C"/>
    <w:rPr>
      <w:rFonts w:ascii="Arial" w:eastAsia="Arial" w:hAnsi="Arial" w:cs="Arial"/>
      <w:kern w:val="0"/>
      <w:lang w:val="en-US" w:eastAsia="es-AR"/>
      <w14:ligatures w14:val="none"/>
    </w:rPr>
  </w:style>
  <w:style w:type="character" w:styleId="LineNumber">
    <w:name w:val="line number"/>
    <w:basedOn w:val="DefaultParagraphFont"/>
    <w:uiPriority w:val="99"/>
    <w:semiHidden/>
    <w:unhideWhenUsed/>
    <w:rsid w:val="000C626C"/>
  </w:style>
  <w:style w:type="paragraph" w:styleId="ListParagraph">
    <w:name w:val="List Paragraph"/>
    <w:basedOn w:val="Normal"/>
    <w:uiPriority w:val="34"/>
    <w:qFormat/>
    <w:rsid w:val="00AC405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84828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image" Target="media/image12.png"/><Relationship Id="rId3" Type="http://schemas.openxmlformats.org/officeDocument/2006/relationships/settings" Target="settings.xml"/><Relationship Id="rId21" Type="http://schemas.openxmlformats.org/officeDocument/2006/relationships/fontTable" Target="fontTable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image" Target="media/image11.png"/><Relationship Id="rId2" Type="http://schemas.openxmlformats.org/officeDocument/2006/relationships/styles" Target="styles.xml"/><Relationship Id="rId16" Type="http://schemas.openxmlformats.org/officeDocument/2006/relationships/image" Target="media/image10.png"/><Relationship Id="rId20" Type="http://schemas.openxmlformats.org/officeDocument/2006/relationships/footer" Target="footer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emf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10" Type="http://schemas.openxmlformats.org/officeDocument/2006/relationships/image" Target="media/image4.png"/><Relationship Id="rId19" Type="http://schemas.openxmlformats.org/officeDocument/2006/relationships/image" Target="media/image13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163</TotalTime>
  <Pages>8</Pages>
  <Words>612</Words>
  <Characters>3371</Characters>
  <Application>Microsoft Office Word</Application>
  <DocSecurity>0</DocSecurity>
  <Lines>28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Lorena Arce</dc:creator>
  <cp:keywords/>
  <dc:description/>
  <cp:lastModifiedBy>Lore-Net</cp:lastModifiedBy>
  <cp:revision>5</cp:revision>
  <dcterms:created xsi:type="dcterms:W3CDTF">2023-04-17T15:51:00Z</dcterms:created>
  <dcterms:modified xsi:type="dcterms:W3CDTF">2023-05-02T05:30:00Z</dcterms:modified>
</cp:coreProperties>
</file>