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3CB40" w14:textId="77777777" w:rsidR="001B5F79" w:rsidRPr="001B5F79" w:rsidRDefault="001B5F79" w:rsidP="001B5F79">
      <w:pPr>
        <w:rPr>
          <w:rFonts w:ascii="Cambria" w:hAnsi="Cambria"/>
          <w:b/>
          <w:bCs/>
          <w:sz w:val="24"/>
          <w:szCs w:val="24"/>
        </w:rPr>
      </w:pPr>
      <w:r w:rsidRPr="001B5F79">
        <w:rPr>
          <w:rFonts w:ascii="Cambria" w:hAnsi="Cambria"/>
          <w:b/>
          <w:bCs/>
          <w:sz w:val="24"/>
          <w:szCs w:val="24"/>
        </w:rPr>
        <w:t>Supplementary files</w:t>
      </w:r>
    </w:p>
    <w:p w14:paraId="61DB01FD" w14:textId="52B70974" w:rsidR="001B5F79" w:rsidRPr="00392497" w:rsidRDefault="001B5F79" w:rsidP="001B5F79">
      <w:pPr>
        <w:rPr>
          <w:rFonts w:ascii="Cambria" w:hAnsi="Cambria"/>
          <w:i/>
          <w:iCs/>
          <w:sz w:val="24"/>
          <w:szCs w:val="24"/>
        </w:rPr>
      </w:pPr>
      <w:r w:rsidRPr="00392497">
        <w:rPr>
          <w:rFonts w:ascii="Cambria" w:hAnsi="Cambria"/>
          <w:i/>
          <w:iCs/>
          <w:sz w:val="24"/>
          <w:szCs w:val="24"/>
        </w:rPr>
        <w:t>Table 3</w:t>
      </w:r>
      <w:r w:rsidR="00392497">
        <w:rPr>
          <w:rFonts w:ascii="Cambria" w:hAnsi="Cambria"/>
          <w:i/>
          <w:iCs/>
          <w:sz w:val="24"/>
          <w:szCs w:val="24"/>
        </w:rPr>
        <w:t>.</w:t>
      </w:r>
      <w:r w:rsidRPr="00392497">
        <w:rPr>
          <w:rFonts w:ascii="Cambria" w:hAnsi="Cambria"/>
          <w:i/>
          <w:iCs/>
          <w:sz w:val="24"/>
          <w:szCs w:val="24"/>
        </w:rPr>
        <w:t xml:space="preserve"> Independent variable coefficients in multiple linear regression models for estimating umbilical artery pH.</w:t>
      </w:r>
    </w:p>
    <w:p w14:paraId="29E83787" w14:textId="3DC09E0B" w:rsidR="001B5F79" w:rsidRPr="00392497" w:rsidRDefault="001B5F79" w:rsidP="001B5F79">
      <w:pPr>
        <w:rPr>
          <w:rFonts w:ascii="Cambria" w:hAnsi="Cambria"/>
          <w:i/>
          <w:iCs/>
          <w:sz w:val="24"/>
          <w:szCs w:val="24"/>
        </w:rPr>
      </w:pPr>
      <w:r w:rsidRPr="00392497">
        <w:rPr>
          <w:rFonts w:ascii="Cambria" w:hAnsi="Cambria"/>
          <w:i/>
          <w:iCs/>
          <w:sz w:val="24"/>
          <w:szCs w:val="24"/>
        </w:rPr>
        <w:t>Table 4</w:t>
      </w:r>
      <w:r w:rsidR="00392497">
        <w:rPr>
          <w:rFonts w:ascii="Cambria" w:hAnsi="Cambria"/>
          <w:i/>
          <w:iCs/>
          <w:sz w:val="24"/>
          <w:szCs w:val="24"/>
        </w:rPr>
        <w:t>.</w:t>
      </w:r>
      <w:r w:rsidRPr="00392497">
        <w:rPr>
          <w:rFonts w:ascii="Cambria" w:hAnsi="Cambria"/>
          <w:i/>
          <w:iCs/>
          <w:sz w:val="24"/>
          <w:szCs w:val="24"/>
        </w:rPr>
        <w:t xml:space="preserve"> Model fit comparison for determining umbilical artery pH by multiple linear regression.</w:t>
      </w:r>
    </w:p>
    <w:p w14:paraId="757B8569" w14:textId="0A28979D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73FF8016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  <w:r w:rsidRPr="001B5F79">
        <w:rPr>
          <w:rFonts w:ascii="Cambria" w:hAnsi="Cambria"/>
          <w:b/>
          <w:bCs/>
          <w:sz w:val="24"/>
          <w:szCs w:val="24"/>
        </w:rPr>
        <w:t>Tab. 3</w:t>
      </w:r>
      <w:r w:rsidRPr="001B5F79">
        <w:rPr>
          <w:rFonts w:ascii="Cambria" w:hAnsi="Cambria"/>
          <w:sz w:val="24"/>
          <w:szCs w:val="24"/>
        </w:rPr>
        <w:t>.</w:t>
      </w:r>
      <w:r w:rsidRPr="001B5F79">
        <w:rPr>
          <w:rFonts w:ascii="Cambria" w:hAnsi="Cambria"/>
          <w:i/>
          <w:iCs/>
          <w:sz w:val="24"/>
          <w:szCs w:val="24"/>
        </w:rPr>
        <w:t xml:space="preserve"> Independent variable coefficients in multiple linear regression models for estimating umbilical artery pH.</w:t>
      </w:r>
    </w:p>
    <w:tbl>
      <w:tblPr>
        <w:tblStyle w:val="TableGrid"/>
        <w:tblpPr w:leftFromText="180" w:rightFromText="180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1057"/>
        <w:gridCol w:w="1528"/>
        <w:gridCol w:w="1850"/>
        <w:gridCol w:w="1577"/>
        <w:gridCol w:w="797"/>
        <w:gridCol w:w="841"/>
        <w:gridCol w:w="1412"/>
      </w:tblGrid>
      <w:tr w:rsidR="001B5F79" w:rsidRPr="001B5F79" w14:paraId="3170D7D5" w14:textId="77777777" w:rsidTr="007E6B72">
        <w:trPr>
          <w:trHeight w:val="737"/>
        </w:trPr>
        <w:tc>
          <w:tcPr>
            <w:tcW w:w="1013" w:type="dxa"/>
            <w:vMerge w:val="restart"/>
            <w:vAlign w:val="center"/>
          </w:tcPr>
          <w:p w14:paraId="2BE1AEA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Model</w:t>
            </w:r>
          </w:p>
        </w:tc>
        <w:tc>
          <w:tcPr>
            <w:tcW w:w="1403" w:type="dxa"/>
            <w:vMerge w:val="restart"/>
            <w:vAlign w:val="center"/>
          </w:tcPr>
          <w:p w14:paraId="0BF6DEDE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Independent Variable</w:t>
            </w:r>
          </w:p>
        </w:tc>
        <w:tc>
          <w:tcPr>
            <w:tcW w:w="1723" w:type="dxa"/>
            <w:tcBorders>
              <w:right w:val="single" w:sz="4" w:space="0" w:color="000000"/>
            </w:tcBorders>
            <w:vAlign w:val="center"/>
          </w:tcPr>
          <w:p w14:paraId="18D0B115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Unstandardized Cofficients</w:t>
            </w:r>
          </w:p>
        </w:tc>
        <w:tc>
          <w:tcPr>
            <w:tcW w:w="1470" w:type="dxa"/>
            <w:tcBorders>
              <w:left w:val="single" w:sz="4" w:space="0" w:color="000000"/>
            </w:tcBorders>
            <w:vAlign w:val="center"/>
          </w:tcPr>
          <w:p w14:paraId="19264295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Standardized Cofficients</w:t>
            </w:r>
          </w:p>
        </w:tc>
        <w:tc>
          <w:tcPr>
            <w:tcW w:w="884" w:type="dxa"/>
            <w:vMerge w:val="restart"/>
            <w:vAlign w:val="center"/>
          </w:tcPr>
          <w:p w14:paraId="6BD4FA5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t</w:t>
            </w:r>
          </w:p>
        </w:tc>
        <w:tc>
          <w:tcPr>
            <w:tcW w:w="756" w:type="dxa"/>
            <w:vMerge w:val="restart"/>
            <w:vAlign w:val="center"/>
          </w:tcPr>
          <w:p w14:paraId="6494958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Sig</w:t>
            </w:r>
          </w:p>
        </w:tc>
        <w:tc>
          <w:tcPr>
            <w:tcW w:w="1393" w:type="dxa"/>
            <w:tcBorders>
              <w:right w:val="single" w:sz="4" w:space="0" w:color="000000"/>
            </w:tcBorders>
            <w:vAlign w:val="center"/>
          </w:tcPr>
          <w:p w14:paraId="33391F4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Collinearity Statistics</w:t>
            </w:r>
          </w:p>
        </w:tc>
      </w:tr>
      <w:tr w:rsidR="001B5F79" w:rsidRPr="001B5F79" w14:paraId="266798E4" w14:textId="77777777" w:rsidTr="007E6B72">
        <w:trPr>
          <w:trHeight w:val="165"/>
        </w:trPr>
        <w:tc>
          <w:tcPr>
            <w:tcW w:w="1013" w:type="dxa"/>
            <w:vMerge/>
            <w:vAlign w:val="center"/>
          </w:tcPr>
          <w:p w14:paraId="5114CA57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03" w:type="dxa"/>
            <w:vMerge/>
            <w:vAlign w:val="center"/>
          </w:tcPr>
          <w:p w14:paraId="25A33BC8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023928C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B</w:t>
            </w:r>
          </w:p>
        </w:tc>
        <w:tc>
          <w:tcPr>
            <w:tcW w:w="1470" w:type="dxa"/>
            <w:vAlign w:val="center"/>
          </w:tcPr>
          <w:p w14:paraId="65DDE17C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Beta</w:t>
            </w:r>
          </w:p>
        </w:tc>
        <w:tc>
          <w:tcPr>
            <w:tcW w:w="884" w:type="dxa"/>
            <w:vMerge/>
            <w:vAlign w:val="center"/>
          </w:tcPr>
          <w:p w14:paraId="0C203CA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14:paraId="4BC46F2C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49E9B8E9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VIF</w:t>
            </w:r>
          </w:p>
        </w:tc>
      </w:tr>
      <w:tr w:rsidR="001B5F79" w:rsidRPr="001B5F79" w14:paraId="29F4D264" w14:textId="77777777" w:rsidTr="007E6B72">
        <w:trPr>
          <w:trHeight w:val="737"/>
        </w:trPr>
        <w:tc>
          <w:tcPr>
            <w:tcW w:w="1013" w:type="dxa"/>
            <w:vAlign w:val="center"/>
          </w:tcPr>
          <w:p w14:paraId="6F6118EC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</w:t>
            </w:r>
          </w:p>
        </w:tc>
        <w:tc>
          <w:tcPr>
            <w:tcW w:w="1403" w:type="dxa"/>
            <w:vAlign w:val="center"/>
          </w:tcPr>
          <w:p w14:paraId="7B061B7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</w:t>
            </w:r>
          </w:p>
        </w:tc>
        <w:tc>
          <w:tcPr>
            <w:tcW w:w="1723" w:type="dxa"/>
            <w:vAlign w:val="center"/>
          </w:tcPr>
          <w:p w14:paraId="3459205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-0.048</w:t>
            </w:r>
          </w:p>
        </w:tc>
        <w:tc>
          <w:tcPr>
            <w:tcW w:w="1470" w:type="dxa"/>
            <w:vAlign w:val="center"/>
          </w:tcPr>
          <w:p w14:paraId="5A3B722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-0.770</w:t>
            </w:r>
          </w:p>
        </w:tc>
        <w:tc>
          <w:tcPr>
            <w:tcW w:w="884" w:type="dxa"/>
            <w:vAlign w:val="center"/>
          </w:tcPr>
          <w:p w14:paraId="3597A20E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-13.90</w:t>
            </w:r>
          </w:p>
        </w:tc>
        <w:tc>
          <w:tcPr>
            <w:tcW w:w="756" w:type="dxa"/>
            <w:vAlign w:val="center"/>
          </w:tcPr>
          <w:p w14:paraId="1530C30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  <w:tc>
          <w:tcPr>
            <w:tcW w:w="1393" w:type="dxa"/>
            <w:vAlign w:val="center"/>
          </w:tcPr>
          <w:p w14:paraId="0AB702D8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1.00</w:t>
            </w:r>
          </w:p>
        </w:tc>
      </w:tr>
      <w:tr w:rsidR="001B5F79" w:rsidRPr="001B5F79" w14:paraId="51F8692C" w14:textId="77777777" w:rsidTr="007E6B72">
        <w:trPr>
          <w:trHeight w:val="737"/>
        </w:trPr>
        <w:tc>
          <w:tcPr>
            <w:tcW w:w="1013" w:type="dxa"/>
            <w:vAlign w:val="center"/>
          </w:tcPr>
          <w:p w14:paraId="30380977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UAPI</w:t>
            </w:r>
          </w:p>
        </w:tc>
        <w:tc>
          <w:tcPr>
            <w:tcW w:w="1403" w:type="dxa"/>
            <w:vAlign w:val="center"/>
          </w:tcPr>
          <w:p w14:paraId="70CFEA7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UAPI</w:t>
            </w:r>
          </w:p>
        </w:tc>
        <w:tc>
          <w:tcPr>
            <w:tcW w:w="1723" w:type="dxa"/>
            <w:vAlign w:val="center"/>
          </w:tcPr>
          <w:p w14:paraId="736338C3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-0.090</w:t>
            </w:r>
          </w:p>
        </w:tc>
        <w:tc>
          <w:tcPr>
            <w:tcW w:w="1470" w:type="dxa"/>
            <w:vAlign w:val="center"/>
          </w:tcPr>
          <w:p w14:paraId="40858727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-0.554</w:t>
            </w:r>
          </w:p>
        </w:tc>
        <w:tc>
          <w:tcPr>
            <w:tcW w:w="884" w:type="dxa"/>
            <w:vAlign w:val="center"/>
          </w:tcPr>
          <w:p w14:paraId="5D9EB5D0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- 7.67</w:t>
            </w:r>
          </w:p>
        </w:tc>
        <w:tc>
          <w:tcPr>
            <w:tcW w:w="756" w:type="dxa"/>
            <w:vAlign w:val="center"/>
          </w:tcPr>
          <w:p w14:paraId="2CB1D3D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  <w:tc>
          <w:tcPr>
            <w:tcW w:w="1393" w:type="dxa"/>
            <w:vAlign w:val="center"/>
          </w:tcPr>
          <w:p w14:paraId="3D17B7F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1.00</w:t>
            </w:r>
          </w:p>
        </w:tc>
      </w:tr>
      <w:tr w:rsidR="001B5F79" w:rsidRPr="001B5F79" w14:paraId="4BA4031C" w14:textId="77777777" w:rsidTr="007E6B72">
        <w:trPr>
          <w:trHeight w:val="517"/>
        </w:trPr>
        <w:tc>
          <w:tcPr>
            <w:tcW w:w="1013" w:type="dxa"/>
            <w:vAlign w:val="center"/>
          </w:tcPr>
          <w:p w14:paraId="41E7A7E8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 -UAPI</w:t>
            </w:r>
          </w:p>
        </w:tc>
        <w:tc>
          <w:tcPr>
            <w:tcW w:w="1403" w:type="dxa"/>
            <w:vAlign w:val="center"/>
          </w:tcPr>
          <w:p w14:paraId="6F2150D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</w:t>
            </w:r>
          </w:p>
          <w:p w14:paraId="6C270E9C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UAPI</w:t>
            </w:r>
          </w:p>
        </w:tc>
        <w:tc>
          <w:tcPr>
            <w:tcW w:w="1723" w:type="dxa"/>
            <w:vAlign w:val="center"/>
          </w:tcPr>
          <w:p w14:paraId="31687407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-0.043</w:t>
            </w:r>
          </w:p>
          <w:p w14:paraId="0F38060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-0.069</w:t>
            </w:r>
          </w:p>
        </w:tc>
        <w:tc>
          <w:tcPr>
            <w:tcW w:w="1470" w:type="dxa"/>
            <w:vAlign w:val="center"/>
          </w:tcPr>
          <w:p w14:paraId="734C6AC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-0.689</w:t>
            </w:r>
          </w:p>
          <w:p w14:paraId="55A91029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-0.421</w:t>
            </w:r>
          </w:p>
        </w:tc>
        <w:tc>
          <w:tcPr>
            <w:tcW w:w="884" w:type="dxa"/>
            <w:vAlign w:val="center"/>
          </w:tcPr>
          <w:p w14:paraId="51DDD3D4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-15.95</w:t>
            </w:r>
          </w:p>
          <w:p w14:paraId="46144B2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- 9.76</w:t>
            </w:r>
          </w:p>
        </w:tc>
        <w:tc>
          <w:tcPr>
            <w:tcW w:w="756" w:type="dxa"/>
            <w:vAlign w:val="center"/>
          </w:tcPr>
          <w:p w14:paraId="1394CB0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  <w:p w14:paraId="4E3E730F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  <w:tc>
          <w:tcPr>
            <w:tcW w:w="1393" w:type="dxa"/>
            <w:vAlign w:val="center"/>
          </w:tcPr>
          <w:p w14:paraId="4CD0EF4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1.03</w:t>
            </w:r>
          </w:p>
          <w:p w14:paraId="06782EB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1.03</w:t>
            </w:r>
          </w:p>
        </w:tc>
      </w:tr>
      <w:tr w:rsidR="001B5F79" w:rsidRPr="001B5F79" w14:paraId="08ACDD51" w14:textId="77777777" w:rsidTr="007E6B72">
        <w:trPr>
          <w:trHeight w:val="1106"/>
        </w:trPr>
        <w:tc>
          <w:tcPr>
            <w:tcW w:w="1013" w:type="dxa"/>
            <w:vAlign w:val="center"/>
          </w:tcPr>
          <w:p w14:paraId="6E181599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 -UAPI -</w:t>
            </w:r>
          </w:p>
          <w:p w14:paraId="2D0172E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 xml:space="preserve">PVPI - </w:t>
            </w:r>
          </w:p>
          <w:p w14:paraId="2BA236E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Mode delivery</w:t>
            </w:r>
          </w:p>
        </w:tc>
        <w:tc>
          <w:tcPr>
            <w:tcW w:w="1403" w:type="dxa"/>
            <w:vAlign w:val="center"/>
          </w:tcPr>
          <w:p w14:paraId="09200E3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</w:t>
            </w:r>
          </w:p>
          <w:p w14:paraId="2DCEEBF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UAPI</w:t>
            </w:r>
          </w:p>
          <w:p w14:paraId="76401AB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PVPI</w:t>
            </w:r>
          </w:p>
          <w:p w14:paraId="144E5F43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Mode delivery</w:t>
            </w:r>
          </w:p>
        </w:tc>
        <w:tc>
          <w:tcPr>
            <w:tcW w:w="1723" w:type="dxa"/>
          </w:tcPr>
          <w:p w14:paraId="1DA9536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-0.038</w:t>
            </w:r>
          </w:p>
          <w:p w14:paraId="03F14387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-0.053</w:t>
            </w:r>
          </w:p>
          <w:p w14:paraId="59B852D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-0.035</w:t>
            </w:r>
          </w:p>
          <w:p w14:paraId="0F4F79F9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-0.002</w:t>
            </w:r>
          </w:p>
        </w:tc>
        <w:tc>
          <w:tcPr>
            <w:tcW w:w="1470" w:type="dxa"/>
          </w:tcPr>
          <w:p w14:paraId="7706F3D6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- 0.618</w:t>
            </w:r>
          </w:p>
          <w:p w14:paraId="60C5434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- 0.329</w:t>
            </w:r>
          </w:p>
          <w:p w14:paraId="0AB3531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- 0.175</w:t>
            </w:r>
          </w:p>
          <w:p w14:paraId="1C884239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- 0.016</w:t>
            </w:r>
          </w:p>
        </w:tc>
        <w:tc>
          <w:tcPr>
            <w:tcW w:w="884" w:type="dxa"/>
          </w:tcPr>
          <w:p w14:paraId="32615182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-12.82</w:t>
            </w:r>
          </w:p>
          <w:p w14:paraId="5A80C908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- 6.27</w:t>
            </w:r>
          </w:p>
          <w:p w14:paraId="19AD2BD3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- 2.96</w:t>
            </w:r>
          </w:p>
          <w:p w14:paraId="2376F10E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- 0.36</w:t>
            </w:r>
          </w:p>
        </w:tc>
        <w:tc>
          <w:tcPr>
            <w:tcW w:w="756" w:type="dxa"/>
          </w:tcPr>
          <w:p w14:paraId="250A70C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  <w:p w14:paraId="1C95D2E5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  <w:p w14:paraId="3AC8690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  <w:p w14:paraId="35729A45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B5F79">
              <w:rPr>
                <w:rFonts w:ascii="Cambria" w:hAnsi="Cambria"/>
                <w:b/>
                <w:bCs/>
                <w:sz w:val="24"/>
                <w:szCs w:val="24"/>
              </w:rPr>
              <w:t>0.713</w:t>
            </w:r>
          </w:p>
        </w:tc>
        <w:tc>
          <w:tcPr>
            <w:tcW w:w="1393" w:type="dxa"/>
          </w:tcPr>
          <w:p w14:paraId="089529A7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1.36</w:t>
            </w:r>
          </w:p>
          <w:p w14:paraId="5D6BA450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1.61</w:t>
            </w:r>
          </w:p>
          <w:p w14:paraId="058B7732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2.04</w:t>
            </w:r>
          </w:p>
          <w:p w14:paraId="52685C6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1.04</w:t>
            </w:r>
          </w:p>
        </w:tc>
      </w:tr>
      <w:tr w:rsidR="001B5F79" w:rsidRPr="001B5F79" w14:paraId="28A98B8C" w14:textId="77777777" w:rsidTr="007E6B72">
        <w:trPr>
          <w:trHeight w:val="368"/>
        </w:trPr>
        <w:tc>
          <w:tcPr>
            <w:tcW w:w="1013" w:type="dxa"/>
            <w:vAlign w:val="center"/>
          </w:tcPr>
          <w:p w14:paraId="6AB32B5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 -UAPI -</w:t>
            </w:r>
          </w:p>
          <w:p w14:paraId="76937EC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PVPI</w:t>
            </w:r>
          </w:p>
        </w:tc>
        <w:tc>
          <w:tcPr>
            <w:tcW w:w="1403" w:type="dxa"/>
            <w:vAlign w:val="center"/>
          </w:tcPr>
          <w:p w14:paraId="13746D85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</w:t>
            </w:r>
          </w:p>
          <w:p w14:paraId="749A4248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UAPI</w:t>
            </w:r>
          </w:p>
          <w:p w14:paraId="5CEDC27C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PVPI</w:t>
            </w:r>
          </w:p>
        </w:tc>
        <w:tc>
          <w:tcPr>
            <w:tcW w:w="1723" w:type="dxa"/>
            <w:vAlign w:val="center"/>
          </w:tcPr>
          <w:p w14:paraId="284AF27A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-0.039</w:t>
            </w:r>
          </w:p>
          <w:p w14:paraId="5E450D95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-0.053</w:t>
            </w:r>
          </w:p>
          <w:p w14:paraId="1A26F01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-0.035</w:t>
            </w:r>
          </w:p>
        </w:tc>
        <w:tc>
          <w:tcPr>
            <w:tcW w:w="1470" w:type="dxa"/>
            <w:vAlign w:val="center"/>
          </w:tcPr>
          <w:p w14:paraId="62D639FC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-0.621</w:t>
            </w:r>
          </w:p>
          <w:p w14:paraId="4F7B7441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-0.328</w:t>
            </w:r>
          </w:p>
          <w:p w14:paraId="4E27B72E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-0.176</w:t>
            </w:r>
          </w:p>
        </w:tc>
        <w:tc>
          <w:tcPr>
            <w:tcW w:w="884" w:type="dxa"/>
            <w:vAlign w:val="center"/>
          </w:tcPr>
          <w:p w14:paraId="64AB4A2F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-12.44</w:t>
            </w:r>
          </w:p>
          <w:p w14:paraId="1A49CB30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-8.65</w:t>
            </w:r>
          </w:p>
          <w:p w14:paraId="1C04A950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-1.90</w:t>
            </w:r>
          </w:p>
        </w:tc>
        <w:tc>
          <w:tcPr>
            <w:tcW w:w="756" w:type="dxa"/>
            <w:vAlign w:val="center"/>
          </w:tcPr>
          <w:p w14:paraId="79E0105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  <w:p w14:paraId="23E0C9B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  <w:p w14:paraId="01A7CDD9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0.003</w:t>
            </w:r>
          </w:p>
        </w:tc>
        <w:tc>
          <w:tcPr>
            <w:tcW w:w="1393" w:type="dxa"/>
            <w:vAlign w:val="center"/>
          </w:tcPr>
          <w:p w14:paraId="1D90B92D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1.33</w:t>
            </w:r>
          </w:p>
          <w:p w14:paraId="541CC7C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1.61</w:t>
            </w:r>
          </w:p>
          <w:p w14:paraId="6F2990EB" w14:textId="77777777" w:rsidR="001B5F79" w:rsidRPr="001B5F79" w:rsidRDefault="001B5F79" w:rsidP="007E6B7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2.03</w:t>
            </w:r>
          </w:p>
        </w:tc>
      </w:tr>
    </w:tbl>
    <w:p w14:paraId="0B5B3D39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4648727F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  <w:r w:rsidRPr="001B5F79">
        <w:rPr>
          <w:rFonts w:ascii="Cambria" w:hAnsi="Cambria"/>
          <w:sz w:val="24"/>
          <w:szCs w:val="24"/>
        </w:rPr>
        <w:t>CTG: cardiotocography</w:t>
      </w:r>
    </w:p>
    <w:p w14:paraId="645D5437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  <w:r w:rsidRPr="001B5F79">
        <w:rPr>
          <w:rFonts w:ascii="Cambria" w:hAnsi="Cambria"/>
          <w:sz w:val="24"/>
          <w:szCs w:val="24"/>
        </w:rPr>
        <w:t>UAPI: umbilical artery pulsatility index</w:t>
      </w:r>
    </w:p>
    <w:p w14:paraId="6B74B944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  <w:r w:rsidRPr="001B5F79">
        <w:rPr>
          <w:rFonts w:ascii="Cambria" w:hAnsi="Cambria"/>
          <w:sz w:val="24"/>
          <w:szCs w:val="24"/>
        </w:rPr>
        <w:t>PVPI: pulmonary vein pulsatility index</w:t>
      </w:r>
    </w:p>
    <w:p w14:paraId="77F44622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71337DDC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724E99FB" w14:textId="77777777" w:rsidR="001B5F79" w:rsidRDefault="001B5F79">
      <w:pPr>
        <w:spacing w:before="60" w:after="60" w:line="312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br w:type="page"/>
      </w:r>
    </w:p>
    <w:p w14:paraId="5F705655" w14:textId="3DE76D08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  <w:r w:rsidRPr="001B5F79">
        <w:rPr>
          <w:rFonts w:ascii="Cambria" w:hAnsi="Cambria"/>
          <w:b/>
          <w:bCs/>
          <w:sz w:val="24"/>
          <w:szCs w:val="24"/>
        </w:rPr>
        <w:lastRenderedPageBreak/>
        <w:t>Tab. 4.</w:t>
      </w:r>
      <w:r w:rsidRPr="001B5F79">
        <w:rPr>
          <w:rFonts w:ascii="Cambria" w:hAnsi="Cambria"/>
          <w:i/>
          <w:iCs/>
          <w:sz w:val="24"/>
          <w:szCs w:val="24"/>
        </w:rPr>
        <w:t xml:space="preserve"> Model fit comparison for determining umbilical artery blood pH by multiple linear regression.</w:t>
      </w:r>
    </w:p>
    <w:tbl>
      <w:tblPr>
        <w:tblStyle w:val="TableGrid"/>
        <w:tblpPr w:leftFromText="180" w:rightFromText="180" w:vertAnchor="page" w:horzAnchor="margin" w:tblpY="2034"/>
        <w:tblW w:w="0" w:type="auto"/>
        <w:tblLook w:val="04A0" w:firstRow="1" w:lastRow="0" w:firstColumn="1" w:lastColumn="0" w:noHBand="0" w:noVBand="1"/>
      </w:tblPr>
      <w:tblGrid>
        <w:gridCol w:w="2921"/>
        <w:gridCol w:w="1069"/>
        <w:gridCol w:w="1784"/>
        <w:gridCol w:w="2144"/>
        <w:gridCol w:w="1144"/>
      </w:tblGrid>
      <w:tr w:rsidR="001B5F79" w:rsidRPr="001B5F79" w14:paraId="239E328E" w14:textId="77777777" w:rsidTr="001B5F79">
        <w:trPr>
          <w:trHeight w:val="421"/>
        </w:trPr>
        <w:tc>
          <w:tcPr>
            <w:tcW w:w="0" w:type="auto"/>
            <w:vMerge w:val="restart"/>
            <w:vAlign w:val="center"/>
          </w:tcPr>
          <w:p w14:paraId="702BF1AC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3"/>
            <w:vAlign w:val="center"/>
          </w:tcPr>
          <w:p w14:paraId="60E3484C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Model Summary</w:t>
            </w:r>
          </w:p>
        </w:tc>
        <w:tc>
          <w:tcPr>
            <w:tcW w:w="0" w:type="auto"/>
            <w:vAlign w:val="center"/>
          </w:tcPr>
          <w:p w14:paraId="0A596C58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ANNOVA</w:t>
            </w:r>
          </w:p>
        </w:tc>
      </w:tr>
      <w:tr w:rsidR="001B5F79" w:rsidRPr="001B5F79" w14:paraId="67B621C3" w14:textId="77777777" w:rsidTr="001B5F79">
        <w:trPr>
          <w:trHeight w:val="417"/>
        </w:trPr>
        <w:tc>
          <w:tcPr>
            <w:tcW w:w="0" w:type="auto"/>
            <w:vMerge/>
            <w:vAlign w:val="center"/>
          </w:tcPr>
          <w:p w14:paraId="0706291D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63E181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R Square</w:t>
            </w:r>
          </w:p>
        </w:tc>
        <w:tc>
          <w:tcPr>
            <w:tcW w:w="0" w:type="auto"/>
            <w:vAlign w:val="center"/>
          </w:tcPr>
          <w:p w14:paraId="1CCECC89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Adjusted R Square</w:t>
            </w:r>
          </w:p>
        </w:tc>
        <w:tc>
          <w:tcPr>
            <w:tcW w:w="0" w:type="auto"/>
            <w:vAlign w:val="center"/>
          </w:tcPr>
          <w:p w14:paraId="44895FDD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Durbin-Watson Statistic</w:t>
            </w:r>
          </w:p>
        </w:tc>
        <w:tc>
          <w:tcPr>
            <w:tcW w:w="0" w:type="auto"/>
            <w:vAlign w:val="center"/>
          </w:tcPr>
          <w:p w14:paraId="652F6EAF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Sig.</w:t>
            </w:r>
          </w:p>
        </w:tc>
      </w:tr>
      <w:tr w:rsidR="001B5F79" w:rsidRPr="001B5F79" w14:paraId="51AA05CC" w14:textId="77777777" w:rsidTr="001B5F79">
        <w:trPr>
          <w:trHeight w:val="346"/>
        </w:trPr>
        <w:tc>
          <w:tcPr>
            <w:tcW w:w="0" w:type="auto"/>
            <w:vAlign w:val="center"/>
          </w:tcPr>
          <w:p w14:paraId="513A2F26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UAPI</w:t>
            </w:r>
          </w:p>
        </w:tc>
        <w:tc>
          <w:tcPr>
            <w:tcW w:w="0" w:type="auto"/>
            <w:vAlign w:val="center"/>
          </w:tcPr>
          <w:p w14:paraId="402FA191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0.307</w:t>
            </w:r>
          </w:p>
        </w:tc>
        <w:tc>
          <w:tcPr>
            <w:tcW w:w="0" w:type="auto"/>
            <w:vAlign w:val="center"/>
          </w:tcPr>
          <w:p w14:paraId="7E560C91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0.302</w:t>
            </w:r>
          </w:p>
        </w:tc>
        <w:tc>
          <w:tcPr>
            <w:tcW w:w="0" w:type="auto"/>
            <w:vAlign w:val="center"/>
          </w:tcPr>
          <w:p w14:paraId="462D0F29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2.36</w:t>
            </w:r>
          </w:p>
        </w:tc>
        <w:tc>
          <w:tcPr>
            <w:tcW w:w="0" w:type="auto"/>
            <w:vAlign w:val="center"/>
          </w:tcPr>
          <w:p w14:paraId="49AB74BB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</w:tr>
      <w:tr w:rsidR="001B5F79" w:rsidRPr="001B5F79" w14:paraId="4000670E" w14:textId="77777777" w:rsidTr="001B5F79">
        <w:trPr>
          <w:trHeight w:val="346"/>
        </w:trPr>
        <w:tc>
          <w:tcPr>
            <w:tcW w:w="0" w:type="auto"/>
            <w:vAlign w:val="center"/>
          </w:tcPr>
          <w:p w14:paraId="02AD311D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</w:t>
            </w:r>
          </w:p>
        </w:tc>
        <w:tc>
          <w:tcPr>
            <w:tcW w:w="0" w:type="auto"/>
            <w:vAlign w:val="center"/>
          </w:tcPr>
          <w:p w14:paraId="4941DC62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0.592</w:t>
            </w:r>
          </w:p>
        </w:tc>
        <w:tc>
          <w:tcPr>
            <w:tcW w:w="0" w:type="auto"/>
            <w:vAlign w:val="center"/>
          </w:tcPr>
          <w:p w14:paraId="7EB073F1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0.589</w:t>
            </w:r>
          </w:p>
        </w:tc>
        <w:tc>
          <w:tcPr>
            <w:tcW w:w="0" w:type="auto"/>
            <w:vAlign w:val="center"/>
          </w:tcPr>
          <w:p w14:paraId="525CDB50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1.87</w:t>
            </w:r>
          </w:p>
        </w:tc>
        <w:tc>
          <w:tcPr>
            <w:tcW w:w="0" w:type="auto"/>
            <w:vAlign w:val="center"/>
          </w:tcPr>
          <w:p w14:paraId="4F566228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</w:tr>
      <w:tr w:rsidR="001B5F79" w:rsidRPr="001B5F79" w14:paraId="4EE90C33" w14:textId="77777777" w:rsidTr="001B5F79">
        <w:trPr>
          <w:trHeight w:val="346"/>
        </w:trPr>
        <w:tc>
          <w:tcPr>
            <w:tcW w:w="0" w:type="auto"/>
            <w:vAlign w:val="center"/>
          </w:tcPr>
          <w:p w14:paraId="6A7E6BB6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 - UAPI</w:t>
            </w:r>
          </w:p>
        </w:tc>
        <w:tc>
          <w:tcPr>
            <w:tcW w:w="0" w:type="auto"/>
            <w:vAlign w:val="center"/>
          </w:tcPr>
          <w:p w14:paraId="0EF706FA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0.763</w:t>
            </w:r>
          </w:p>
        </w:tc>
        <w:tc>
          <w:tcPr>
            <w:tcW w:w="0" w:type="auto"/>
            <w:vAlign w:val="center"/>
          </w:tcPr>
          <w:p w14:paraId="35D360D7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0.760</w:t>
            </w:r>
          </w:p>
        </w:tc>
        <w:tc>
          <w:tcPr>
            <w:tcW w:w="0" w:type="auto"/>
            <w:vAlign w:val="center"/>
          </w:tcPr>
          <w:p w14:paraId="0936DE8B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1.80</w:t>
            </w:r>
          </w:p>
        </w:tc>
        <w:tc>
          <w:tcPr>
            <w:tcW w:w="0" w:type="auto"/>
            <w:vAlign w:val="center"/>
          </w:tcPr>
          <w:p w14:paraId="19042416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</w:tr>
      <w:tr w:rsidR="001B5F79" w:rsidRPr="001B5F79" w14:paraId="492909DF" w14:textId="77777777" w:rsidTr="001B5F79">
        <w:trPr>
          <w:trHeight w:val="346"/>
        </w:trPr>
        <w:tc>
          <w:tcPr>
            <w:tcW w:w="0" w:type="auto"/>
            <w:vAlign w:val="center"/>
          </w:tcPr>
          <w:p w14:paraId="5D85E0CF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 - UAPI - PVPI –   Mode delivery</w:t>
            </w:r>
          </w:p>
        </w:tc>
        <w:tc>
          <w:tcPr>
            <w:tcW w:w="0" w:type="auto"/>
            <w:vAlign w:val="center"/>
          </w:tcPr>
          <w:p w14:paraId="740E4EB2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0.779</w:t>
            </w:r>
          </w:p>
        </w:tc>
        <w:tc>
          <w:tcPr>
            <w:tcW w:w="0" w:type="auto"/>
            <w:vAlign w:val="center"/>
          </w:tcPr>
          <w:p w14:paraId="63EDF946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0.772</w:t>
            </w:r>
          </w:p>
        </w:tc>
        <w:tc>
          <w:tcPr>
            <w:tcW w:w="0" w:type="auto"/>
            <w:vAlign w:val="center"/>
          </w:tcPr>
          <w:p w14:paraId="3B80E0F3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1.73</w:t>
            </w:r>
          </w:p>
        </w:tc>
        <w:tc>
          <w:tcPr>
            <w:tcW w:w="0" w:type="auto"/>
            <w:vAlign w:val="center"/>
          </w:tcPr>
          <w:p w14:paraId="5A42A10B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</w:tr>
      <w:tr w:rsidR="001B5F79" w:rsidRPr="001B5F79" w14:paraId="298D13F8" w14:textId="77777777" w:rsidTr="001B5F79">
        <w:trPr>
          <w:trHeight w:val="346"/>
        </w:trPr>
        <w:tc>
          <w:tcPr>
            <w:tcW w:w="0" w:type="auto"/>
            <w:vAlign w:val="center"/>
          </w:tcPr>
          <w:p w14:paraId="466C98E9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CTG - UAPI - PVPI</w:t>
            </w:r>
          </w:p>
        </w:tc>
        <w:tc>
          <w:tcPr>
            <w:tcW w:w="0" w:type="auto"/>
            <w:vAlign w:val="center"/>
          </w:tcPr>
          <w:p w14:paraId="4F3307DF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0.779</w:t>
            </w:r>
          </w:p>
        </w:tc>
        <w:tc>
          <w:tcPr>
            <w:tcW w:w="0" w:type="auto"/>
            <w:vAlign w:val="center"/>
          </w:tcPr>
          <w:p w14:paraId="73C1DF0F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0.774</w:t>
            </w:r>
          </w:p>
        </w:tc>
        <w:tc>
          <w:tcPr>
            <w:tcW w:w="0" w:type="auto"/>
            <w:vAlign w:val="center"/>
          </w:tcPr>
          <w:p w14:paraId="6F97359D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1.73</w:t>
            </w:r>
          </w:p>
        </w:tc>
        <w:tc>
          <w:tcPr>
            <w:tcW w:w="0" w:type="auto"/>
            <w:vAlign w:val="center"/>
          </w:tcPr>
          <w:p w14:paraId="16F0A8EC" w14:textId="77777777" w:rsidR="001B5F79" w:rsidRPr="001B5F79" w:rsidRDefault="001B5F79" w:rsidP="001B5F79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1B5F79">
              <w:rPr>
                <w:rFonts w:ascii="Cambria" w:hAnsi="Cambria"/>
                <w:sz w:val="24"/>
                <w:szCs w:val="24"/>
              </w:rPr>
              <w:t>0.000</w:t>
            </w:r>
          </w:p>
        </w:tc>
      </w:tr>
    </w:tbl>
    <w:p w14:paraId="2379826A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078CEA70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  <w:r w:rsidRPr="001B5F79">
        <w:rPr>
          <w:rFonts w:ascii="Cambria" w:hAnsi="Cambria"/>
          <w:sz w:val="24"/>
          <w:szCs w:val="24"/>
        </w:rPr>
        <w:t>CTG: cardiotocography</w:t>
      </w:r>
    </w:p>
    <w:p w14:paraId="440A7A91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  <w:r w:rsidRPr="001B5F79">
        <w:rPr>
          <w:rFonts w:ascii="Cambria" w:hAnsi="Cambria"/>
          <w:sz w:val="24"/>
          <w:szCs w:val="24"/>
        </w:rPr>
        <w:t>UAPI: umbilical artery pulsatility index</w:t>
      </w:r>
    </w:p>
    <w:p w14:paraId="610CE923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  <w:r w:rsidRPr="001B5F79">
        <w:rPr>
          <w:rFonts w:ascii="Cambria" w:hAnsi="Cambria"/>
          <w:sz w:val="24"/>
          <w:szCs w:val="24"/>
        </w:rPr>
        <w:t>PVPI: pulmonary vein pulsatility index</w:t>
      </w:r>
    </w:p>
    <w:p w14:paraId="4758C319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334178B0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71BFD346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67190E60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47497315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67D0D048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50D34A53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54D728C5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5D43E681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10EED402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35480ED8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286E3E33" w14:textId="77777777" w:rsidR="001B5F79" w:rsidRPr="001B5F79" w:rsidRDefault="001B5F79" w:rsidP="001B5F79">
      <w:pPr>
        <w:rPr>
          <w:rFonts w:ascii="Cambria" w:hAnsi="Cambria"/>
          <w:i/>
          <w:iCs/>
          <w:sz w:val="24"/>
          <w:szCs w:val="24"/>
        </w:rPr>
      </w:pPr>
    </w:p>
    <w:p w14:paraId="2854FA2E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5F0E6D68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524D2133" w14:textId="77777777" w:rsidR="001B5F79" w:rsidRPr="001B5F79" w:rsidRDefault="001B5F79" w:rsidP="001B5F79">
      <w:pPr>
        <w:rPr>
          <w:rFonts w:ascii="Cambria" w:hAnsi="Cambria"/>
          <w:sz w:val="24"/>
          <w:szCs w:val="24"/>
        </w:rPr>
      </w:pPr>
    </w:p>
    <w:p w14:paraId="0E1F504A" w14:textId="77777777" w:rsidR="001474B6" w:rsidRPr="001B5F79" w:rsidRDefault="001474B6">
      <w:pPr>
        <w:rPr>
          <w:rFonts w:ascii="Cambria" w:hAnsi="Cambria"/>
        </w:rPr>
      </w:pPr>
    </w:p>
    <w:sectPr w:rsidR="001474B6" w:rsidRPr="001B5F79" w:rsidSect="002820A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79"/>
    <w:rsid w:val="001474B6"/>
    <w:rsid w:val="001B5F79"/>
    <w:rsid w:val="002820AC"/>
    <w:rsid w:val="00392497"/>
    <w:rsid w:val="005D0E95"/>
    <w:rsid w:val="00F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7BB81"/>
  <w15:chartTrackingRefBased/>
  <w15:docId w15:val="{3B44A501-D298-4559-AB7F-7A820DA3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F79"/>
    <w:pPr>
      <w:spacing w:before="0" w:after="160" w:line="259" w:lineRule="auto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5F79"/>
    <w:pPr>
      <w:spacing w:before="0" w:after="0" w:line="240" w:lineRule="auto"/>
    </w:pPr>
    <w:rPr>
      <w:rFonts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Quoc Huy Nguyen</dc:creator>
  <cp:keywords/>
  <dc:description/>
  <cp:lastModifiedBy>Vu Quoc Huy Nguyen</cp:lastModifiedBy>
  <cp:revision>2</cp:revision>
  <dcterms:created xsi:type="dcterms:W3CDTF">2023-04-18T14:26:00Z</dcterms:created>
  <dcterms:modified xsi:type="dcterms:W3CDTF">2023-04-18T14:26:00Z</dcterms:modified>
</cp:coreProperties>
</file>