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802A8" w14:textId="340C313E" w:rsidR="00292B48" w:rsidRDefault="002509B5" w:rsidP="002509B5">
      <w:pPr>
        <w:spacing w:line="360" w:lineRule="auto"/>
        <w:ind w:firstLine="440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21389087"/>
      <w:bookmarkStart w:id="1" w:name="_GoBack"/>
      <w:bookmarkEnd w:id="1"/>
      <w:r w:rsidRPr="002509B5">
        <w:rPr>
          <w:rFonts w:ascii="Arial" w:hAnsi="Arial" w:cs="Arial"/>
          <w:b/>
          <w:bCs/>
          <w:sz w:val="24"/>
          <w:szCs w:val="24"/>
        </w:rPr>
        <w:t>The RNF214-TEAD-YAP signaling axis promotes hepatocellular carcinoma progression via TEAD ubiquitylation</w:t>
      </w:r>
    </w:p>
    <w:p w14:paraId="52C9F422" w14:textId="77777777" w:rsidR="002509B5" w:rsidRPr="00292B48" w:rsidRDefault="002509B5" w:rsidP="00292B48">
      <w:pPr>
        <w:spacing w:line="360" w:lineRule="auto"/>
        <w:ind w:firstLine="440"/>
        <w:contextualSpacing/>
        <w:rPr>
          <w:rFonts w:ascii="Arial" w:hAnsi="Arial" w:cs="Arial"/>
          <w:b/>
          <w:bCs/>
          <w:sz w:val="22"/>
        </w:rPr>
      </w:pPr>
    </w:p>
    <w:p w14:paraId="19CAE4B0" w14:textId="77777777" w:rsidR="00292B48" w:rsidRPr="00292B48" w:rsidRDefault="00292B48" w:rsidP="00292B48">
      <w:pPr>
        <w:spacing w:line="360" w:lineRule="auto"/>
        <w:ind w:firstLine="440"/>
        <w:contextualSpacing/>
        <w:rPr>
          <w:rFonts w:ascii="Arial" w:hAnsi="Arial" w:cs="Arial"/>
          <w:sz w:val="22"/>
        </w:rPr>
      </w:pPr>
      <w:proofErr w:type="spellStart"/>
      <w:r w:rsidRPr="00292B48">
        <w:rPr>
          <w:rFonts w:ascii="Arial" w:hAnsi="Arial" w:cs="Arial"/>
          <w:sz w:val="22"/>
        </w:rPr>
        <w:t>Mengjia</w:t>
      </w:r>
      <w:proofErr w:type="spellEnd"/>
      <w:r w:rsidRPr="00292B48">
        <w:rPr>
          <w:rFonts w:ascii="Arial" w:hAnsi="Arial" w:cs="Arial"/>
          <w:sz w:val="22"/>
        </w:rPr>
        <w:t xml:space="preserve"> Lin</w:t>
      </w:r>
      <w:r w:rsidRPr="00292B48">
        <w:rPr>
          <w:rFonts w:ascii="Arial" w:hAnsi="Arial" w:cs="Arial"/>
          <w:sz w:val="22"/>
          <w:vertAlign w:val="superscript"/>
        </w:rPr>
        <w:t>1,2</w:t>
      </w:r>
      <w:r w:rsidRPr="00292B48">
        <w:rPr>
          <w:rFonts w:ascii="Arial" w:hAnsi="Arial" w:cs="Arial"/>
          <w:sz w:val="22"/>
        </w:rPr>
        <w:t xml:space="preserve">, </w:t>
      </w:r>
      <w:proofErr w:type="spellStart"/>
      <w:r w:rsidRPr="00292B48">
        <w:rPr>
          <w:rFonts w:ascii="Arial" w:hAnsi="Arial" w:cs="Arial"/>
          <w:sz w:val="22"/>
        </w:rPr>
        <w:t>Xiaoyun</w:t>
      </w:r>
      <w:proofErr w:type="spellEnd"/>
      <w:r w:rsidRPr="00292B48">
        <w:rPr>
          <w:rFonts w:ascii="Arial" w:hAnsi="Arial" w:cs="Arial"/>
          <w:sz w:val="22"/>
        </w:rPr>
        <w:t xml:space="preserve"> Zheng</w:t>
      </w:r>
      <w:r w:rsidRPr="00292B48">
        <w:rPr>
          <w:rFonts w:ascii="Arial" w:hAnsi="Arial" w:cs="Arial"/>
          <w:sz w:val="22"/>
          <w:vertAlign w:val="superscript"/>
        </w:rPr>
        <w:t>2,3</w:t>
      </w:r>
      <w:r w:rsidRPr="00292B48">
        <w:rPr>
          <w:rFonts w:ascii="Arial" w:hAnsi="Arial" w:cs="Arial"/>
          <w:sz w:val="22"/>
        </w:rPr>
        <w:t xml:space="preserve">, </w:t>
      </w:r>
      <w:proofErr w:type="spellStart"/>
      <w:r w:rsidRPr="00292B48">
        <w:rPr>
          <w:rFonts w:ascii="Arial" w:hAnsi="Arial" w:cs="Arial"/>
          <w:sz w:val="22"/>
        </w:rPr>
        <w:t>Jianing</w:t>
      </w:r>
      <w:proofErr w:type="spellEnd"/>
      <w:r w:rsidRPr="00292B48">
        <w:rPr>
          <w:rFonts w:ascii="Arial" w:hAnsi="Arial" w:cs="Arial"/>
          <w:sz w:val="22"/>
        </w:rPr>
        <w:t xml:space="preserve"> Yan</w:t>
      </w:r>
      <w:r w:rsidRPr="00292B48">
        <w:rPr>
          <w:rFonts w:ascii="Arial" w:hAnsi="Arial" w:cs="Arial"/>
          <w:sz w:val="22"/>
          <w:vertAlign w:val="superscript"/>
        </w:rPr>
        <w:t>4</w:t>
      </w:r>
      <w:r w:rsidRPr="00292B48">
        <w:rPr>
          <w:rFonts w:ascii="Arial" w:hAnsi="Arial" w:cs="Arial"/>
          <w:sz w:val="22"/>
        </w:rPr>
        <w:t>, Fei Huang</w:t>
      </w:r>
      <w:r w:rsidRPr="00292B48">
        <w:rPr>
          <w:rFonts w:ascii="Arial" w:hAnsi="Arial" w:cs="Arial"/>
          <w:sz w:val="22"/>
          <w:vertAlign w:val="superscript"/>
        </w:rPr>
        <w:t>2</w:t>
      </w:r>
      <w:r w:rsidRPr="00292B48">
        <w:rPr>
          <w:rFonts w:ascii="Arial" w:hAnsi="Arial" w:cs="Arial"/>
          <w:sz w:val="22"/>
        </w:rPr>
        <w:t>, Yilin Chen</w:t>
      </w:r>
      <w:r w:rsidRPr="00292B48">
        <w:rPr>
          <w:rFonts w:ascii="Arial" w:hAnsi="Arial" w:cs="Arial"/>
          <w:sz w:val="22"/>
          <w:vertAlign w:val="superscript"/>
        </w:rPr>
        <w:t>2,3</w:t>
      </w:r>
      <w:r w:rsidRPr="00292B48">
        <w:rPr>
          <w:rFonts w:ascii="Arial" w:hAnsi="Arial" w:cs="Arial"/>
          <w:sz w:val="22"/>
        </w:rPr>
        <w:t>, Ran Ding</w:t>
      </w:r>
      <w:r w:rsidRPr="00292B48">
        <w:rPr>
          <w:rFonts w:ascii="Arial" w:hAnsi="Arial" w:cs="Arial"/>
          <w:sz w:val="22"/>
          <w:vertAlign w:val="superscript"/>
        </w:rPr>
        <w:t>2,3</w:t>
      </w:r>
      <w:r w:rsidRPr="00292B48">
        <w:rPr>
          <w:rFonts w:ascii="Arial" w:hAnsi="Arial" w:cs="Arial"/>
          <w:sz w:val="22"/>
        </w:rPr>
        <w:t xml:space="preserve">, </w:t>
      </w:r>
      <w:proofErr w:type="spellStart"/>
      <w:r w:rsidRPr="00292B48">
        <w:rPr>
          <w:rFonts w:ascii="Arial" w:hAnsi="Arial" w:cs="Arial"/>
          <w:sz w:val="22"/>
        </w:rPr>
        <w:t>Jinkai</w:t>
      </w:r>
      <w:proofErr w:type="spellEnd"/>
      <w:r w:rsidRPr="00292B48">
        <w:rPr>
          <w:rFonts w:ascii="Arial" w:hAnsi="Arial" w:cs="Arial"/>
          <w:sz w:val="22"/>
        </w:rPr>
        <w:t xml:space="preserve"> Wan</w:t>
      </w:r>
      <w:r w:rsidRPr="00292B48">
        <w:rPr>
          <w:rFonts w:ascii="Arial" w:hAnsi="Arial" w:cs="Arial"/>
          <w:sz w:val="22"/>
          <w:vertAlign w:val="superscript"/>
        </w:rPr>
        <w:t>5,6</w:t>
      </w:r>
      <w:r w:rsidRPr="00292B48">
        <w:rPr>
          <w:rFonts w:ascii="Arial" w:hAnsi="Arial" w:cs="Arial"/>
          <w:sz w:val="22"/>
        </w:rPr>
        <w:t>, Lei Zhang</w:t>
      </w:r>
      <w:r w:rsidRPr="00292B48">
        <w:rPr>
          <w:rFonts w:ascii="Arial" w:hAnsi="Arial" w:cs="Arial"/>
          <w:sz w:val="22"/>
          <w:vertAlign w:val="superscript"/>
        </w:rPr>
        <w:t>5</w:t>
      </w:r>
      <w:r w:rsidRPr="00292B48">
        <w:rPr>
          <w:rFonts w:ascii="Arial" w:hAnsi="Arial" w:cs="Arial"/>
          <w:sz w:val="22"/>
        </w:rPr>
        <w:t xml:space="preserve">, </w:t>
      </w:r>
      <w:proofErr w:type="spellStart"/>
      <w:r w:rsidRPr="00292B48">
        <w:rPr>
          <w:rFonts w:ascii="Arial" w:hAnsi="Arial" w:cs="Arial"/>
          <w:sz w:val="22"/>
        </w:rPr>
        <w:t>Xiaolei</w:t>
      </w:r>
      <w:proofErr w:type="spellEnd"/>
      <w:r w:rsidRPr="00292B48">
        <w:rPr>
          <w:rFonts w:ascii="Arial" w:hAnsi="Arial" w:cs="Arial"/>
          <w:sz w:val="22"/>
        </w:rPr>
        <w:t xml:space="preserve"> Cao</w:t>
      </w:r>
      <w:r w:rsidRPr="00292B48">
        <w:rPr>
          <w:rFonts w:ascii="Arial" w:hAnsi="Arial" w:cs="Arial"/>
          <w:sz w:val="22"/>
          <w:vertAlign w:val="superscript"/>
        </w:rPr>
        <w:t>2,3</w:t>
      </w:r>
      <w:r w:rsidRPr="00292B48">
        <w:rPr>
          <w:rFonts w:ascii="Arial" w:hAnsi="Arial" w:cs="Arial"/>
          <w:sz w:val="22"/>
        </w:rPr>
        <w:t>, Yan Lou</w:t>
      </w:r>
      <w:r w:rsidRPr="00292B48">
        <w:rPr>
          <w:rFonts w:ascii="Arial" w:hAnsi="Arial" w:cs="Arial"/>
          <w:sz w:val="22"/>
          <w:vertAlign w:val="superscript"/>
        </w:rPr>
        <w:t>7</w:t>
      </w:r>
      <w:r w:rsidRPr="00292B48">
        <w:rPr>
          <w:rFonts w:ascii="Arial" w:hAnsi="Arial" w:cs="Arial"/>
          <w:sz w:val="22"/>
        </w:rPr>
        <w:t>, Xin-Hua Feng</w:t>
      </w:r>
      <w:r w:rsidRPr="00292B48">
        <w:rPr>
          <w:rFonts w:ascii="Arial" w:hAnsi="Arial" w:cs="Arial"/>
          <w:sz w:val="22"/>
          <w:vertAlign w:val="superscript"/>
        </w:rPr>
        <w:t>2,3,8</w:t>
      </w:r>
      <w:r w:rsidRPr="00292B48">
        <w:rPr>
          <w:rFonts w:ascii="Arial" w:hAnsi="Arial" w:cs="Arial"/>
          <w:sz w:val="22"/>
        </w:rPr>
        <w:t>, Bin Zhao</w:t>
      </w:r>
      <w:r w:rsidRPr="00292B48">
        <w:rPr>
          <w:rFonts w:ascii="Arial" w:hAnsi="Arial" w:cs="Arial"/>
          <w:sz w:val="22"/>
          <w:vertAlign w:val="superscript"/>
        </w:rPr>
        <w:t>2,3,8</w:t>
      </w:r>
      <w:r w:rsidRPr="00292B48">
        <w:rPr>
          <w:rFonts w:ascii="Arial" w:hAnsi="Arial" w:cs="Arial"/>
          <w:sz w:val="22"/>
        </w:rPr>
        <w:t>, Fei Lan</w:t>
      </w:r>
      <w:r w:rsidRPr="00292B48">
        <w:rPr>
          <w:rFonts w:ascii="Arial" w:hAnsi="Arial" w:cs="Arial"/>
          <w:sz w:val="22"/>
          <w:vertAlign w:val="superscript"/>
        </w:rPr>
        <w:t>5,6</w:t>
      </w:r>
      <w:r w:rsidRPr="00292B48">
        <w:rPr>
          <w:rFonts w:ascii="Arial" w:hAnsi="Arial" w:cs="Arial"/>
          <w:sz w:val="22"/>
        </w:rPr>
        <w:t>, Li Shen</w:t>
      </w:r>
      <w:r w:rsidRPr="00292B48">
        <w:rPr>
          <w:rFonts w:ascii="Arial" w:hAnsi="Arial" w:cs="Arial"/>
          <w:sz w:val="22"/>
          <w:vertAlign w:val="superscript"/>
        </w:rPr>
        <w:t>2,9</w:t>
      </w:r>
      <w:r w:rsidRPr="00292B48">
        <w:rPr>
          <w:rFonts w:ascii="Arial" w:hAnsi="Arial" w:cs="Arial"/>
          <w:sz w:val="22"/>
        </w:rPr>
        <w:t xml:space="preserve">, </w:t>
      </w:r>
      <w:proofErr w:type="spellStart"/>
      <w:r w:rsidRPr="00292B48">
        <w:rPr>
          <w:rFonts w:ascii="Arial" w:hAnsi="Arial" w:cs="Arial"/>
          <w:sz w:val="22"/>
        </w:rPr>
        <w:t>Xianglei</w:t>
      </w:r>
      <w:proofErr w:type="spellEnd"/>
      <w:r w:rsidRPr="00292B48">
        <w:rPr>
          <w:rFonts w:ascii="Arial" w:hAnsi="Arial" w:cs="Arial"/>
          <w:sz w:val="22"/>
        </w:rPr>
        <w:t xml:space="preserve"> He</w:t>
      </w:r>
      <w:r w:rsidRPr="00292B48">
        <w:rPr>
          <w:rFonts w:ascii="Arial" w:hAnsi="Arial" w:cs="Arial"/>
          <w:sz w:val="22"/>
          <w:vertAlign w:val="superscript"/>
        </w:rPr>
        <w:t>10</w:t>
      </w:r>
      <w:r w:rsidRPr="00292B48">
        <w:rPr>
          <w:rFonts w:ascii="Arial" w:hAnsi="Arial" w:cs="Arial"/>
          <w:sz w:val="22"/>
        </w:rPr>
        <w:t xml:space="preserve">, </w:t>
      </w:r>
      <w:proofErr w:type="spellStart"/>
      <w:r w:rsidRPr="00292B48">
        <w:rPr>
          <w:rFonts w:ascii="Arial" w:hAnsi="Arial" w:cs="Arial"/>
          <w:sz w:val="22"/>
        </w:rPr>
        <w:t>Yunqing</w:t>
      </w:r>
      <w:proofErr w:type="spellEnd"/>
      <w:r w:rsidRPr="00292B48">
        <w:rPr>
          <w:rFonts w:ascii="Arial" w:hAnsi="Arial" w:cs="Arial"/>
          <w:sz w:val="22"/>
        </w:rPr>
        <w:t xml:space="preserve"> Qiu</w:t>
      </w:r>
      <w:r w:rsidRPr="00292B48">
        <w:rPr>
          <w:rFonts w:ascii="Arial" w:hAnsi="Arial" w:cs="Arial"/>
          <w:sz w:val="22"/>
          <w:vertAlign w:val="superscript"/>
        </w:rPr>
        <w:t>1,</w:t>
      </w:r>
      <w:proofErr w:type="gramStart"/>
      <w:r w:rsidRPr="00292B48">
        <w:rPr>
          <w:rFonts w:ascii="Arial" w:hAnsi="Arial" w:cs="Arial"/>
          <w:sz w:val="22"/>
          <w:vertAlign w:val="superscript"/>
        </w:rPr>
        <w:t>7,</w:t>
      </w:r>
      <w:r w:rsidRPr="00292B48">
        <w:rPr>
          <w:rFonts w:ascii="Arial" w:hAnsi="Arial" w:cs="Arial"/>
          <w:sz w:val="22"/>
        </w:rPr>
        <w:t>*</w:t>
      </w:r>
      <w:proofErr w:type="gramEnd"/>
      <w:r w:rsidRPr="00292B48">
        <w:rPr>
          <w:rFonts w:ascii="Arial" w:hAnsi="Arial" w:cs="Arial"/>
          <w:sz w:val="22"/>
        </w:rPr>
        <w:t xml:space="preserve"> &amp; </w:t>
      </w:r>
      <w:proofErr w:type="spellStart"/>
      <w:r w:rsidRPr="00292B48">
        <w:rPr>
          <w:rFonts w:ascii="Arial" w:hAnsi="Arial" w:cs="Arial"/>
          <w:sz w:val="22"/>
        </w:rPr>
        <w:t>Jianping</w:t>
      </w:r>
      <w:proofErr w:type="spellEnd"/>
      <w:r w:rsidRPr="00292B48">
        <w:rPr>
          <w:rFonts w:ascii="Arial" w:hAnsi="Arial" w:cs="Arial"/>
          <w:sz w:val="22"/>
        </w:rPr>
        <w:t xml:space="preserve"> Jin</w:t>
      </w:r>
      <w:r w:rsidRPr="00292B48">
        <w:rPr>
          <w:rFonts w:ascii="Arial" w:hAnsi="Arial" w:cs="Arial"/>
          <w:sz w:val="22"/>
          <w:vertAlign w:val="superscript"/>
        </w:rPr>
        <w:t>2,3,7,8,</w:t>
      </w:r>
      <w:r w:rsidRPr="00292B48">
        <w:rPr>
          <w:rFonts w:ascii="Arial" w:hAnsi="Arial" w:cs="Arial"/>
          <w:sz w:val="22"/>
        </w:rPr>
        <w:t>*</w:t>
      </w:r>
    </w:p>
    <w:p w14:paraId="243A5621" w14:textId="77777777" w:rsidR="001E26AE" w:rsidRPr="00292B48" w:rsidRDefault="001E26AE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64D733FB" w14:textId="68518475" w:rsidR="001E26AE" w:rsidRDefault="001E26AE" w:rsidP="00946A71">
      <w:pPr>
        <w:spacing w:line="360" w:lineRule="auto"/>
        <w:rPr>
          <w:rFonts w:ascii="Arial" w:hAnsi="Arial" w:cs="Arial"/>
          <w:b/>
          <w:sz w:val="22"/>
        </w:rPr>
      </w:pPr>
      <w:r w:rsidRPr="00946A71">
        <w:rPr>
          <w:rFonts w:ascii="Arial" w:hAnsi="Arial" w:cs="Arial"/>
          <w:b/>
          <w:sz w:val="22"/>
        </w:rPr>
        <w:t>Extended data</w:t>
      </w:r>
    </w:p>
    <w:p w14:paraId="1A537C2F" w14:textId="77777777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12BAFE16" w14:textId="4154E1B7" w:rsidR="00643F5E" w:rsidRDefault="008B27A8" w:rsidP="00946A71">
      <w:pPr>
        <w:spacing w:line="360" w:lineRule="auto"/>
        <w:rPr>
          <w:rFonts w:ascii="Arial" w:hAnsi="Arial" w:cs="Arial"/>
          <w:b/>
          <w:sz w:val="22"/>
        </w:rPr>
      </w:pPr>
      <w:r w:rsidRPr="008B27A8">
        <w:rPr>
          <w:rFonts w:ascii="Arial" w:hAnsi="Arial" w:cs="Arial"/>
          <w:b/>
          <w:sz w:val="22"/>
        </w:rPr>
        <w:t>The website links used for statistical analyses of Fig</w:t>
      </w:r>
      <w:r>
        <w:rPr>
          <w:rFonts w:ascii="Arial" w:hAnsi="Arial" w:cs="Arial"/>
          <w:b/>
          <w:sz w:val="22"/>
        </w:rPr>
        <w:t>.5b, k-m and Extended data Fig.5b</w:t>
      </w:r>
      <w:r w:rsidR="00292B48">
        <w:rPr>
          <w:rFonts w:ascii="Arial" w:hAnsi="Arial" w:cs="Arial" w:hint="eastAsia"/>
          <w:b/>
          <w:sz w:val="22"/>
        </w:rPr>
        <w:t>,</w:t>
      </w:r>
      <w:r w:rsidR="00292B48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f-l</w:t>
      </w:r>
      <w:r w:rsidRPr="008B27A8">
        <w:rPr>
          <w:rFonts w:ascii="Arial" w:hAnsi="Arial" w:cs="Arial"/>
          <w:b/>
          <w:sz w:val="22"/>
        </w:rPr>
        <w:t xml:space="preserve"> are provided.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1"/>
        <w:gridCol w:w="4195"/>
      </w:tblGrid>
      <w:tr w:rsidR="008B27A8" w:rsidRPr="008B27A8" w14:paraId="2E9A97F3" w14:textId="77777777" w:rsidTr="00D125AE">
        <w:trPr>
          <w:trHeight w:val="361"/>
          <w:jc w:val="center"/>
        </w:trPr>
        <w:tc>
          <w:tcPr>
            <w:tcW w:w="38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F6A2123" w14:textId="77777777" w:rsidR="008B27A8" w:rsidRPr="008B27A8" w:rsidRDefault="008B27A8" w:rsidP="008B27A8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  <w:u w:color="000000"/>
              </w:rPr>
            </w:pPr>
            <w:r w:rsidRPr="00573DD7">
              <w:rPr>
                <w:rFonts w:ascii="Arial" w:hAnsi="Arial" w:cs="Arial"/>
                <w:b/>
                <w:sz w:val="22"/>
              </w:rPr>
              <w:t>Figure</w:t>
            </w:r>
          </w:p>
        </w:tc>
        <w:tc>
          <w:tcPr>
            <w:tcW w:w="41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585F1CF" w14:textId="77777777" w:rsidR="008B27A8" w:rsidRPr="008B27A8" w:rsidRDefault="008B27A8" w:rsidP="008B27A8">
            <w:pPr>
              <w:spacing w:line="480" w:lineRule="auto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u w:color="000000"/>
              </w:rPr>
            </w:pPr>
            <w:r w:rsidRPr="00573DD7">
              <w:rPr>
                <w:rFonts w:ascii="Arial" w:hAnsi="Arial" w:cs="Arial"/>
                <w:b/>
                <w:sz w:val="22"/>
              </w:rPr>
              <w:t>Website Link</w:t>
            </w:r>
          </w:p>
        </w:tc>
      </w:tr>
      <w:tr w:rsidR="008B27A8" w:rsidRPr="008B27A8" w14:paraId="7397D74B" w14:textId="77777777" w:rsidTr="00D125AE">
        <w:trPr>
          <w:jc w:val="center"/>
        </w:trPr>
        <w:tc>
          <w:tcPr>
            <w:tcW w:w="3861" w:type="dxa"/>
            <w:shd w:val="clear" w:color="auto" w:fill="auto"/>
          </w:tcPr>
          <w:p w14:paraId="7BC40197" w14:textId="0FA9679F" w:rsidR="008B27A8" w:rsidRPr="00534843" w:rsidRDefault="008B27A8" w:rsidP="008B27A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534843">
              <w:rPr>
                <w:rFonts w:ascii="Arial" w:hAnsi="Arial" w:cs="Arial"/>
                <w:sz w:val="22"/>
              </w:rPr>
              <w:t>Fig.5b</w:t>
            </w:r>
          </w:p>
        </w:tc>
        <w:tc>
          <w:tcPr>
            <w:tcW w:w="4195" w:type="dxa"/>
            <w:shd w:val="clear" w:color="auto" w:fill="auto"/>
          </w:tcPr>
          <w:p w14:paraId="62CD2881" w14:textId="0894F8C3" w:rsidR="008B27A8" w:rsidRPr="00534843" w:rsidRDefault="008B27A8" w:rsidP="008B27A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534843">
              <w:rPr>
                <w:rFonts w:ascii="Arial" w:hAnsi="Arial" w:cs="Arial"/>
                <w:sz w:val="22"/>
              </w:rPr>
              <w:t>https://www.proteinatlas.org/</w:t>
            </w:r>
          </w:p>
        </w:tc>
      </w:tr>
      <w:tr w:rsidR="008B27A8" w:rsidRPr="008B27A8" w14:paraId="56F0D28B" w14:textId="77777777" w:rsidTr="00D125AE">
        <w:trPr>
          <w:jc w:val="center"/>
        </w:trPr>
        <w:tc>
          <w:tcPr>
            <w:tcW w:w="3861" w:type="dxa"/>
            <w:shd w:val="clear" w:color="auto" w:fill="auto"/>
          </w:tcPr>
          <w:p w14:paraId="2C1E287B" w14:textId="0F78CA73" w:rsidR="008B27A8" w:rsidRPr="00534843" w:rsidRDefault="008B27A8" w:rsidP="008B27A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534843">
              <w:rPr>
                <w:rFonts w:ascii="Arial" w:hAnsi="Arial" w:cs="Arial"/>
                <w:sz w:val="22"/>
              </w:rPr>
              <w:t>Extended data Fig.5b</w:t>
            </w:r>
          </w:p>
        </w:tc>
        <w:tc>
          <w:tcPr>
            <w:tcW w:w="4195" w:type="dxa"/>
            <w:shd w:val="clear" w:color="auto" w:fill="auto"/>
          </w:tcPr>
          <w:p w14:paraId="1C03C031" w14:textId="3BAF9C62" w:rsidR="008B27A8" w:rsidRPr="00534843" w:rsidRDefault="00C03F06" w:rsidP="008B27A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534843">
              <w:rPr>
                <w:rFonts w:ascii="Arial" w:hAnsi="Arial" w:cs="Arial"/>
                <w:sz w:val="22"/>
              </w:rPr>
              <w:t>http://kmplot.com/analysis/</w:t>
            </w:r>
          </w:p>
        </w:tc>
      </w:tr>
      <w:tr w:rsidR="008B27A8" w:rsidRPr="008B27A8" w14:paraId="3FEB9531" w14:textId="77777777" w:rsidTr="00D125AE">
        <w:trPr>
          <w:jc w:val="center"/>
        </w:trPr>
        <w:tc>
          <w:tcPr>
            <w:tcW w:w="3861" w:type="dxa"/>
            <w:shd w:val="clear" w:color="auto" w:fill="auto"/>
          </w:tcPr>
          <w:p w14:paraId="232B50CF" w14:textId="77CBE6A4" w:rsidR="008B27A8" w:rsidRPr="00534843" w:rsidRDefault="00C03F06" w:rsidP="008B27A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534843">
              <w:rPr>
                <w:rFonts w:ascii="Arial" w:hAnsi="Arial" w:cs="Arial"/>
                <w:sz w:val="22"/>
              </w:rPr>
              <w:t>Fig.5k-m and Extended data Fig.5f-l</w:t>
            </w:r>
          </w:p>
        </w:tc>
        <w:tc>
          <w:tcPr>
            <w:tcW w:w="4195" w:type="dxa"/>
            <w:shd w:val="clear" w:color="auto" w:fill="auto"/>
          </w:tcPr>
          <w:p w14:paraId="4FC7D2B7" w14:textId="77777777" w:rsidR="008B27A8" w:rsidRPr="00534843" w:rsidRDefault="008B27A8" w:rsidP="008B27A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534843">
              <w:rPr>
                <w:rFonts w:ascii="Arial" w:hAnsi="Arial" w:cs="Arial"/>
                <w:sz w:val="22"/>
              </w:rPr>
              <w:t>https://www.aclbi.com/static/index.html#/</w:t>
            </w:r>
          </w:p>
        </w:tc>
      </w:tr>
    </w:tbl>
    <w:p w14:paraId="54B02051" w14:textId="1627A04A" w:rsidR="008B27A8" w:rsidRDefault="008B27A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093CF47A" w14:textId="77777777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77B4916A" w14:textId="653B8299" w:rsidR="00534843" w:rsidRDefault="00534843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6491343C" w14:textId="027BABA4" w:rsidR="00534843" w:rsidRDefault="00534843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5D745259" w14:textId="5287FAC6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45AC51A0" w14:textId="7EC43CD7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495EFC84" w14:textId="5C0A29E5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0CF61D25" w14:textId="58C8DDF2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2CF76E06" w14:textId="2B449F3E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029DD6CF" w14:textId="7C466909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3438740F" w14:textId="74C942AE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6810083E" w14:textId="5664C36E" w:rsidR="00292B48" w:rsidRDefault="00292B48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72AA2A40" w14:textId="0523CA8C" w:rsidR="00D125AE" w:rsidRDefault="00D125AE" w:rsidP="00946A71">
      <w:pPr>
        <w:spacing w:line="360" w:lineRule="auto"/>
        <w:rPr>
          <w:rFonts w:ascii="Arial" w:hAnsi="Arial" w:cs="Arial"/>
          <w:b/>
          <w:sz w:val="22"/>
        </w:rPr>
      </w:pPr>
    </w:p>
    <w:p w14:paraId="282BAD39" w14:textId="608F17F8" w:rsidR="00E13EDB" w:rsidRPr="00946A71" w:rsidRDefault="001E26AE" w:rsidP="00946A71">
      <w:pPr>
        <w:spacing w:line="360" w:lineRule="auto"/>
        <w:rPr>
          <w:rFonts w:ascii="Arial" w:hAnsi="Arial" w:cs="Arial"/>
          <w:b/>
          <w:sz w:val="22"/>
        </w:rPr>
      </w:pPr>
      <w:r w:rsidRPr="00946A71">
        <w:rPr>
          <w:rFonts w:ascii="Arial" w:hAnsi="Arial" w:cs="Arial"/>
          <w:b/>
          <w:sz w:val="22"/>
        </w:rPr>
        <w:lastRenderedPageBreak/>
        <w:t>Extended data</w:t>
      </w:r>
      <w:r w:rsidR="00E13EDB" w:rsidRPr="00946A71">
        <w:rPr>
          <w:rFonts w:ascii="Arial" w:hAnsi="Arial" w:cs="Arial"/>
          <w:b/>
          <w:sz w:val="22"/>
        </w:rPr>
        <w:t xml:space="preserve"> Figure</w:t>
      </w:r>
      <w:r w:rsidR="00D125AE">
        <w:rPr>
          <w:rFonts w:ascii="Arial" w:hAnsi="Arial" w:cs="Arial"/>
          <w:b/>
          <w:sz w:val="22"/>
        </w:rPr>
        <w:t>s</w:t>
      </w:r>
      <w:r w:rsidR="00E13EDB" w:rsidRPr="00946A71">
        <w:rPr>
          <w:rFonts w:ascii="Arial" w:hAnsi="Arial" w:cs="Arial"/>
          <w:b/>
          <w:sz w:val="22"/>
        </w:rPr>
        <w:t xml:space="preserve"> </w:t>
      </w:r>
      <w:r w:rsidRPr="00946A71">
        <w:rPr>
          <w:rFonts w:ascii="Arial" w:hAnsi="Arial" w:cs="Arial"/>
          <w:b/>
          <w:sz w:val="22"/>
        </w:rPr>
        <w:t xml:space="preserve">and Figure </w:t>
      </w:r>
      <w:r w:rsidR="00E13EDB" w:rsidRPr="00946A71">
        <w:rPr>
          <w:rFonts w:ascii="Arial" w:hAnsi="Arial" w:cs="Arial"/>
          <w:b/>
          <w:sz w:val="22"/>
        </w:rPr>
        <w:t>legends</w:t>
      </w:r>
    </w:p>
    <w:p w14:paraId="1525F027" w14:textId="1AFFEDB0" w:rsidR="001E26AE" w:rsidRPr="00946A71" w:rsidRDefault="00DA59E9" w:rsidP="00946A71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noProof/>
        </w:rPr>
        <w:drawing>
          <wp:inline distT="0" distB="0" distL="0" distR="0" wp14:anchorId="44704B8C" wp14:editId="59EA8EA7">
            <wp:extent cx="5273040" cy="3101340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00"/>
                    <a:stretch/>
                  </pic:blipFill>
                  <pic:spPr bwMode="auto">
                    <a:xfrm>
                      <a:off x="0" y="0"/>
                      <a:ext cx="5273040" cy="310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12712" w14:textId="0C0CC285" w:rsidR="00E13EDB" w:rsidRPr="00946A71" w:rsidRDefault="00946A71" w:rsidP="00D125AE">
      <w:pPr>
        <w:spacing w:line="360" w:lineRule="auto"/>
        <w:rPr>
          <w:rFonts w:ascii="Arial" w:hAnsi="Arial" w:cs="Arial"/>
          <w:b/>
          <w:sz w:val="22"/>
        </w:rPr>
      </w:pPr>
      <w:bookmarkStart w:id="2" w:name="_Hlk122011659"/>
      <w:r w:rsidRPr="00946A71">
        <w:rPr>
          <w:rFonts w:ascii="Arial" w:hAnsi="Arial" w:cs="Arial"/>
          <w:b/>
          <w:sz w:val="22"/>
        </w:rPr>
        <w:t xml:space="preserve">Extended data </w:t>
      </w:r>
      <w:r w:rsidR="00E13EDB" w:rsidRPr="00946A71">
        <w:rPr>
          <w:rFonts w:ascii="Arial" w:hAnsi="Arial" w:cs="Arial"/>
          <w:b/>
          <w:sz w:val="22"/>
        </w:rPr>
        <w:t>Fig.1</w:t>
      </w:r>
      <w:r w:rsidR="00D125AE">
        <w:rPr>
          <w:rFonts w:ascii="Arial" w:hAnsi="Arial" w:cs="Arial"/>
          <w:b/>
          <w:sz w:val="22"/>
        </w:rPr>
        <w:t xml:space="preserve"> </w:t>
      </w:r>
      <w:r w:rsidR="00E13EDB" w:rsidRPr="00946A71">
        <w:rPr>
          <w:rFonts w:ascii="Arial" w:hAnsi="Arial" w:cs="Arial"/>
          <w:b/>
          <w:sz w:val="22"/>
        </w:rPr>
        <w:t>Expression of APEX2-fused RNA214 and protein purifications</w:t>
      </w:r>
    </w:p>
    <w:p w14:paraId="245ED295" w14:textId="318DD005" w:rsidR="00E13EDB" w:rsidRDefault="00946A71" w:rsidP="00946A71">
      <w:pPr>
        <w:spacing w:line="360" w:lineRule="auto"/>
        <w:rPr>
          <w:rFonts w:ascii="Arial" w:hAnsi="Arial" w:cs="Arial"/>
          <w:sz w:val="22"/>
        </w:rPr>
      </w:pPr>
      <w:r w:rsidRPr="00946A71">
        <w:rPr>
          <w:rFonts w:ascii="Arial" w:hAnsi="Arial" w:cs="Arial"/>
          <w:b/>
          <w:sz w:val="22"/>
        </w:rPr>
        <w:t xml:space="preserve">a-b, </w:t>
      </w:r>
      <w:r w:rsidR="00E13EDB" w:rsidRPr="00946A71">
        <w:rPr>
          <w:rFonts w:ascii="Arial" w:hAnsi="Arial" w:cs="Arial"/>
          <w:sz w:val="22"/>
        </w:rPr>
        <w:t xml:space="preserve">The </w:t>
      </w:r>
      <w:r w:rsidR="00821294">
        <w:rPr>
          <w:rFonts w:ascii="Arial" w:hAnsi="Arial" w:cs="Arial"/>
          <w:sz w:val="22"/>
        </w:rPr>
        <w:t>expression</w:t>
      </w:r>
      <w:r w:rsidR="00E13EDB" w:rsidRPr="00946A71">
        <w:rPr>
          <w:rFonts w:ascii="Arial" w:hAnsi="Arial" w:cs="Arial"/>
          <w:sz w:val="22"/>
        </w:rPr>
        <w:t xml:space="preserve"> levels of N-APEX2</w:t>
      </w:r>
      <w:r w:rsidR="00B77F40">
        <w:rPr>
          <w:rFonts w:ascii="Arial" w:hAnsi="Arial" w:cs="Arial"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>RNF214 and C-APEX2</w:t>
      </w:r>
      <w:r w:rsidR="00B77F40">
        <w:rPr>
          <w:rFonts w:ascii="Arial" w:hAnsi="Arial" w:cs="Arial"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>RNF214</w:t>
      </w:r>
      <w:r w:rsidR="00821294">
        <w:rPr>
          <w:rFonts w:ascii="Arial" w:hAnsi="Arial" w:cs="Arial"/>
          <w:sz w:val="22"/>
        </w:rPr>
        <w:t xml:space="preserve"> fusion proteins in HLF cells. </w:t>
      </w:r>
      <w:r w:rsidR="00E13EDB" w:rsidRPr="00946A71">
        <w:rPr>
          <w:rFonts w:ascii="Arial" w:hAnsi="Arial" w:cs="Arial"/>
          <w:sz w:val="22"/>
        </w:rPr>
        <w:t>N-APEX2 or C-APEX2</w:t>
      </w:r>
      <w:r w:rsidR="00B77F40">
        <w:rPr>
          <w:rFonts w:ascii="Arial" w:hAnsi="Arial" w:cs="Arial"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>fused RNF214 proteins were stably expressed in HLF cells using a lentivirus infection method. Blank HLF cells were indicated as control.</w:t>
      </w:r>
      <w:r w:rsidRPr="00946A71"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b/>
          <w:sz w:val="22"/>
        </w:rPr>
        <w:t>c,</w:t>
      </w:r>
      <w:r w:rsidRPr="00946A71">
        <w:rPr>
          <w:rFonts w:ascii="Arial" w:hAnsi="Arial" w:cs="Arial"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 xml:space="preserve">GST-tagged TEAD1 was purified using </w:t>
      </w:r>
      <w:r w:rsidR="00821294">
        <w:rPr>
          <w:rFonts w:ascii="Arial" w:hAnsi="Arial" w:cs="Arial"/>
          <w:sz w:val="22"/>
        </w:rPr>
        <w:t>the</w:t>
      </w:r>
      <w:r w:rsidR="00E13EDB" w:rsidRPr="00946A71">
        <w:rPr>
          <w:rFonts w:ascii="Arial" w:hAnsi="Arial" w:cs="Arial"/>
          <w:sz w:val="22"/>
        </w:rPr>
        <w:t xml:space="preserve"> bacteria system as shown using Coomassie blue staining. </w:t>
      </w:r>
      <w:r w:rsidRPr="00946A71">
        <w:rPr>
          <w:rFonts w:ascii="Arial" w:hAnsi="Arial" w:cs="Arial"/>
          <w:b/>
          <w:sz w:val="22"/>
        </w:rPr>
        <w:t>d,</w:t>
      </w:r>
      <w:r w:rsidR="00E13EDB" w:rsidRPr="00946A71">
        <w:rPr>
          <w:rFonts w:ascii="Arial" w:hAnsi="Arial" w:cs="Arial"/>
          <w:sz w:val="22"/>
        </w:rPr>
        <w:t xml:space="preserve"> Strep-tagged RNF214 was purified using </w:t>
      </w:r>
      <w:proofErr w:type="spellStart"/>
      <w:r w:rsidR="00E13EDB" w:rsidRPr="00946A71">
        <w:rPr>
          <w:rFonts w:ascii="Arial" w:hAnsi="Arial" w:cs="Arial"/>
          <w:sz w:val="22"/>
        </w:rPr>
        <w:t>baculovirus</w:t>
      </w:r>
      <w:proofErr w:type="spellEnd"/>
      <w:r w:rsidR="00E13EDB" w:rsidRPr="00946A71">
        <w:rPr>
          <w:rFonts w:ascii="Arial" w:hAnsi="Arial" w:cs="Arial"/>
          <w:sz w:val="22"/>
        </w:rPr>
        <w:t>-insect cell expression system and eluted by D-</w:t>
      </w:r>
      <w:proofErr w:type="spellStart"/>
      <w:r w:rsidR="00E13EDB" w:rsidRPr="00946A71">
        <w:rPr>
          <w:rFonts w:ascii="Arial" w:hAnsi="Arial" w:cs="Arial"/>
          <w:sz w:val="22"/>
        </w:rPr>
        <w:t>desthiobiotin</w:t>
      </w:r>
      <w:proofErr w:type="spellEnd"/>
      <w:r w:rsidR="00E13EDB" w:rsidRPr="00946A71">
        <w:rPr>
          <w:rFonts w:ascii="Arial" w:hAnsi="Arial" w:cs="Arial"/>
          <w:sz w:val="22"/>
        </w:rPr>
        <w:t xml:space="preserve"> as shown using Coomassie blue staining.</w:t>
      </w:r>
      <w:bookmarkEnd w:id="2"/>
    </w:p>
    <w:p w14:paraId="28720AB6" w14:textId="77777777" w:rsidR="00534843" w:rsidRPr="00946A71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64C15F2A" w14:textId="7A673BAC" w:rsidR="00E13EDB" w:rsidRPr="00946A71" w:rsidRDefault="00E13EDB" w:rsidP="00946A71">
      <w:pPr>
        <w:spacing w:line="360" w:lineRule="auto"/>
        <w:rPr>
          <w:rFonts w:ascii="Arial" w:hAnsi="Arial" w:cs="Arial"/>
          <w:sz w:val="22"/>
        </w:rPr>
      </w:pPr>
      <w:r w:rsidRPr="00946A71">
        <w:rPr>
          <w:rFonts w:ascii="Arial" w:hAnsi="Arial" w:cs="Arial"/>
          <w:sz w:val="22"/>
        </w:rPr>
        <w:t xml:space="preserve"> </w:t>
      </w:r>
      <w:r w:rsidR="008E3291">
        <w:rPr>
          <w:rFonts w:ascii="Arial" w:hAnsi="Arial" w:cs="Arial"/>
          <w:noProof/>
        </w:rPr>
        <w:lastRenderedPageBreak/>
        <w:drawing>
          <wp:inline distT="0" distB="0" distL="0" distR="0" wp14:anchorId="7485AC21" wp14:editId="1071305C">
            <wp:extent cx="5273040" cy="5593080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828"/>
                    <a:stretch/>
                  </pic:blipFill>
                  <pic:spPr bwMode="auto">
                    <a:xfrm>
                      <a:off x="0" y="0"/>
                      <a:ext cx="5273040" cy="559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6CC192" w14:textId="447E7296" w:rsidR="00E13EDB" w:rsidRPr="00946A71" w:rsidRDefault="00946A71" w:rsidP="00946A71">
      <w:pPr>
        <w:spacing w:line="360" w:lineRule="auto"/>
        <w:rPr>
          <w:rFonts w:ascii="Arial" w:hAnsi="Arial" w:cs="Arial"/>
          <w:b/>
          <w:sz w:val="22"/>
        </w:rPr>
      </w:pPr>
      <w:bookmarkStart w:id="3" w:name="_Hlk122011823"/>
      <w:r w:rsidRPr="00946A71">
        <w:rPr>
          <w:rFonts w:ascii="Arial" w:hAnsi="Arial" w:cs="Arial"/>
          <w:b/>
          <w:sz w:val="22"/>
        </w:rPr>
        <w:t>Extended data Fig.2</w:t>
      </w:r>
      <w:r w:rsidR="00E13EDB" w:rsidRPr="00946A71">
        <w:rPr>
          <w:rFonts w:ascii="Arial" w:hAnsi="Arial" w:cs="Arial"/>
          <w:b/>
          <w:sz w:val="22"/>
        </w:rPr>
        <w:t xml:space="preserve"> RNF214 promotes Hippo-regulated transcription</w:t>
      </w:r>
    </w:p>
    <w:p w14:paraId="10153057" w14:textId="50E3675E" w:rsidR="002D4B37" w:rsidRDefault="00946A71" w:rsidP="00B51965">
      <w:pPr>
        <w:spacing w:line="360" w:lineRule="auto"/>
        <w:rPr>
          <w:rFonts w:ascii="Arial" w:hAnsi="Arial" w:cs="Arial"/>
          <w:sz w:val="22"/>
        </w:rPr>
      </w:pPr>
      <w:r w:rsidRPr="00B77F40">
        <w:rPr>
          <w:rFonts w:ascii="Arial" w:hAnsi="Arial" w:cs="Arial"/>
          <w:b/>
          <w:sz w:val="22"/>
        </w:rPr>
        <w:t>a,</w:t>
      </w:r>
      <w:r w:rsidR="00E13EDB" w:rsidRPr="00B77F40">
        <w:rPr>
          <w:rFonts w:ascii="Arial" w:hAnsi="Arial" w:cs="Arial"/>
          <w:b/>
          <w:sz w:val="22"/>
        </w:rPr>
        <w:t xml:space="preserve"> </w:t>
      </w:r>
      <w:r w:rsidR="00C30DAD" w:rsidRPr="00B77F40">
        <w:rPr>
          <w:rFonts w:ascii="Arial" w:hAnsi="Arial" w:cs="Arial"/>
          <w:sz w:val="22"/>
        </w:rPr>
        <w:t xml:space="preserve">RNF214 </w:t>
      </w:r>
      <w:r w:rsidR="002A5811" w:rsidRPr="00B77F40">
        <w:rPr>
          <w:rFonts w:ascii="Arial" w:hAnsi="Arial" w:cs="Arial"/>
          <w:sz w:val="22"/>
        </w:rPr>
        <w:t>promotes expression of</w:t>
      </w:r>
      <w:r w:rsidR="002A5811" w:rsidRPr="00B77F40">
        <w:rPr>
          <w:rFonts w:ascii="Arial" w:hAnsi="Arial" w:cs="Arial"/>
          <w:b/>
          <w:sz w:val="22"/>
        </w:rPr>
        <w:t xml:space="preserve"> </w:t>
      </w:r>
      <w:r w:rsidRPr="00B77F40">
        <w:rPr>
          <w:rFonts w:ascii="Arial" w:hAnsi="Arial" w:cs="Arial"/>
          <w:sz w:val="22"/>
        </w:rPr>
        <w:t xml:space="preserve">TEADs target genes in Hep3b cells. </w:t>
      </w:r>
      <w:r w:rsidR="002A5811" w:rsidRPr="00B77F40">
        <w:rPr>
          <w:rFonts w:ascii="Arial" w:hAnsi="Arial" w:cs="Arial"/>
          <w:sz w:val="22"/>
        </w:rPr>
        <w:t>RNF214 was knocked down using siRNA and siRNA-resistant cDNA of RNF214 was putted back to RNF214-knockdown cells using lentivirus infection method to rescue reduced expression of TEADs target genes.</w:t>
      </w:r>
      <w:r w:rsidR="002A5811" w:rsidRPr="00B77F40">
        <w:rPr>
          <w:rFonts w:ascii="Arial" w:hAnsi="Arial" w:cs="Arial"/>
          <w:b/>
          <w:sz w:val="22"/>
        </w:rPr>
        <w:t xml:space="preserve"> </w:t>
      </w:r>
      <w:r w:rsidR="002A5811" w:rsidRPr="00B77F40">
        <w:rPr>
          <w:rFonts w:ascii="Arial" w:hAnsi="Arial" w:cs="Arial"/>
          <w:sz w:val="22"/>
        </w:rPr>
        <w:t xml:space="preserve">Expressions of TEADs target proteins were detected using Western blotting. </w:t>
      </w:r>
      <w:r w:rsidRPr="00B77F40">
        <w:rPr>
          <w:rFonts w:ascii="Arial" w:hAnsi="Arial" w:cs="Arial"/>
          <w:b/>
          <w:sz w:val="22"/>
        </w:rPr>
        <w:t xml:space="preserve">b, </w:t>
      </w:r>
      <w:r w:rsidR="002A5811" w:rsidRPr="00B77F40">
        <w:rPr>
          <w:rFonts w:ascii="Arial" w:hAnsi="Arial" w:cs="Arial"/>
          <w:sz w:val="22"/>
        </w:rPr>
        <w:t>RNF214 promotes expression of</w:t>
      </w:r>
      <w:r w:rsidR="002A5811" w:rsidRPr="00B77F40">
        <w:rPr>
          <w:rFonts w:ascii="Arial" w:hAnsi="Arial" w:cs="Arial"/>
          <w:b/>
          <w:sz w:val="22"/>
        </w:rPr>
        <w:t xml:space="preserve"> </w:t>
      </w:r>
      <w:r w:rsidR="002A5811" w:rsidRPr="00B77F40">
        <w:rPr>
          <w:rFonts w:ascii="Arial" w:hAnsi="Arial" w:cs="Arial"/>
          <w:sz w:val="22"/>
        </w:rPr>
        <w:t>TEADs target genes in Huh7 cells. RNF214 was knocked down using siRNA and expressions of TEADs target proteins were detected using Western blotting.</w:t>
      </w:r>
      <w:r w:rsidRPr="00946A71"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b/>
          <w:sz w:val="22"/>
        </w:rPr>
        <w:t>c,</w:t>
      </w:r>
      <w:r w:rsidR="00E13EDB" w:rsidRPr="00946A71">
        <w:rPr>
          <w:rFonts w:ascii="Arial" w:hAnsi="Arial" w:cs="Arial"/>
          <w:sz w:val="22"/>
        </w:rPr>
        <w:t xml:space="preserve"> Schematic diagram of RNF214 domains. Deletions or full length of RNF214 were shown in the diagrams.</w:t>
      </w:r>
      <w:r w:rsidRPr="00946A71"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b/>
          <w:sz w:val="22"/>
        </w:rPr>
        <w:t>d-e,</w:t>
      </w:r>
      <w:r w:rsidRPr="00946A71">
        <w:rPr>
          <w:rFonts w:ascii="Arial" w:hAnsi="Arial" w:cs="Arial"/>
          <w:sz w:val="22"/>
        </w:rPr>
        <w:t xml:space="preserve"> Western blot</w:t>
      </w:r>
      <w:r w:rsidR="00E167B6">
        <w:rPr>
          <w:rFonts w:ascii="Arial" w:hAnsi="Arial" w:cs="Arial" w:hint="eastAsia"/>
          <w:sz w:val="22"/>
        </w:rPr>
        <w:t>ting</w:t>
      </w:r>
      <w:r w:rsidRPr="00946A71">
        <w:rPr>
          <w:rFonts w:ascii="Arial" w:hAnsi="Arial" w:cs="Arial"/>
          <w:sz w:val="22"/>
        </w:rPr>
        <w:t xml:space="preserve"> of TEADs target genes in Huh7 cells. </w:t>
      </w:r>
      <w:r w:rsidRPr="00946A71">
        <w:rPr>
          <w:rFonts w:ascii="Arial" w:hAnsi="Arial" w:cs="Arial"/>
          <w:b/>
          <w:sz w:val="22"/>
        </w:rPr>
        <w:t>f,</w:t>
      </w:r>
      <w:r w:rsidR="00E13EDB" w:rsidRPr="00946A71">
        <w:rPr>
          <w:rFonts w:ascii="Arial" w:hAnsi="Arial" w:cs="Arial"/>
          <w:sz w:val="22"/>
        </w:rPr>
        <w:t xml:space="preserve"> Schema showing </w:t>
      </w:r>
      <w:r w:rsidR="00E13EDB" w:rsidRPr="00946A71">
        <w:rPr>
          <w:rFonts w:ascii="Arial" w:hAnsi="Arial" w:cs="Arial"/>
          <w:sz w:val="22"/>
        </w:rPr>
        <w:lastRenderedPageBreak/>
        <w:t>oligomerization of RNF214.</w:t>
      </w:r>
      <w:r w:rsidRPr="00946A71"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b/>
          <w:sz w:val="22"/>
        </w:rPr>
        <w:t>g,</w:t>
      </w:r>
      <w:r w:rsidR="00E13EDB" w:rsidRPr="00946A71">
        <w:rPr>
          <w:rFonts w:ascii="Arial" w:hAnsi="Arial" w:cs="Arial"/>
          <w:sz w:val="22"/>
        </w:rPr>
        <w:t xml:space="preserve"> RNF214 forms oligomer. HEK293T cells were transfected with Flag-RNF214 and HA-RNF214 plasmids. 24 hours after transfection, </w:t>
      </w:r>
      <w:r w:rsidR="00733072">
        <w:rPr>
          <w:rFonts w:ascii="Arial" w:hAnsi="Arial" w:cs="Arial"/>
          <w:sz w:val="22"/>
        </w:rPr>
        <w:t>C</w:t>
      </w:r>
      <w:r w:rsidR="00E13EDB" w:rsidRPr="00946A71">
        <w:rPr>
          <w:rFonts w:ascii="Arial" w:hAnsi="Arial" w:cs="Arial"/>
          <w:sz w:val="22"/>
        </w:rPr>
        <w:t>o-IP and immunoblotting were performed using anti-Flag or anti-HA antibodies as indicated in the figure.</w:t>
      </w:r>
      <w:r w:rsidR="00E167B6"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b/>
          <w:sz w:val="22"/>
        </w:rPr>
        <w:t>h,</w:t>
      </w:r>
      <w:r w:rsidR="00E13EDB" w:rsidRPr="00946A71">
        <w:rPr>
          <w:rFonts w:ascii="Arial" w:hAnsi="Arial" w:cs="Arial"/>
          <w:b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>RNF214 self-associates through the coiled-coil domain. HEK293T cells were transfected with HA-RNF214 and full-length Flag-RNF214 or its mutants as indicated. 24 hours after transfection, co-IP and immunoblotting were performed using anti-HA antibody as indicated in the figure.</w:t>
      </w:r>
      <w:r>
        <w:rPr>
          <w:rFonts w:ascii="Arial" w:hAnsi="Arial" w:cs="Arial"/>
          <w:sz w:val="22"/>
        </w:rPr>
        <w:t xml:space="preserve"> </w:t>
      </w:r>
      <w:proofErr w:type="spellStart"/>
      <w:r w:rsidRPr="00946A71">
        <w:rPr>
          <w:rFonts w:ascii="Arial" w:hAnsi="Arial" w:cs="Arial"/>
          <w:b/>
          <w:sz w:val="22"/>
        </w:rPr>
        <w:t>i</w:t>
      </w:r>
      <w:proofErr w:type="spellEnd"/>
      <w:r w:rsidRPr="00946A71">
        <w:rPr>
          <w:rFonts w:ascii="Arial" w:hAnsi="Arial" w:cs="Arial"/>
          <w:b/>
          <w:sz w:val="22"/>
        </w:rPr>
        <w:t>-j,</w:t>
      </w:r>
      <w:r w:rsidR="00E13EDB" w:rsidRPr="00946A71">
        <w:rPr>
          <w:rFonts w:ascii="Arial" w:hAnsi="Arial" w:cs="Arial"/>
          <w:sz w:val="22"/>
        </w:rPr>
        <w:t xml:space="preserve"> N-terminus of RNF214 is responsible for the interactions between RNF214 and TEADs. </w:t>
      </w:r>
      <w:proofErr w:type="spellStart"/>
      <w:r w:rsidRPr="00946A71">
        <w:rPr>
          <w:rFonts w:ascii="Arial" w:hAnsi="Arial" w:cs="Arial"/>
          <w:b/>
          <w:sz w:val="22"/>
        </w:rPr>
        <w:t>i</w:t>
      </w:r>
      <w:proofErr w:type="spellEnd"/>
      <w:r w:rsidRPr="00946A71">
        <w:rPr>
          <w:rFonts w:ascii="Arial" w:hAnsi="Arial" w:cs="Arial"/>
          <w:b/>
          <w:sz w:val="22"/>
        </w:rPr>
        <w:t>,</w:t>
      </w:r>
      <w:r w:rsidR="002D4B37" w:rsidRPr="002D4B37">
        <w:rPr>
          <w:rFonts w:ascii="Arial" w:hAnsi="Arial" w:cs="Arial"/>
          <w:i/>
          <w:iCs/>
          <w:sz w:val="22"/>
        </w:rPr>
        <w:t xml:space="preserve"> </w:t>
      </w:r>
      <w:r w:rsidR="002D4B37" w:rsidRPr="00946A71">
        <w:rPr>
          <w:rFonts w:ascii="Arial" w:hAnsi="Arial" w:cs="Arial"/>
          <w:i/>
          <w:iCs/>
          <w:sz w:val="22"/>
        </w:rPr>
        <w:t>In vitro</w:t>
      </w:r>
      <w:r w:rsidR="002D4B37" w:rsidRPr="00946A71">
        <w:rPr>
          <w:rFonts w:ascii="Arial" w:hAnsi="Arial" w:cs="Arial"/>
          <w:sz w:val="22"/>
        </w:rPr>
        <w:t xml:space="preserve"> GST pulldown assay to detect interactions between purified GST-TEAD1 and </w:t>
      </w:r>
      <w:r w:rsidR="00733072">
        <w:rPr>
          <w:rFonts w:ascii="Arial" w:hAnsi="Arial" w:cs="Arial"/>
          <w:sz w:val="22"/>
        </w:rPr>
        <w:t>HA-</w:t>
      </w:r>
      <w:r w:rsidR="002D4B37" w:rsidRPr="00946A71">
        <w:rPr>
          <w:rFonts w:ascii="Arial" w:hAnsi="Arial" w:cs="Arial"/>
          <w:sz w:val="22"/>
        </w:rPr>
        <w:t xml:space="preserve">RNF214 mutants synthesized using the TNT Coupled Reticulocyte Lysate </w:t>
      </w:r>
      <w:r w:rsidR="002D4B37" w:rsidRPr="00E167B6">
        <w:rPr>
          <w:rFonts w:ascii="Arial" w:hAnsi="Arial" w:cs="Arial"/>
          <w:sz w:val="22"/>
        </w:rPr>
        <w:t>System, with GST protein as a negative control. The input and pulldown samples were shown below.</w:t>
      </w:r>
      <w:r w:rsidR="00E13EDB" w:rsidRPr="00946A71"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b/>
          <w:sz w:val="22"/>
        </w:rPr>
        <w:t>j,</w:t>
      </w:r>
    </w:p>
    <w:p w14:paraId="14508879" w14:textId="17EC26F1" w:rsidR="00B51965" w:rsidRPr="0006653A" w:rsidRDefault="002D4B37" w:rsidP="00B51965">
      <w:pPr>
        <w:spacing w:line="360" w:lineRule="auto"/>
        <w:rPr>
          <w:rFonts w:ascii="Arial" w:hAnsi="Arial" w:cs="Arial"/>
          <w:sz w:val="22"/>
        </w:rPr>
      </w:pPr>
      <w:r w:rsidRPr="00946A71">
        <w:rPr>
          <w:rFonts w:ascii="Arial" w:hAnsi="Arial" w:cs="Arial"/>
          <w:sz w:val="22"/>
        </w:rPr>
        <w:t xml:space="preserve">HEK293T cells were transfected with Myc-TEAD2 and full-length Flag-RNF214 or its mutants as indicated. 24 hours post-transfection, </w:t>
      </w:r>
      <w:r>
        <w:rPr>
          <w:rFonts w:ascii="Arial" w:hAnsi="Arial" w:cs="Arial"/>
          <w:sz w:val="22"/>
        </w:rPr>
        <w:t>C</w:t>
      </w:r>
      <w:r w:rsidRPr="00946A71">
        <w:rPr>
          <w:rFonts w:ascii="Arial" w:hAnsi="Arial" w:cs="Arial"/>
          <w:sz w:val="22"/>
        </w:rPr>
        <w:t>o-IP and immunoblotting were performed using anti-</w:t>
      </w:r>
      <w:proofErr w:type="spellStart"/>
      <w:r w:rsidRPr="00946A71">
        <w:rPr>
          <w:rFonts w:ascii="Arial" w:hAnsi="Arial" w:cs="Arial"/>
          <w:sz w:val="22"/>
        </w:rPr>
        <w:t>Myc</w:t>
      </w:r>
      <w:proofErr w:type="spellEnd"/>
      <w:r w:rsidRPr="00946A71">
        <w:rPr>
          <w:rFonts w:ascii="Arial" w:hAnsi="Arial" w:cs="Arial"/>
          <w:sz w:val="22"/>
        </w:rPr>
        <w:t xml:space="preserve"> antibody as indicated in the figure.</w:t>
      </w:r>
      <w:r>
        <w:rPr>
          <w:rFonts w:ascii="Arial" w:hAnsi="Arial" w:cs="Arial"/>
          <w:sz w:val="22"/>
        </w:rPr>
        <w:t xml:space="preserve"> </w:t>
      </w:r>
      <w:r w:rsidR="00946A71" w:rsidRPr="00E167B6">
        <w:rPr>
          <w:rFonts w:ascii="Arial" w:hAnsi="Arial" w:cs="Arial" w:hint="eastAsia"/>
          <w:b/>
          <w:sz w:val="22"/>
        </w:rPr>
        <w:t>k</w:t>
      </w:r>
      <w:r w:rsidR="00946A71" w:rsidRPr="00E167B6">
        <w:rPr>
          <w:rFonts w:ascii="Arial" w:hAnsi="Arial" w:cs="Arial"/>
          <w:b/>
          <w:sz w:val="22"/>
        </w:rPr>
        <w:t>,</w:t>
      </w:r>
      <w:r w:rsidR="00946A71" w:rsidRPr="00E167B6">
        <w:rPr>
          <w:rFonts w:ascii="Arial" w:hAnsi="Arial" w:cs="Arial"/>
          <w:sz w:val="22"/>
        </w:rPr>
        <w:t xml:space="preserve"> </w:t>
      </w:r>
      <w:r w:rsidR="002A5811" w:rsidRPr="00E167B6">
        <w:rPr>
          <w:rFonts w:ascii="Arial" w:hAnsi="Arial" w:cs="Arial"/>
          <w:sz w:val="22"/>
        </w:rPr>
        <w:t>The NTD mutant of RNF214 couldn’t rescue the RNA214 knockdown phenotype. RNF214 was silenced using siRNA and then the siRNA-resistant NTD truncation of RNF214 was expressed in RNF214-knockdown cells using lentivirus infection method.</w:t>
      </w:r>
      <w:r w:rsidR="002A5811" w:rsidRPr="00E167B6">
        <w:rPr>
          <w:rFonts w:ascii="Arial" w:hAnsi="Arial" w:cs="Arial"/>
          <w:b/>
          <w:sz w:val="22"/>
        </w:rPr>
        <w:t xml:space="preserve"> </w:t>
      </w:r>
      <w:r w:rsidR="002A5811" w:rsidRPr="00E167B6">
        <w:rPr>
          <w:rFonts w:ascii="Arial" w:hAnsi="Arial" w:cs="Arial"/>
          <w:sz w:val="22"/>
        </w:rPr>
        <w:t>Expressions of TEADs target proteins were detected using Western blotting.</w:t>
      </w:r>
      <w:r w:rsidR="00B51965" w:rsidRPr="00E167B6">
        <w:rPr>
          <w:rFonts w:ascii="Arial" w:hAnsi="Arial" w:cs="Arial"/>
          <w:sz w:val="22"/>
        </w:rPr>
        <w:t xml:space="preserve"> J044 is the home-made anti-RNF214 antibody.</w:t>
      </w:r>
      <w:r w:rsidR="00831C39">
        <w:rPr>
          <w:rFonts w:ascii="Arial" w:hAnsi="Arial" w:cs="Arial" w:hint="eastAsia"/>
          <w:sz w:val="22"/>
        </w:rPr>
        <w:t xml:space="preserve"> </w:t>
      </w:r>
      <w:r w:rsidR="00831C39">
        <w:rPr>
          <w:rFonts w:ascii="Arial" w:hAnsi="Arial" w:cs="Arial"/>
          <w:sz w:val="22"/>
        </w:rPr>
        <w:t>‘</w:t>
      </w:r>
      <w:r w:rsidR="00831C39" w:rsidRPr="00831C39">
        <w:rPr>
          <w:rFonts w:ascii="Arial" w:hAnsi="Arial" w:cs="Arial"/>
          <w:sz w:val="22"/>
        </w:rPr>
        <w:t>*</w:t>
      </w:r>
      <w:r w:rsidR="00831C39">
        <w:rPr>
          <w:rFonts w:ascii="Arial" w:hAnsi="Arial" w:cs="Arial"/>
          <w:sz w:val="22"/>
        </w:rPr>
        <w:t xml:space="preserve">’ </w:t>
      </w:r>
      <w:r w:rsidR="00831C39" w:rsidRPr="00831C39">
        <w:rPr>
          <w:rFonts w:ascii="Arial" w:hAnsi="Arial" w:cs="Arial"/>
          <w:sz w:val="22"/>
        </w:rPr>
        <w:t>indicates non-specific band</w:t>
      </w:r>
      <w:r w:rsidR="00831C39">
        <w:rPr>
          <w:rFonts w:ascii="Arial" w:hAnsi="Arial" w:cs="Arial"/>
          <w:sz w:val="22"/>
        </w:rPr>
        <w:t>.</w:t>
      </w:r>
    </w:p>
    <w:p w14:paraId="45D6D518" w14:textId="72DE70B1" w:rsidR="001E26AE" w:rsidRDefault="001E26AE" w:rsidP="00946A71">
      <w:pPr>
        <w:spacing w:line="360" w:lineRule="auto"/>
        <w:rPr>
          <w:rFonts w:ascii="Arial" w:hAnsi="Arial" w:cs="Arial"/>
          <w:sz w:val="22"/>
        </w:rPr>
      </w:pPr>
    </w:p>
    <w:p w14:paraId="5705DA8E" w14:textId="77777777" w:rsidR="00C03F06" w:rsidRDefault="00C03F06" w:rsidP="00946A71">
      <w:pPr>
        <w:spacing w:line="360" w:lineRule="auto"/>
        <w:rPr>
          <w:rFonts w:ascii="Arial" w:hAnsi="Arial" w:cs="Arial"/>
          <w:sz w:val="22"/>
        </w:rPr>
      </w:pPr>
    </w:p>
    <w:p w14:paraId="640685D9" w14:textId="6D4F70EC" w:rsidR="001E26AE" w:rsidRPr="00946A71" w:rsidRDefault="008E3291" w:rsidP="00946A71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23040C1F" wp14:editId="0B76F4AC">
            <wp:extent cx="5273040" cy="3870960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592"/>
                    <a:stretch/>
                  </pic:blipFill>
                  <pic:spPr bwMode="auto">
                    <a:xfrm>
                      <a:off x="0" y="0"/>
                      <a:ext cx="5273040" cy="387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47C769" w14:textId="5CA7222C" w:rsidR="00E13EDB" w:rsidRPr="00946A71" w:rsidRDefault="00946A71" w:rsidP="00946A71">
      <w:pPr>
        <w:spacing w:line="360" w:lineRule="auto"/>
        <w:rPr>
          <w:rFonts w:ascii="Arial" w:hAnsi="Arial" w:cs="Arial"/>
          <w:b/>
          <w:sz w:val="22"/>
        </w:rPr>
      </w:pPr>
      <w:bookmarkStart w:id="4" w:name="_Hlk122011960"/>
      <w:bookmarkEnd w:id="3"/>
      <w:r w:rsidRPr="00E11EF5">
        <w:rPr>
          <w:rFonts w:ascii="Arial" w:hAnsi="Arial" w:cs="Arial"/>
          <w:b/>
          <w:sz w:val="22"/>
        </w:rPr>
        <w:t>Extended data Fig.3</w:t>
      </w:r>
      <w:r w:rsidR="00E13EDB" w:rsidRPr="00E11EF5">
        <w:rPr>
          <w:rFonts w:ascii="Arial" w:hAnsi="Arial" w:cs="Arial"/>
          <w:b/>
          <w:sz w:val="22"/>
        </w:rPr>
        <w:t xml:space="preserve"> RNF214 promotes </w:t>
      </w:r>
      <w:r w:rsidRPr="00E11EF5">
        <w:rPr>
          <w:rFonts w:ascii="Arial" w:hAnsi="Arial" w:cs="Arial"/>
          <w:b/>
          <w:sz w:val="22"/>
        </w:rPr>
        <w:t>nonproteolytic poly</w:t>
      </w:r>
      <w:r w:rsidR="009162BF" w:rsidRPr="00E11EF5">
        <w:rPr>
          <w:rFonts w:ascii="Arial" w:hAnsi="Arial" w:cs="Arial"/>
          <w:b/>
          <w:sz w:val="22"/>
        </w:rPr>
        <w:t>ubiquitylation</w:t>
      </w:r>
      <w:r w:rsidRPr="00E11EF5">
        <w:rPr>
          <w:rFonts w:ascii="Arial" w:hAnsi="Arial" w:cs="Arial"/>
          <w:b/>
          <w:sz w:val="22"/>
        </w:rPr>
        <w:t xml:space="preserve"> of TEADs</w:t>
      </w:r>
    </w:p>
    <w:p w14:paraId="67D80237" w14:textId="02EF5694" w:rsidR="00E13EDB" w:rsidRDefault="00946A71" w:rsidP="00946A71">
      <w:pPr>
        <w:spacing w:line="360" w:lineRule="auto"/>
        <w:rPr>
          <w:rFonts w:ascii="Arial" w:hAnsi="Arial" w:cs="Arial"/>
          <w:sz w:val="22"/>
        </w:rPr>
      </w:pPr>
      <w:r w:rsidRPr="00946A71">
        <w:rPr>
          <w:rFonts w:ascii="Arial" w:hAnsi="Arial" w:cs="Arial"/>
          <w:b/>
          <w:sz w:val="22"/>
        </w:rPr>
        <w:t>a,</w:t>
      </w:r>
      <w:r w:rsidR="00E13EDB" w:rsidRPr="00946A71">
        <w:rPr>
          <w:rFonts w:ascii="Arial" w:hAnsi="Arial" w:cs="Arial"/>
          <w:sz w:val="22"/>
        </w:rPr>
        <w:t xml:space="preserve"> RNF214 promotes TEAD1 ubiquitylation. A biotinylated </w:t>
      </w:r>
      <w:proofErr w:type="spellStart"/>
      <w:r w:rsidR="00E13EDB" w:rsidRPr="00946A71">
        <w:rPr>
          <w:rFonts w:ascii="Arial" w:hAnsi="Arial" w:cs="Arial"/>
          <w:sz w:val="22"/>
        </w:rPr>
        <w:t>Avi</w:t>
      </w:r>
      <w:proofErr w:type="spellEnd"/>
      <w:r w:rsidR="00E13EDB" w:rsidRPr="00946A71">
        <w:rPr>
          <w:rFonts w:ascii="Arial" w:hAnsi="Arial" w:cs="Arial"/>
          <w:sz w:val="22"/>
        </w:rPr>
        <w:t xml:space="preserve">-tagged TEAD1 (Bio-TEAD1) was expressed in HLF cells. Flag-RNF214 was transfected into the same HLF cells and biotin (2 </w:t>
      </w:r>
      <w:r w:rsidR="00E13EDB" w:rsidRPr="00946A71">
        <w:rPr>
          <w:rFonts w:ascii="Arial" w:hAnsi="Arial" w:cs="Arial"/>
          <w:sz w:val="22"/>
        </w:rPr>
        <w:sym w:font="Symbol" w:char="F06D"/>
      </w:r>
      <w:r w:rsidR="00E13EDB" w:rsidRPr="00946A71">
        <w:rPr>
          <w:rFonts w:ascii="Arial" w:hAnsi="Arial" w:cs="Arial"/>
          <w:sz w:val="22"/>
        </w:rPr>
        <w:t xml:space="preserve">g/mL) was added to culture medium overnight before cell harvest. 36 hours after transfection, biotinylated-TEAD1 proteins were pulled down using </w:t>
      </w:r>
      <w:r w:rsidR="00D24837">
        <w:rPr>
          <w:rFonts w:ascii="Arial" w:hAnsi="Arial" w:cs="Arial"/>
          <w:sz w:val="22"/>
        </w:rPr>
        <w:t>S</w:t>
      </w:r>
      <w:r w:rsidR="00E13EDB" w:rsidRPr="00946A71">
        <w:rPr>
          <w:rFonts w:ascii="Arial" w:hAnsi="Arial" w:cs="Arial"/>
          <w:sz w:val="22"/>
        </w:rPr>
        <w:t>treptavidin beads under a denaturing buffer condition. Ubiquitylated TEAD1 proteins were detected using an anti-ubiquitin antibody.</w:t>
      </w:r>
      <w:r w:rsidR="00C56EA9">
        <w:rPr>
          <w:rFonts w:ascii="Arial" w:hAnsi="Arial" w:cs="Arial"/>
          <w:sz w:val="22"/>
        </w:rPr>
        <w:t xml:space="preserve"> </w:t>
      </w:r>
      <w:r w:rsidR="00C56EA9" w:rsidRPr="00C56EA9">
        <w:rPr>
          <w:rFonts w:ascii="Arial" w:hAnsi="Arial" w:cs="Arial"/>
          <w:b/>
          <w:sz w:val="22"/>
        </w:rPr>
        <w:t>b,</w:t>
      </w:r>
      <w:r w:rsidR="00E13EDB" w:rsidRPr="00946A71">
        <w:rPr>
          <w:rFonts w:ascii="Arial" w:hAnsi="Arial" w:cs="Arial"/>
          <w:sz w:val="22"/>
        </w:rPr>
        <w:t xml:space="preserve"> The RD mutation of RNF214 reduces its ubiquitylation activity towards TEAD4. Flag-RNF214 WT or the Flag-RNF214 RD mutant was transfected into HLF cells expressing a biotinylated Avi-TEAD4 (Bio-TEAD4). 36 hours after transfection, </w:t>
      </w:r>
      <w:r w:rsidR="00CF33A9">
        <w:rPr>
          <w:rFonts w:ascii="Arial" w:hAnsi="Arial" w:cs="Arial"/>
          <w:sz w:val="22"/>
        </w:rPr>
        <w:t>u</w:t>
      </w:r>
      <w:r w:rsidR="00E13EDB" w:rsidRPr="00946A71">
        <w:rPr>
          <w:rFonts w:ascii="Arial" w:hAnsi="Arial" w:cs="Arial"/>
          <w:sz w:val="22"/>
        </w:rPr>
        <w:t xml:space="preserve">biquitylated TEAD4 proteins were detected </w:t>
      </w:r>
      <w:r w:rsidR="00CF33A9">
        <w:rPr>
          <w:rFonts w:ascii="Arial" w:hAnsi="Arial" w:cs="Arial"/>
          <w:sz w:val="22"/>
        </w:rPr>
        <w:t>as shown in</w:t>
      </w:r>
      <w:r w:rsidR="0059496C">
        <w:rPr>
          <w:rFonts w:ascii="Arial" w:hAnsi="Arial" w:cs="Arial"/>
          <w:sz w:val="22"/>
        </w:rPr>
        <w:t xml:space="preserve"> (</w:t>
      </w:r>
      <w:r w:rsidR="00CF33A9" w:rsidRPr="00CF33A9">
        <w:rPr>
          <w:rFonts w:ascii="Arial" w:hAnsi="Arial" w:cs="Arial"/>
          <w:b/>
          <w:sz w:val="22"/>
        </w:rPr>
        <w:t>a</w:t>
      </w:r>
      <w:r w:rsidR="0059496C" w:rsidRPr="0059496C">
        <w:rPr>
          <w:rFonts w:ascii="Arial" w:hAnsi="Arial" w:cs="Arial"/>
          <w:sz w:val="22"/>
        </w:rPr>
        <w:t>)</w:t>
      </w:r>
      <w:r w:rsidR="00CF33A9">
        <w:rPr>
          <w:rFonts w:ascii="Arial" w:hAnsi="Arial" w:cs="Arial"/>
          <w:sz w:val="22"/>
        </w:rPr>
        <w:t>.</w:t>
      </w:r>
      <w:r w:rsidR="00C56EA9" w:rsidRPr="00C56EA9">
        <w:rPr>
          <w:rFonts w:ascii="Arial" w:hAnsi="Arial" w:cs="Arial"/>
          <w:b/>
          <w:sz w:val="22"/>
        </w:rPr>
        <w:t xml:space="preserve"> </w:t>
      </w:r>
      <w:r w:rsidR="0059496C">
        <w:rPr>
          <w:rFonts w:ascii="Arial" w:hAnsi="Arial" w:cs="Arial" w:hint="eastAsia"/>
          <w:b/>
          <w:sz w:val="22"/>
        </w:rPr>
        <w:t>c</w:t>
      </w:r>
      <w:r w:rsidR="00D24837" w:rsidRPr="0059496C">
        <w:rPr>
          <w:rFonts w:ascii="Arial" w:hAnsi="Arial" w:cs="Arial"/>
          <w:b/>
          <w:sz w:val="22"/>
        </w:rPr>
        <w:t>,</w:t>
      </w:r>
      <w:r w:rsidR="00D24837" w:rsidRPr="0059496C">
        <w:rPr>
          <w:rFonts w:ascii="Arial" w:hAnsi="Arial" w:cs="Arial"/>
          <w:sz w:val="22"/>
        </w:rPr>
        <w:t xml:space="preserve"> Depletion of RNF214 has no effect on protein levels of TEADs and YAP/TAZ. Hep3b cells were transfected with siRNF214 and protein samples were harvested for Western blotting using indicated antibodies.</w:t>
      </w:r>
      <w:r w:rsidR="0059496C" w:rsidRPr="0059496C">
        <w:rPr>
          <w:rFonts w:ascii="Arial" w:hAnsi="Arial" w:cs="Arial" w:hint="eastAsia"/>
          <w:b/>
          <w:sz w:val="22"/>
        </w:rPr>
        <w:t xml:space="preserve"> </w:t>
      </w:r>
      <w:r w:rsidR="0059496C" w:rsidRPr="00DF31CF">
        <w:rPr>
          <w:rFonts w:ascii="Arial" w:hAnsi="Arial" w:cs="Arial" w:hint="eastAsia"/>
          <w:b/>
          <w:sz w:val="22"/>
        </w:rPr>
        <w:t>d</w:t>
      </w:r>
      <w:r w:rsidR="00DF31CF" w:rsidRPr="00DF31CF">
        <w:rPr>
          <w:rFonts w:ascii="Arial" w:hAnsi="Arial" w:cs="Arial"/>
          <w:b/>
          <w:sz w:val="22"/>
        </w:rPr>
        <w:t>,</w:t>
      </w:r>
      <w:r w:rsidR="0059496C">
        <w:rPr>
          <w:rFonts w:ascii="Arial" w:hAnsi="Arial" w:cs="Arial"/>
          <w:sz w:val="22"/>
        </w:rPr>
        <w:t xml:space="preserve"> </w:t>
      </w:r>
      <w:r w:rsidR="0059496C" w:rsidRPr="00946A71">
        <w:rPr>
          <w:rFonts w:ascii="Arial" w:hAnsi="Arial" w:cs="Arial"/>
          <w:sz w:val="22"/>
        </w:rPr>
        <w:t xml:space="preserve">TEADs are stable proteins in HCC cells. Huh7 and HLF cells were treated with cycloheximide (CHX 20 </w:t>
      </w:r>
      <w:r w:rsidR="0059496C" w:rsidRPr="00946A71">
        <w:rPr>
          <w:rFonts w:ascii="Arial" w:hAnsi="Arial" w:cs="Arial"/>
          <w:sz w:val="22"/>
        </w:rPr>
        <w:sym w:font="Symbol" w:char="F06D"/>
      </w:r>
      <w:r w:rsidR="0059496C" w:rsidRPr="00946A71">
        <w:rPr>
          <w:rFonts w:ascii="Arial" w:hAnsi="Arial" w:cs="Arial"/>
          <w:sz w:val="22"/>
        </w:rPr>
        <w:t>g/mL) for 0, 2, 4 or 8 hours before harvested. c-</w:t>
      </w:r>
      <w:proofErr w:type="spellStart"/>
      <w:r w:rsidR="0059496C" w:rsidRPr="00946A71">
        <w:rPr>
          <w:rFonts w:ascii="Arial" w:hAnsi="Arial" w:cs="Arial"/>
          <w:sz w:val="22"/>
        </w:rPr>
        <w:t>Myc</w:t>
      </w:r>
      <w:proofErr w:type="spellEnd"/>
      <w:r w:rsidR="0059496C" w:rsidRPr="00946A71">
        <w:rPr>
          <w:rFonts w:ascii="Arial" w:hAnsi="Arial" w:cs="Arial"/>
          <w:sz w:val="22"/>
        </w:rPr>
        <w:t xml:space="preserve"> was employed as a positive control for CHX </w:t>
      </w:r>
      <w:r w:rsidR="0059496C" w:rsidRPr="00946A71">
        <w:rPr>
          <w:rFonts w:ascii="Arial" w:hAnsi="Arial" w:cs="Arial"/>
          <w:sz w:val="22"/>
        </w:rPr>
        <w:lastRenderedPageBreak/>
        <w:t>chase experiments.</w:t>
      </w:r>
      <w:r w:rsidR="008446EA">
        <w:rPr>
          <w:rFonts w:ascii="Arial" w:hAnsi="Arial" w:cs="Arial"/>
          <w:sz w:val="22"/>
        </w:rPr>
        <w:t xml:space="preserve"> </w:t>
      </w:r>
      <w:r w:rsidR="00DF31CF">
        <w:rPr>
          <w:rFonts w:ascii="Arial" w:hAnsi="Arial" w:cs="Arial"/>
          <w:b/>
          <w:sz w:val="22"/>
        </w:rPr>
        <w:t>e</w:t>
      </w:r>
      <w:r w:rsidR="00C56EA9" w:rsidRPr="00C56EA9">
        <w:rPr>
          <w:rFonts w:ascii="Arial" w:hAnsi="Arial" w:cs="Arial"/>
          <w:b/>
          <w:sz w:val="22"/>
        </w:rPr>
        <w:t>-</w:t>
      </w:r>
      <w:r w:rsidR="00DF31CF">
        <w:rPr>
          <w:rFonts w:ascii="Arial" w:hAnsi="Arial" w:cs="Arial"/>
          <w:b/>
          <w:sz w:val="22"/>
        </w:rPr>
        <w:t>f</w:t>
      </w:r>
      <w:r w:rsidR="00C56EA9" w:rsidRPr="00C56EA9">
        <w:rPr>
          <w:rFonts w:ascii="Arial" w:hAnsi="Arial" w:cs="Arial"/>
          <w:b/>
          <w:sz w:val="22"/>
        </w:rPr>
        <w:t>,</w:t>
      </w:r>
      <w:r w:rsidR="00E13EDB" w:rsidRPr="00C56EA9">
        <w:rPr>
          <w:rFonts w:ascii="Arial" w:hAnsi="Arial" w:cs="Arial"/>
          <w:b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 xml:space="preserve">RNF214 promotes </w:t>
      </w:r>
      <w:r w:rsidR="0076596E">
        <w:rPr>
          <w:rFonts w:ascii="Arial" w:hAnsi="Arial" w:cs="Arial"/>
          <w:sz w:val="22"/>
        </w:rPr>
        <w:t>ubiquitylation</w:t>
      </w:r>
      <w:r w:rsidR="00E13EDB" w:rsidRPr="00946A71">
        <w:rPr>
          <w:rFonts w:ascii="Arial" w:hAnsi="Arial" w:cs="Arial"/>
          <w:sz w:val="22"/>
        </w:rPr>
        <w:t xml:space="preserve"> of TEAD2. HEK293T cells were transfected with Flag-TEAD2, Myc-RNF214, HA-</w:t>
      </w:r>
      <w:proofErr w:type="spellStart"/>
      <w:r w:rsidR="00E13EDB" w:rsidRPr="00946A71">
        <w:rPr>
          <w:rFonts w:ascii="Arial" w:hAnsi="Arial" w:cs="Arial"/>
          <w:sz w:val="22"/>
        </w:rPr>
        <w:t>Ub</w:t>
      </w:r>
      <w:proofErr w:type="spellEnd"/>
      <w:r w:rsidR="00E13EDB" w:rsidRPr="00946A71">
        <w:rPr>
          <w:rFonts w:ascii="Arial" w:hAnsi="Arial" w:cs="Arial"/>
          <w:sz w:val="22"/>
        </w:rPr>
        <w:t xml:space="preserve"> wide type (WT) and KR mutants as indicated in the figures. 24 hours post-transfection, Flag-TEAD2 proteins were pulled out using anti-Flag beads under denaturing buffer condition and the ubiquitylated TEAD2 proteins were reviewed using anti-HA antibody.</w:t>
      </w:r>
    </w:p>
    <w:bookmarkEnd w:id="4"/>
    <w:p w14:paraId="3AAAAD7D" w14:textId="40CE6C4D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4A1DA249" w14:textId="52E23181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4A91FA6E" w14:textId="5D411C42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25E60910" w14:textId="04F672AC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7D99EB60" w14:textId="14E7B93D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18BA1A47" w14:textId="368EC35A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1DE917F5" w14:textId="1248D7B1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0F8751EF" w14:textId="555EECE1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35B25047" w14:textId="14BE73C9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696C9E23" w14:textId="06FBA6CB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7F3A79CE" w14:textId="015FDFA8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5613E168" w14:textId="32D92430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4F4E16A9" w14:textId="01C83E58" w:rsidR="00DF31CF" w:rsidRDefault="00DF31CF" w:rsidP="00946A71">
      <w:pPr>
        <w:spacing w:line="360" w:lineRule="auto"/>
        <w:rPr>
          <w:rFonts w:ascii="Arial" w:hAnsi="Arial" w:cs="Arial"/>
          <w:sz w:val="22"/>
        </w:rPr>
      </w:pPr>
    </w:p>
    <w:p w14:paraId="7A0C6D7D" w14:textId="49D1451B" w:rsidR="00DF31CF" w:rsidRDefault="00DF31CF" w:rsidP="00946A71">
      <w:pPr>
        <w:spacing w:line="360" w:lineRule="auto"/>
        <w:rPr>
          <w:rFonts w:ascii="Arial" w:hAnsi="Arial" w:cs="Arial"/>
          <w:sz w:val="22"/>
        </w:rPr>
      </w:pPr>
    </w:p>
    <w:p w14:paraId="7C54EE8D" w14:textId="61509DF1" w:rsidR="00DF31CF" w:rsidRDefault="00DF31CF" w:rsidP="00946A71">
      <w:pPr>
        <w:spacing w:line="360" w:lineRule="auto"/>
        <w:rPr>
          <w:rFonts w:ascii="Arial" w:hAnsi="Arial" w:cs="Arial"/>
          <w:sz w:val="22"/>
        </w:rPr>
      </w:pPr>
    </w:p>
    <w:p w14:paraId="6CC8172A" w14:textId="77777777" w:rsidR="00DF31CF" w:rsidRDefault="00DF31CF" w:rsidP="00946A71">
      <w:pPr>
        <w:spacing w:line="360" w:lineRule="auto"/>
        <w:rPr>
          <w:rFonts w:ascii="Arial" w:hAnsi="Arial" w:cs="Arial"/>
          <w:sz w:val="22"/>
        </w:rPr>
      </w:pPr>
    </w:p>
    <w:p w14:paraId="52B39E78" w14:textId="4FD343AD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76D814C4" w14:textId="77777777" w:rsidR="00534843" w:rsidRDefault="00534843" w:rsidP="00946A71">
      <w:pPr>
        <w:spacing w:line="360" w:lineRule="auto"/>
        <w:rPr>
          <w:rFonts w:ascii="Arial" w:hAnsi="Arial" w:cs="Arial"/>
          <w:sz w:val="22"/>
        </w:rPr>
      </w:pPr>
    </w:p>
    <w:p w14:paraId="50CC07EB" w14:textId="39F050A7" w:rsidR="00E13EDB" w:rsidRDefault="008E3291" w:rsidP="00946A71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64E15D50" wp14:editId="2FD5FD6B">
            <wp:extent cx="5273040" cy="3459480"/>
            <wp:effectExtent l="0" t="0" r="381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226"/>
                    <a:stretch/>
                  </pic:blipFill>
                  <pic:spPr bwMode="auto">
                    <a:xfrm>
                      <a:off x="0" y="0"/>
                      <a:ext cx="5273040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2EBCE9" w14:textId="4457B240" w:rsidR="00C56EA9" w:rsidRDefault="00C56EA9" w:rsidP="00C56EA9">
      <w:pPr>
        <w:spacing w:line="360" w:lineRule="auto"/>
        <w:rPr>
          <w:rFonts w:ascii="Arial" w:hAnsi="Arial" w:cs="Arial"/>
          <w:sz w:val="22"/>
        </w:rPr>
      </w:pPr>
      <w:r w:rsidRPr="008446EA">
        <w:rPr>
          <w:rFonts w:ascii="Arial" w:hAnsi="Arial" w:cs="Arial"/>
          <w:b/>
          <w:sz w:val="22"/>
        </w:rPr>
        <w:t xml:space="preserve">Extended data Fig.4 RNF214 </w:t>
      </w:r>
      <w:r w:rsidR="009F7A4A" w:rsidRPr="008446EA">
        <w:rPr>
          <w:rFonts w:ascii="Arial" w:hAnsi="Arial" w:cs="Arial"/>
          <w:b/>
          <w:sz w:val="22"/>
        </w:rPr>
        <w:t>enhance</w:t>
      </w:r>
      <w:r w:rsidRPr="008446EA">
        <w:rPr>
          <w:rFonts w:ascii="Arial" w:hAnsi="Arial" w:cs="Arial"/>
          <w:b/>
          <w:sz w:val="22"/>
        </w:rPr>
        <w:t xml:space="preserve">s </w:t>
      </w:r>
      <w:r w:rsidRPr="008446EA">
        <w:rPr>
          <w:rFonts w:ascii="Arial" w:hAnsi="Arial" w:cs="Arial" w:hint="eastAsia"/>
          <w:b/>
          <w:sz w:val="22"/>
        </w:rPr>
        <w:t>the</w:t>
      </w:r>
      <w:r w:rsidRPr="008446EA">
        <w:rPr>
          <w:rFonts w:ascii="Arial" w:hAnsi="Arial" w:cs="Arial"/>
          <w:b/>
          <w:sz w:val="22"/>
        </w:rPr>
        <w:t xml:space="preserve"> </w:t>
      </w:r>
      <w:r w:rsidRPr="008446EA">
        <w:rPr>
          <w:rFonts w:ascii="Arial" w:hAnsi="Arial" w:cs="Arial" w:hint="eastAsia"/>
          <w:b/>
          <w:sz w:val="22"/>
        </w:rPr>
        <w:t>interaction</w:t>
      </w:r>
      <w:r w:rsidRPr="008446EA">
        <w:rPr>
          <w:rFonts w:ascii="Arial" w:hAnsi="Arial" w:cs="Arial"/>
          <w:b/>
          <w:sz w:val="22"/>
        </w:rPr>
        <w:t xml:space="preserve"> </w:t>
      </w:r>
      <w:r w:rsidRPr="008446EA">
        <w:rPr>
          <w:rFonts w:ascii="Arial" w:hAnsi="Arial" w:cs="Arial" w:hint="eastAsia"/>
          <w:b/>
          <w:sz w:val="22"/>
        </w:rPr>
        <w:t>between</w:t>
      </w:r>
      <w:r w:rsidRPr="008446EA">
        <w:rPr>
          <w:rFonts w:ascii="Arial" w:hAnsi="Arial" w:cs="Arial"/>
          <w:b/>
          <w:sz w:val="22"/>
        </w:rPr>
        <w:t xml:space="preserve"> TEAD</w:t>
      </w:r>
      <w:r w:rsidRPr="008446EA">
        <w:rPr>
          <w:rFonts w:ascii="Arial" w:hAnsi="Arial" w:cs="Arial" w:hint="eastAsia"/>
          <w:b/>
          <w:sz w:val="22"/>
        </w:rPr>
        <w:t>s</w:t>
      </w:r>
      <w:r w:rsidRPr="008446EA">
        <w:rPr>
          <w:rFonts w:ascii="Arial" w:hAnsi="Arial" w:cs="Arial"/>
          <w:b/>
          <w:sz w:val="22"/>
        </w:rPr>
        <w:t xml:space="preserve"> </w:t>
      </w:r>
      <w:r w:rsidRPr="008446EA">
        <w:rPr>
          <w:rFonts w:ascii="Arial" w:hAnsi="Arial" w:cs="Arial" w:hint="eastAsia"/>
          <w:b/>
          <w:sz w:val="22"/>
        </w:rPr>
        <w:t>and</w:t>
      </w:r>
      <w:r w:rsidRPr="008446EA">
        <w:rPr>
          <w:rFonts w:ascii="Arial" w:hAnsi="Arial" w:cs="Arial"/>
          <w:b/>
          <w:sz w:val="22"/>
        </w:rPr>
        <w:t xml:space="preserve"> YAP</w:t>
      </w:r>
    </w:p>
    <w:p w14:paraId="12B65DD1" w14:textId="7478F629" w:rsidR="00C56EA9" w:rsidRPr="00AD508B" w:rsidRDefault="00C56EA9" w:rsidP="00C56EA9">
      <w:pPr>
        <w:spacing w:line="360" w:lineRule="auto"/>
        <w:rPr>
          <w:rFonts w:ascii="Arial" w:hAnsi="Arial" w:cs="Arial"/>
          <w:strike/>
          <w:sz w:val="22"/>
        </w:rPr>
      </w:pPr>
      <w:r w:rsidRPr="00C56EA9">
        <w:rPr>
          <w:rFonts w:ascii="Arial" w:hAnsi="Arial" w:cs="Arial"/>
          <w:b/>
          <w:sz w:val="22"/>
        </w:rPr>
        <w:t xml:space="preserve">a-b, </w:t>
      </w:r>
      <w:r w:rsidRPr="00946A71">
        <w:rPr>
          <w:rFonts w:ascii="Arial" w:hAnsi="Arial" w:cs="Arial"/>
          <w:sz w:val="22"/>
        </w:rPr>
        <w:t>RNF214 ha</w:t>
      </w:r>
      <w:r w:rsidR="00D657A0">
        <w:rPr>
          <w:rFonts w:ascii="Arial" w:hAnsi="Arial" w:cs="Arial"/>
          <w:sz w:val="22"/>
        </w:rPr>
        <w:t>s</w:t>
      </w:r>
      <w:r w:rsidRPr="00946A71">
        <w:rPr>
          <w:rFonts w:ascii="Arial" w:hAnsi="Arial" w:cs="Arial"/>
          <w:sz w:val="22"/>
        </w:rPr>
        <w:t xml:space="preserve"> no effect on nuclear localization of TEAD1 and YAP. Subcellular localizations of TEAD1 and YAP were detected using an immunofluorescence</w:t>
      </w:r>
      <w:r w:rsidR="009A6F53">
        <w:rPr>
          <w:rFonts w:ascii="Arial" w:hAnsi="Arial" w:cs="Arial"/>
          <w:sz w:val="22"/>
        </w:rPr>
        <w:t xml:space="preserve"> (IF)</w:t>
      </w:r>
      <w:r w:rsidRPr="00946A71">
        <w:rPr>
          <w:rFonts w:ascii="Arial" w:hAnsi="Arial" w:cs="Arial"/>
          <w:sz w:val="22"/>
        </w:rPr>
        <w:t xml:space="preserve"> staining approach for endogenous TEAD1 (green) or YAP (green) along with DAPI for DNA staining (blue) in Huh7 cells. Cells were fixed 96 hours after siRNF214 transfection. </w:t>
      </w:r>
      <w:r w:rsidRPr="00C56EA9">
        <w:rPr>
          <w:rFonts w:ascii="Arial" w:hAnsi="Arial" w:cs="Arial"/>
          <w:b/>
          <w:sz w:val="22"/>
        </w:rPr>
        <w:t>c,</w:t>
      </w:r>
      <w:r w:rsidRPr="00946A71">
        <w:rPr>
          <w:rFonts w:ascii="Arial" w:hAnsi="Arial" w:cs="Arial"/>
          <w:sz w:val="22"/>
        </w:rPr>
        <w:t xml:space="preserve"> RNF214 </w:t>
      </w:r>
      <w:r w:rsidR="009F7A4A">
        <w:rPr>
          <w:rFonts w:ascii="Arial" w:hAnsi="Arial" w:cs="Arial"/>
          <w:sz w:val="22"/>
        </w:rPr>
        <w:t>d</w:t>
      </w:r>
      <w:r w:rsidR="008446EA">
        <w:rPr>
          <w:rFonts w:ascii="Arial" w:hAnsi="Arial" w:cs="Arial"/>
          <w:sz w:val="22"/>
        </w:rPr>
        <w:t>o</w:t>
      </w:r>
      <w:r w:rsidR="00D657A0">
        <w:rPr>
          <w:rFonts w:ascii="Arial" w:hAnsi="Arial" w:cs="Arial"/>
          <w:sz w:val="22"/>
        </w:rPr>
        <w:t>es</w:t>
      </w:r>
      <w:r w:rsidRPr="00946A71">
        <w:rPr>
          <w:rFonts w:ascii="Arial" w:hAnsi="Arial" w:cs="Arial"/>
          <w:sz w:val="22"/>
        </w:rPr>
        <w:t xml:space="preserve"> not affect cytoplasmic-nuclear shuttling of endogenous YAP. </w:t>
      </w:r>
      <w:r w:rsidRPr="008446EA">
        <w:rPr>
          <w:rFonts w:ascii="Arial" w:hAnsi="Arial" w:cs="Arial"/>
          <w:sz w:val="22"/>
        </w:rPr>
        <w:t xml:space="preserve">HEK293A cells were treated with 1 </w:t>
      </w:r>
      <w:r w:rsidRPr="008446EA">
        <w:rPr>
          <w:rFonts w:ascii="Arial" w:hAnsi="Arial" w:cs="Arial"/>
          <w:sz w:val="22"/>
        </w:rPr>
        <w:sym w:font="Symbol" w:char="F06D"/>
      </w:r>
      <w:r w:rsidR="009F7A4A" w:rsidRPr="008446EA">
        <w:rPr>
          <w:rFonts w:ascii="Arial" w:hAnsi="Arial" w:cs="Arial"/>
          <w:sz w:val="22"/>
        </w:rPr>
        <w:t>M</w:t>
      </w:r>
      <w:r w:rsidRPr="008446EA">
        <w:rPr>
          <w:rFonts w:ascii="Arial" w:hAnsi="Arial" w:cs="Arial"/>
          <w:sz w:val="22"/>
        </w:rPr>
        <w:t xml:space="preserve"> nocodazole </w:t>
      </w:r>
      <w:r w:rsidR="008446EA" w:rsidRPr="008446EA">
        <w:rPr>
          <w:rFonts w:ascii="Arial" w:hAnsi="Arial" w:cs="Arial"/>
          <w:sz w:val="22"/>
        </w:rPr>
        <w:t xml:space="preserve">for 1 hour </w:t>
      </w:r>
      <w:r w:rsidRPr="008446EA">
        <w:rPr>
          <w:rFonts w:ascii="Arial" w:hAnsi="Arial" w:cs="Arial"/>
          <w:sz w:val="22"/>
        </w:rPr>
        <w:t xml:space="preserve">after endogenous RNF214 was depleted </w:t>
      </w:r>
      <w:r w:rsidR="009F7A4A" w:rsidRPr="008446EA">
        <w:rPr>
          <w:rFonts w:ascii="Arial" w:hAnsi="Arial" w:cs="Arial"/>
          <w:sz w:val="22"/>
        </w:rPr>
        <w:t>using</w:t>
      </w:r>
      <w:r w:rsidRPr="008446EA">
        <w:rPr>
          <w:rFonts w:ascii="Arial" w:hAnsi="Arial" w:cs="Arial"/>
          <w:sz w:val="22"/>
        </w:rPr>
        <w:t xml:space="preserve"> siRNF214</w:t>
      </w:r>
      <w:r w:rsidR="009F7A4A" w:rsidRPr="008446EA">
        <w:rPr>
          <w:rFonts w:ascii="Arial" w:hAnsi="Arial" w:cs="Arial"/>
          <w:sz w:val="22"/>
        </w:rPr>
        <w:t xml:space="preserve"> oli</w:t>
      </w:r>
      <w:r w:rsidR="009F7A4A" w:rsidRPr="005014AC">
        <w:rPr>
          <w:rFonts w:ascii="Arial" w:hAnsi="Arial" w:cs="Arial"/>
          <w:sz w:val="22"/>
        </w:rPr>
        <w:t>gos</w:t>
      </w:r>
      <w:r w:rsidRPr="005014AC">
        <w:rPr>
          <w:rFonts w:ascii="Arial" w:hAnsi="Arial" w:cs="Arial"/>
          <w:sz w:val="22"/>
        </w:rPr>
        <w:t xml:space="preserve">. The cytoplasmic-nuclear shuttling of endogenous YAP was observed using an </w:t>
      </w:r>
      <w:r w:rsidR="009A6F53" w:rsidRPr="005014AC">
        <w:rPr>
          <w:rFonts w:ascii="Arial" w:hAnsi="Arial" w:cs="Arial"/>
          <w:sz w:val="22"/>
        </w:rPr>
        <w:t>IF</w:t>
      </w:r>
      <w:r w:rsidRPr="005014AC">
        <w:rPr>
          <w:rFonts w:ascii="Arial" w:hAnsi="Arial" w:cs="Arial"/>
          <w:sz w:val="22"/>
        </w:rPr>
        <w:t xml:space="preserve"> method. </w:t>
      </w:r>
      <w:r w:rsidRPr="005014AC">
        <w:rPr>
          <w:rFonts w:ascii="Arial" w:hAnsi="Arial" w:cs="Arial"/>
          <w:b/>
          <w:sz w:val="22"/>
        </w:rPr>
        <w:t>d,</w:t>
      </w:r>
      <w:r w:rsidRPr="005014AC">
        <w:rPr>
          <w:rFonts w:ascii="Arial" w:hAnsi="Arial" w:cs="Arial"/>
          <w:sz w:val="22"/>
        </w:rPr>
        <w:t xml:space="preserve"> </w:t>
      </w:r>
      <w:r w:rsidR="00DF31CF" w:rsidRPr="005014AC">
        <w:rPr>
          <w:rFonts w:ascii="Arial" w:hAnsi="Arial" w:cs="Arial"/>
          <w:sz w:val="22"/>
        </w:rPr>
        <w:t xml:space="preserve">RNF214 </w:t>
      </w:r>
      <w:r w:rsidR="005014AC" w:rsidRPr="005014AC">
        <w:rPr>
          <w:rFonts w:ascii="Arial" w:hAnsi="Arial" w:cs="Arial"/>
          <w:sz w:val="22"/>
        </w:rPr>
        <w:t xml:space="preserve">Overexpression </w:t>
      </w:r>
      <w:r w:rsidR="00DF31CF" w:rsidRPr="005014AC">
        <w:rPr>
          <w:rFonts w:ascii="Arial" w:hAnsi="Arial" w:cs="Arial"/>
          <w:sz w:val="22"/>
        </w:rPr>
        <w:t xml:space="preserve">has little effect on protein levels of YAP/TAZ and YAP activity in HEK293A cells. HEK293A cells were transfected with Flag-RNF214 for 24 hours and then treated with 1 </w:t>
      </w:r>
      <w:r w:rsidR="00DF31CF" w:rsidRPr="005014AC">
        <w:rPr>
          <w:rFonts w:ascii="Arial" w:hAnsi="Arial" w:cs="Arial"/>
          <w:sz w:val="22"/>
        </w:rPr>
        <w:sym w:font="Symbol" w:char="F06D"/>
      </w:r>
      <w:r w:rsidR="00DF31CF" w:rsidRPr="005014AC">
        <w:rPr>
          <w:rFonts w:ascii="Arial" w:hAnsi="Arial" w:cs="Arial"/>
          <w:sz w:val="22"/>
        </w:rPr>
        <w:t xml:space="preserve">M nocodazole </w:t>
      </w:r>
      <w:r w:rsidR="00DF31CF" w:rsidRPr="005014AC">
        <w:rPr>
          <w:rFonts w:ascii="Arial" w:hAnsi="Arial" w:cs="Arial" w:hint="eastAsia"/>
          <w:sz w:val="22"/>
        </w:rPr>
        <w:t>for</w:t>
      </w:r>
      <w:r w:rsidR="00DF31CF" w:rsidRPr="005014AC">
        <w:rPr>
          <w:rFonts w:ascii="Arial" w:hAnsi="Arial" w:cs="Arial"/>
          <w:sz w:val="22"/>
        </w:rPr>
        <w:t xml:space="preserve"> 2 hours. Protein samples were harvested for Western blotting using indicated antibodies. </w:t>
      </w:r>
      <w:r w:rsidR="00DF31CF" w:rsidRPr="005014AC">
        <w:rPr>
          <w:rFonts w:ascii="Arial" w:hAnsi="Arial" w:cs="Arial" w:hint="eastAsia"/>
          <w:b/>
          <w:sz w:val="22"/>
        </w:rPr>
        <w:t>e</w:t>
      </w:r>
      <w:r w:rsidR="00DF31CF" w:rsidRPr="005014AC">
        <w:rPr>
          <w:rFonts w:ascii="Arial" w:hAnsi="Arial" w:cs="Arial"/>
          <w:b/>
          <w:sz w:val="22"/>
        </w:rPr>
        <w:t>,</w:t>
      </w:r>
      <w:r w:rsidR="00DF31CF" w:rsidRPr="00A91906"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sz w:val="22"/>
        </w:rPr>
        <w:t xml:space="preserve">RNF214 promotes the interactions between YAP and TEAD1. HEK293T cells were transfected with Flag-YAP, HA-TEAD1 and Myc-RNF214 WT or RD mutant plasmids. 24 hours post-transfection, </w:t>
      </w:r>
      <w:r w:rsidR="00D657A0">
        <w:rPr>
          <w:rFonts w:ascii="Arial" w:hAnsi="Arial" w:cs="Arial"/>
          <w:sz w:val="22"/>
        </w:rPr>
        <w:t>C</w:t>
      </w:r>
      <w:r w:rsidRPr="00946A71">
        <w:rPr>
          <w:rFonts w:ascii="Arial" w:hAnsi="Arial" w:cs="Arial"/>
          <w:sz w:val="22"/>
        </w:rPr>
        <w:t>o-IP and immunoblotting were employed using anti-HA beads and other appropriate antibodies as indicated in the figure.</w:t>
      </w:r>
      <w:r>
        <w:rPr>
          <w:rFonts w:ascii="Arial" w:hAnsi="Arial" w:cs="Arial"/>
          <w:sz w:val="22"/>
        </w:rPr>
        <w:t xml:space="preserve"> </w:t>
      </w:r>
    </w:p>
    <w:p w14:paraId="4ABDC764" w14:textId="0CC5318B" w:rsidR="00C56EA9" w:rsidRPr="00C56EA9" w:rsidRDefault="008E3291" w:rsidP="00946A71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518D2479" wp14:editId="47077F1D">
            <wp:extent cx="5273040" cy="6202680"/>
            <wp:effectExtent l="0" t="0" r="381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20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22012046"/>
      <w:r w:rsidR="00C56EA9" w:rsidRPr="00D32C28">
        <w:rPr>
          <w:rFonts w:ascii="Arial" w:hAnsi="Arial" w:cs="Arial"/>
          <w:b/>
          <w:sz w:val="22"/>
        </w:rPr>
        <w:t>Extended data Fig.5 Overexpression of RNF214 correlates with poor prognosis in HCC</w:t>
      </w:r>
    </w:p>
    <w:p w14:paraId="7F2939AA" w14:textId="097E2ACB" w:rsidR="00C56EA9" w:rsidRPr="0006653A" w:rsidRDefault="00C56EA9" w:rsidP="00C56EA9">
      <w:pPr>
        <w:spacing w:line="360" w:lineRule="auto"/>
        <w:rPr>
          <w:rFonts w:ascii="Arial" w:hAnsi="Arial" w:cs="Arial"/>
          <w:sz w:val="22"/>
        </w:rPr>
      </w:pPr>
      <w:r w:rsidRPr="00C56EA9">
        <w:rPr>
          <w:rFonts w:ascii="Arial" w:hAnsi="Arial" w:cs="Arial"/>
          <w:b/>
          <w:sz w:val="22"/>
        </w:rPr>
        <w:t>a,</w:t>
      </w:r>
      <w:r w:rsidR="00E13EDB" w:rsidRPr="00C56EA9">
        <w:rPr>
          <w:rFonts w:ascii="Arial" w:hAnsi="Arial" w:cs="Arial"/>
          <w:b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>Bioinformatic analysis of RNF214 mRNA levels in HCC. mRNA expression levels from Tiger datab</w:t>
      </w:r>
      <w:r w:rsidR="00E13EDB" w:rsidRPr="008446EA">
        <w:rPr>
          <w:rFonts w:ascii="Arial" w:hAnsi="Arial" w:cs="Arial"/>
          <w:sz w:val="22"/>
        </w:rPr>
        <w:t>ase</w:t>
      </w:r>
      <w:r w:rsidR="008446EA" w:rsidRPr="008446EA">
        <w:rPr>
          <w:rFonts w:ascii="Arial" w:hAnsi="Arial" w:cs="Arial"/>
          <w:i/>
          <w:noProof/>
          <w:sz w:val="22"/>
        </w:rPr>
        <w:t xml:space="preserve"> </w:t>
      </w:r>
      <w:r w:rsidR="00E13EDB" w:rsidRPr="008446EA">
        <w:rPr>
          <w:rFonts w:ascii="Arial" w:hAnsi="Arial" w:cs="Arial"/>
          <w:sz w:val="22"/>
        </w:rPr>
        <w:t>were analyzed usin</w:t>
      </w:r>
      <w:r w:rsidR="00E13EDB" w:rsidRPr="00946A71">
        <w:rPr>
          <w:rFonts w:ascii="Arial" w:hAnsi="Arial" w:cs="Arial"/>
          <w:sz w:val="22"/>
        </w:rPr>
        <w:t>g Student’s t-test.</w:t>
      </w:r>
      <w:r>
        <w:rPr>
          <w:rFonts w:ascii="Arial" w:hAnsi="Arial" w:cs="Arial"/>
          <w:sz w:val="22"/>
        </w:rPr>
        <w:t xml:space="preserve"> </w:t>
      </w:r>
      <w:r w:rsidRPr="00C56EA9">
        <w:rPr>
          <w:rFonts w:ascii="Arial" w:hAnsi="Arial" w:cs="Arial"/>
          <w:b/>
          <w:sz w:val="22"/>
        </w:rPr>
        <w:t>b,</w:t>
      </w:r>
      <w:r w:rsidR="00E13EDB" w:rsidRPr="00946A71">
        <w:rPr>
          <w:rFonts w:ascii="Arial" w:hAnsi="Arial" w:cs="Arial"/>
          <w:sz w:val="22"/>
        </w:rPr>
        <w:t xml:space="preserve"> Kaplan-Meier survival curves of progression free survival based on RNF214 mRNA expression levels based on TCGA database. The figure was produced from Kaplan-Meier Plotter.</w:t>
      </w:r>
      <w:r>
        <w:rPr>
          <w:rFonts w:ascii="Arial" w:hAnsi="Arial" w:cs="Arial"/>
          <w:sz w:val="22"/>
        </w:rPr>
        <w:t xml:space="preserve"> </w:t>
      </w:r>
      <w:r w:rsidRPr="00C56EA9">
        <w:rPr>
          <w:rFonts w:ascii="Arial" w:hAnsi="Arial" w:cs="Arial"/>
          <w:b/>
          <w:sz w:val="22"/>
        </w:rPr>
        <w:t>c-d,</w:t>
      </w:r>
      <w:r w:rsidR="00E13EDB" w:rsidRPr="00946A71">
        <w:rPr>
          <w:rFonts w:ascii="Arial" w:hAnsi="Arial" w:cs="Arial"/>
          <w:sz w:val="22"/>
        </w:rPr>
        <w:t xml:space="preserve"> Spearman’s correlation analysis between RNF214 and Edmondson-Steiner grade in tumor tissues from 275 patients with HCC. RNF214 (high), IHC score ≥ 6</w:t>
      </w:r>
      <w:r w:rsidR="00E13EDB" w:rsidRPr="00946A71">
        <w:rPr>
          <w:rFonts w:ascii="Arial" w:hAnsi="Arial" w:cs="Arial"/>
          <w:sz w:val="22"/>
        </w:rPr>
        <w:t>；</w:t>
      </w:r>
      <w:r w:rsidR="00E13EDB" w:rsidRPr="00946A71">
        <w:rPr>
          <w:rFonts w:ascii="Arial" w:hAnsi="Arial" w:cs="Arial"/>
          <w:sz w:val="22"/>
        </w:rPr>
        <w:t xml:space="preserve">RNF214 </w:t>
      </w:r>
      <w:r w:rsidR="00E13EDB" w:rsidRPr="00946A71">
        <w:rPr>
          <w:rFonts w:ascii="Arial" w:hAnsi="Arial" w:cs="Arial"/>
          <w:sz w:val="22"/>
        </w:rPr>
        <w:lastRenderedPageBreak/>
        <w:t>(low), IHC score &lt; 6.</w:t>
      </w:r>
      <w:r>
        <w:rPr>
          <w:rFonts w:ascii="Arial" w:hAnsi="Arial" w:cs="Arial"/>
          <w:sz w:val="22"/>
        </w:rPr>
        <w:t xml:space="preserve"> </w:t>
      </w:r>
      <w:r w:rsidRPr="00C56EA9">
        <w:rPr>
          <w:rFonts w:ascii="Arial" w:hAnsi="Arial" w:cs="Arial"/>
          <w:b/>
          <w:sz w:val="22"/>
        </w:rPr>
        <w:t>e,</w:t>
      </w:r>
      <w:r>
        <w:rPr>
          <w:rFonts w:ascii="Arial" w:hAnsi="Arial" w:cs="Arial"/>
          <w:sz w:val="22"/>
        </w:rPr>
        <w:t xml:space="preserve"> </w:t>
      </w:r>
      <w:r w:rsidR="00C42144" w:rsidRPr="00946A71">
        <w:rPr>
          <w:rFonts w:ascii="Arial" w:hAnsi="Arial" w:cs="Arial"/>
          <w:sz w:val="22"/>
        </w:rPr>
        <w:t>Spearman’s correlation analysis between RNF214 and serum AFP levels.</w:t>
      </w:r>
      <w:r>
        <w:rPr>
          <w:rFonts w:ascii="Arial" w:hAnsi="Arial" w:cs="Arial"/>
          <w:sz w:val="22"/>
        </w:rPr>
        <w:t xml:space="preserve"> </w:t>
      </w:r>
      <w:r w:rsidRPr="00B90E57">
        <w:rPr>
          <w:rFonts w:ascii="Arial" w:hAnsi="Arial" w:cs="Arial" w:hint="eastAsia"/>
          <w:b/>
          <w:sz w:val="22"/>
        </w:rPr>
        <w:t>f</w:t>
      </w:r>
      <w:r w:rsidRPr="00B90E57">
        <w:rPr>
          <w:rFonts w:ascii="Arial" w:hAnsi="Arial" w:cs="Arial"/>
          <w:b/>
          <w:sz w:val="22"/>
        </w:rPr>
        <w:t xml:space="preserve">-j, </w:t>
      </w:r>
      <w:r w:rsidRPr="00B90E57">
        <w:rPr>
          <w:rFonts w:ascii="Arial" w:hAnsi="Arial" w:cs="Arial"/>
          <w:sz w:val="22"/>
        </w:rPr>
        <w:t xml:space="preserve">Expression level of RNF214 is positively correlated with YAP/TAZ-TEAD target genes (e.g., </w:t>
      </w:r>
      <w:r w:rsidR="00DA6B29" w:rsidRPr="00B90E57">
        <w:rPr>
          <w:rFonts w:ascii="Arial" w:hAnsi="Arial" w:cs="Arial"/>
          <w:i/>
          <w:sz w:val="22"/>
        </w:rPr>
        <w:t>ANKRD1,</w:t>
      </w:r>
      <w:r w:rsidR="00C03F06" w:rsidRPr="00B90E57">
        <w:rPr>
          <w:rFonts w:ascii="Arial" w:hAnsi="Arial" w:cs="Arial"/>
          <w:i/>
          <w:sz w:val="22"/>
        </w:rPr>
        <w:t xml:space="preserve"> </w:t>
      </w:r>
      <w:r w:rsidR="00DA6B29" w:rsidRPr="00B90E57">
        <w:rPr>
          <w:rFonts w:ascii="Arial" w:hAnsi="Arial" w:cs="Arial"/>
          <w:i/>
          <w:sz w:val="22"/>
        </w:rPr>
        <w:t>AXL, BCL2,</w:t>
      </w:r>
      <w:r w:rsidR="00BF11C0">
        <w:rPr>
          <w:rFonts w:ascii="Arial" w:hAnsi="Arial" w:cs="Arial"/>
          <w:i/>
          <w:sz w:val="22"/>
        </w:rPr>
        <w:t xml:space="preserve"> </w:t>
      </w:r>
      <w:r w:rsidR="00DA6B29" w:rsidRPr="00B90E57">
        <w:rPr>
          <w:rFonts w:ascii="Arial" w:hAnsi="Arial" w:cs="Arial"/>
          <w:i/>
          <w:sz w:val="22"/>
        </w:rPr>
        <w:t>CCND1</w:t>
      </w:r>
      <w:r w:rsidR="00A91906">
        <w:rPr>
          <w:rFonts w:ascii="Arial" w:hAnsi="Arial" w:cs="Arial" w:hint="eastAsia"/>
          <w:i/>
          <w:sz w:val="22"/>
        </w:rPr>
        <w:t>,</w:t>
      </w:r>
      <w:r w:rsidRPr="00B90E57">
        <w:rPr>
          <w:rFonts w:ascii="Arial" w:hAnsi="Arial" w:cs="Arial"/>
          <w:sz w:val="22"/>
        </w:rPr>
        <w:t xml:space="preserve"> and </w:t>
      </w:r>
      <w:r w:rsidR="00DA6B29" w:rsidRPr="00B90E57">
        <w:rPr>
          <w:rFonts w:ascii="Arial" w:hAnsi="Arial" w:cs="Arial"/>
          <w:i/>
          <w:sz w:val="22"/>
        </w:rPr>
        <w:t>CDH2</w:t>
      </w:r>
      <w:r w:rsidRPr="00B90E57">
        <w:rPr>
          <w:rFonts w:ascii="Arial" w:hAnsi="Arial" w:cs="Arial"/>
          <w:sz w:val="22"/>
        </w:rPr>
        <w:t>) in liver cancer patients, as analyzed through TCGA database.</w:t>
      </w:r>
      <w:r w:rsidR="00DA6B29" w:rsidRPr="00B90E57">
        <w:rPr>
          <w:rFonts w:ascii="Arial" w:hAnsi="Arial" w:cs="Arial"/>
          <w:b/>
          <w:sz w:val="22"/>
        </w:rPr>
        <w:t xml:space="preserve"> k-l,</w:t>
      </w:r>
      <w:r w:rsidR="00DA6B29" w:rsidRPr="00B90E57">
        <w:rPr>
          <w:rFonts w:ascii="Arial" w:hAnsi="Arial" w:cs="Arial"/>
          <w:sz w:val="22"/>
        </w:rPr>
        <w:t xml:space="preserve"> Expression level of RNF214 is positively correlated with </w:t>
      </w:r>
      <w:r w:rsidR="00DA6B29" w:rsidRPr="00600A2C">
        <w:rPr>
          <w:rFonts w:ascii="Arial" w:hAnsi="Arial" w:cs="Arial"/>
          <w:i/>
          <w:sz w:val="22"/>
        </w:rPr>
        <w:t>YAP</w:t>
      </w:r>
      <w:r w:rsidR="00DA6B29" w:rsidRPr="00B90E57">
        <w:rPr>
          <w:rFonts w:ascii="Arial" w:hAnsi="Arial" w:cs="Arial" w:hint="eastAsia"/>
          <w:sz w:val="22"/>
        </w:rPr>
        <w:t>,</w:t>
      </w:r>
      <w:r w:rsidR="00DA6B29" w:rsidRPr="00B90E57">
        <w:rPr>
          <w:rFonts w:ascii="Arial" w:hAnsi="Arial" w:cs="Arial"/>
          <w:sz w:val="22"/>
        </w:rPr>
        <w:t xml:space="preserve"> </w:t>
      </w:r>
      <w:r w:rsidR="00DA6B29" w:rsidRPr="00600A2C">
        <w:rPr>
          <w:rFonts w:ascii="Arial" w:hAnsi="Arial" w:cs="Arial"/>
          <w:i/>
          <w:sz w:val="22"/>
        </w:rPr>
        <w:t>TAZ</w:t>
      </w:r>
      <w:r w:rsidR="00600A2C">
        <w:rPr>
          <w:rFonts w:ascii="Arial" w:hAnsi="Arial" w:cs="Arial"/>
          <w:sz w:val="22"/>
        </w:rPr>
        <w:t>,</w:t>
      </w:r>
      <w:r w:rsidR="00DA6B29" w:rsidRPr="00600A2C">
        <w:rPr>
          <w:rFonts w:ascii="Arial" w:hAnsi="Arial" w:cs="Arial"/>
          <w:sz w:val="22"/>
        </w:rPr>
        <w:t xml:space="preserve"> </w:t>
      </w:r>
      <w:r w:rsidR="00DA6B29" w:rsidRPr="00B90E57">
        <w:rPr>
          <w:rFonts w:ascii="Arial" w:hAnsi="Arial" w:cs="Arial" w:hint="eastAsia"/>
          <w:sz w:val="22"/>
        </w:rPr>
        <w:t>and</w:t>
      </w:r>
      <w:r w:rsidR="00DA6B29" w:rsidRPr="00B90E57">
        <w:rPr>
          <w:rFonts w:ascii="Arial" w:hAnsi="Arial" w:cs="Arial"/>
          <w:sz w:val="22"/>
        </w:rPr>
        <w:t xml:space="preserve"> </w:t>
      </w:r>
      <w:r w:rsidR="00DA6B29" w:rsidRPr="00600A2C">
        <w:rPr>
          <w:rFonts w:ascii="Arial" w:hAnsi="Arial" w:cs="Arial"/>
          <w:i/>
          <w:sz w:val="22"/>
        </w:rPr>
        <w:t>TEAD</w:t>
      </w:r>
      <w:r w:rsidR="00600A2C">
        <w:rPr>
          <w:rFonts w:ascii="Arial" w:hAnsi="Arial" w:cs="Arial"/>
          <w:i/>
          <w:sz w:val="22"/>
        </w:rPr>
        <w:t>1-4</w:t>
      </w:r>
      <w:r w:rsidR="00DA6B29" w:rsidRPr="00B90E57">
        <w:rPr>
          <w:rFonts w:ascii="Arial" w:hAnsi="Arial" w:cs="Arial"/>
          <w:sz w:val="22"/>
        </w:rPr>
        <w:t>, as analyzed using TCGA database</w:t>
      </w:r>
      <w:r w:rsidR="00B90E57" w:rsidRPr="00B90E57">
        <w:rPr>
          <w:rFonts w:ascii="Arial" w:hAnsi="Arial" w:cs="Arial"/>
          <w:sz w:val="22"/>
        </w:rPr>
        <w:t>.</w:t>
      </w:r>
    </w:p>
    <w:p w14:paraId="09FC37CB" w14:textId="432D7282" w:rsidR="00E13EDB" w:rsidRDefault="00E13EDB" w:rsidP="00946A71">
      <w:pPr>
        <w:spacing w:line="360" w:lineRule="auto"/>
        <w:rPr>
          <w:rFonts w:ascii="Arial" w:hAnsi="Arial" w:cs="Arial"/>
          <w:sz w:val="22"/>
        </w:rPr>
      </w:pPr>
    </w:p>
    <w:p w14:paraId="418EB2DA" w14:textId="50A82DE1" w:rsidR="00DA6B29" w:rsidRDefault="00DA6B29" w:rsidP="00946A71">
      <w:pPr>
        <w:spacing w:line="360" w:lineRule="auto"/>
        <w:rPr>
          <w:rFonts w:ascii="Arial" w:hAnsi="Arial" w:cs="Arial"/>
          <w:sz w:val="22"/>
        </w:rPr>
      </w:pPr>
    </w:p>
    <w:p w14:paraId="5EF5016E" w14:textId="7844B9FD" w:rsidR="00DA6B29" w:rsidRDefault="00DA6B29" w:rsidP="00946A71">
      <w:pPr>
        <w:spacing w:line="360" w:lineRule="auto"/>
        <w:rPr>
          <w:rFonts w:ascii="Arial" w:hAnsi="Arial" w:cs="Arial"/>
          <w:sz w:val="22"/>
        </w:rPr>
      </w:pPr>
    </w:p>
    <w:p w14:paraId="7FA027BA" w14:textId="3E20FE7C" w:rsidR="00DA6B29" w:rsidRDefault="00DA6B29" w:rsidP="00946A71">
      <w:pPr>
        <w:spacing w:line="360" w:lineRule="auto"/>
        <w:rPr>
          <w:rFonts w:ascii="Arial" w:hAnsi="Arial" w:cs="Arial"/>
          <w:sz w:val="22"/>
        </w:rPr>
      </w:pPr>
    </w:p>
    <w:p w14:paraId="12CFB4E4" w14:textId="455B3A23" w:rsidR="00DA6B29" w:rsidRDefault="00DA6B29" w:rsidP="00946A71">
      <w:pPr>
        <w:spacing w:line="360" w:lineRule="auto"/>
        <w:rPr>
          <w:rFonts w:ascii="Arial" w:hAnsi="Arial" w:cs="Arial"/>
          <w:sz w:val="22"/>
        </w:rPr>
      </w:pPr>
    </w:p>
    <w:p w14:paraId="57D22A1A" w14:textId="34A61C09" w:rsidR="00DA6B29" w:rsidRDefault="00DA6B29" w:rsidP="00946A71">
      <w:pPr>
        <w:spacing w:line="360" w:lineRule="auto"/>
        <w:rPr>
          <w:rFonts w:ascii="Arial" w:hAnsi="Arial" w:cs="Arial"/>
          <w:sz w:val="22"/>
        </w:rPr>
      </w:pPr>
    </w:p>
    <w:p w14:paraId="638E5105" w14:textId="65C71F28" w:rsidR="00DA6B29" w:rsidRDefault="00DA6B29" w:rsidP="00946A71">
      <w:pPr>
        <w:spacing w:line="360" w:lineRule="auto"/>
        <w:rPr>
          <w:rFonts w:ascii="Arial" w:hAnsi="Arial" w:cs="Arial"/>
          <w:sz w:val="22"/>
        </w:rPr>
      </w:pPr>
    </w:p>
    <w:p w14:paraId="2303226A" w14:textId="77777777" w:rsidR="00DA6B29" w:rsidRPr="00C56EA9" w:rsidRDefault="00DA6B29" w:rsidP="00946A71">
      <w:pPr>
        <w:spacing w:line="360" w:lineRule="auto"/>
        <w:rPr>
          <w:rFonts w:ascii="Arial" w:hAnsi="Arial" w:cs="Arial"/>
          <w:sz w:val="22"/>
        </w:rPr>
      </w:pPr>
    </w:p>
    <w:p w14:paraId="52844718" w14:textId="53B22AA2" w:rsidR="001E26AE" w:rsidRPr="00DA6B29" w:rsidRDefault="008E3291" w:rsidP="00946A71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00A0A36A" wp14:editId="06B47326">
            <wp:extent cx="5273040" cy="6202680"/>
            <wp:effectExtent l="0" t="0" r="381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20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A151C" w14:textId="77777777" w:rsidR="00DA6B29" w:rsidRDefault="00DA6B29" w:rsidP="00946A71">
      <w:pPr>
        <w:spacing w:line="360" w:lineRule="auto"/>
        <w:rPr>
          <w:rFonts w:ascii="Arial" w:hAnsi="Arial" w:cs="Arial"/>
          <w:sz w:val="22"/>
        </w:rPr>
      </w:pPr>
      <w:bookmarkStart w:id="6" w:name="_Hlk122012170"/>
      <w:bookmarkEnd w:id="5"/>
      <w:r w:rsidRPr="00015567">
        <w:rPr>
          <w:rFonts w:ascii="Arial" w:hAnsi="Arial" w:cs="Arial"/>
          <w:b/>
          <w:sz w:val="22"/>
        </w:rPr>
        <w:t xml:space="preserve">Extended data Fig.6 RNF214 is critical for HCC </w:t>
      </w:r>
      <w:bookmarkStart w:id="7" w:name="_Hlk132415526"/>
      <w:r w:rsidRPr="00015567">
        <w:rPr>
          <w:rFonts w:ascii="Arial" w:hAnsi="Arial" w:cs="Arial"/>
          <w:b/>
          <w:sz w:val="22"/>
        </w:rPr>
        <w:t>tumorigenesis</w:t>
      </w:r>
      <w:bookmarkEnd w:id="7"/>
      <w:r w:rsidRPr="00946A71">
        <w:rPr>
          <w:rFonts w:ascii="Arial" w:hAnsi="Arial" w:cs="Arial"/>
          <w:sz w:val="22"/>
        </w:rPr>
        <w:t xml:space="preserve"> </w:t>
      </w:r>
    </w:p>
    <w:p w14:paraId="0DB907A4" w14:textId="5A82B86A" w:rsidR="00E13EDB" w:rsidRPr="00010E5A" w:rsidRDefault="00DA6B29" w:rsidP="00946A71">
      <w:pPr>
        <w:spacing w:line="360" w:lineRule="auto"/>
        <w:rPr>
          <w:rFonts w:ascii="Arial" w:hAnsi="Arial" w:cs="Arial"/>
          <w:color w:val="000000" w:themeColor="text1"/>
          <w:sz w:val="22"/>
        </w:rPr>
      </w:pPr>
      <w:r w:rsidRPr="006170CB">
        <w:rPr>
          <w:rFonts w:ascii="Arial" w:hAnsi="Arial" w:cs="Arial"/>
          <w:b/>
          <w:sz w:val="22"/>
        </w:rPr>
        <w:t xml:space="preserve">a, </w:t>
      </w:r>
      <w:r w:rsidRPr="0006653A">
        <w:rPr>
          <w:rFonts w:ascii="Arial" w:hAnsi="Arial" w:cs="Arial"/>
          <w:sz w:val="22"/>
        </w:rPr>
        <w:t xml:space="preserve">Proliferation in RNF214 knockout </w:t>
      </w:r>
      <w:r>
        <w:rPr>
          <w:rFonts w:ascii="Arial" w:hAnsi="Arial" w:cs="Arial"/>
          <w:sz w:val="22"/>
        </w:rPr>
        <w:t>Huh7</w:t>
      </w:r>
      <w:r w:rsidRPr="0006653A">
        <w:rPr>
          <w:rFonts w:ascii="Arial" w:hAnsi="Arial" w:cs="Arial"/>
          <w:sz w:val="22"/>
        </w:rPr>
        <w:t xml:space="preserve"> cells. The cell viability rates of RNF214 knockout HLF</w:t>
      </w:r>
      <w:r>
        <w:rPr>
          <w:rFonts w:ascii="Arial" w:hAnsi="Arial" w:cs="Arial"/>
          <w:sz w:val="22"/>
        </w:rPr>
        <w:t xml:space="preserve"> </w:t>
      </w:r>
      <w:r w:rsidRPr="0006653A">
        <w:rPr>
          <w:rFonts w:ascii="Arial" w:hAnsi="Arial" w:cs="Arial"/>
          <w:sz w:val="22"/>
        </w:rPr>
        <w:t xml:space="preserve">cells were quantified </w:t>
      </w:r>
      <w:r w:rsidR="00015567">
        <w:rPr>
          <w:rFonts w:ascii="Arial" w:hAnsi="Arial" w:cs="Arial"/>
          <w:sz w:val="22"/>
        </w:rPr>
        <w:t xml:space="preserve">using </w:t>
      </w:r>
      <w:r w:rsidRPr="0006653A">
        <w:rPr>
          <w:rFonts w:ascii="Arial" w:hAnsi="Arial" w:cs="Arial"/>
          <w:sz w:val="22"/>
        </w:rPr>
        <w:t>CCK8 assay.</w:t>
      </w:r>
      <w:r>
        <w:rPr>
          <w:rFonts w:ascii="Arial" w:hAnsi="Arial" w:cs="Arial"/>
          <w:sz w:val="22"/>
        </w:rPr>
        <w:t xml:space="preserve"> </w:t>
      </w:r>
      <w:r w:rsidRPr="00DA6B29">
        <w:rPr>
          <w:rFonts w:ascii="Arial" w:hAnsi="Arial" w:cs="Arial"/>
          <w:b/>
          <w:sz w:val="22"/>
        </w:rPr>
        <w:t>b,</w:t>
      </w:r>
      <w:r w:rsidR="00E13EDB" w:rsidRPr="00946A71">
        <w:rPr>
          <w:rFonts w:ascii="Arial" w:hAnsi="Arial" w:cs="Arial"/>
          <w:sz w:val="22"/>
        </w:rPr>
        <w:t xml:space="preserve"> Colony formation assays in RNF214-silenced Hep3b cells. The cells were incubated for 7 days. The total area intensity of colonies was measured and shown in the bar graph (</w:t>
      </w:r>
      <w:r>
        <w:rPr>
          <w:rFonts w:ascii="Arial" w:hAnsi="Arial" w:cs="Arial"/>
          <w:sz w:val="22"/>
        </w:rPr>
        <w:t>below</w:t>
      </w:r>
      <w:r w:rsidR="00E13EDB" w:rsidRPr="00946A71">
        <w:rPr>
          <w:rFonts w:ascii="Arial" w:hAnsi="Arial" w:cs="Arial"/>
          <w:sz w:val="22"/>
        </w:rPr>
        <w:t>).</w:t>
      </w:r>
      <w:r w:rsidRPr="00DA6B29">
        <w:rPr>
          <w:rFonts w:ascii="Arial" w:hAnsi="Arial" w:cs="Arial"/>
          <w:b/>
          <w:sz w:val="22"/>
        </w:rPr>
        <w:t xml:space="preserve"> </w:t>
      </w:r>
      <w:r w:rsidRPr="00DA6B29">
        <w:rPr>
          <w:rFonts w:ascii="Arial" w:hAnsi="Arial" w:cs="Arial" w:hint="eastAsia"/>
          <w:b/>
          <w:sz w:val="22"/>
        </w:rPr>
        <w:t>c</w:t>
      </w:r>
      <w:r w:rsidRPr="00DA6B29">
        <w:rPr>
          <w:rFonts w:ascii="Arial" w:hAnsi="Arial" w:cs="Arial"/>
          <w:b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946A71">
        <w:rPr>
          <w:rFonts w:ascii="Arial" w:hAnsi="Arial" w:cs="Arial"/>
          <w:sz w:val="22"/>
        </w:rPr>
        <w:t>Colony formation assay</w:t>
      </w:r>
      <w:r>
        <w:rPr>
          <w:rFonts w:ascii="Arial" w:hAnsi="Arial" w:cs="Arial"/>
          <w:sz w:val="22"/>
        </w:rPr>
        <w:t xml:space="preserve"> in Huh1 cells</w:t>
      </w:r>
      <w:r w:rsidRPr="00946A71">
        <w:rPr>
          <w:rFonts w:ascii="Arial" w:hAnsi="Arial" w:cs="Arial"/>
          <w:sz w:val="22"/>
        </w:rPr>
        <w:t xml:space="preserve">. Huh1 cells, with relatively low expression of RNF214, was used </w:t>
      </w:r>
      <w:r w:rsidR="00015567">
        <w:rPr>
          <w:rFonts w:ascii="Arial" w:hAnsi="Arial" w:cs="Arial"/>
          <w:sz w:val="22"/>
        </w:rPr>
        <w:t>to</w:t>
      </w:r>
      <w:r w:rsidRPr="00946A71">
        <w:rPr>
          <w:rFonts w:ascii="Arial" w:hAnsi="Arial" w:cs="Arial"/>
          <w:sz w:val="22"/>
        </w:rPr>
        <w:t xml:space="preserve"> </w:t>
      </w:r>
      <w:r w:rsidR="00015567">
        <w:rPr>
          <w:rFonts w:ascii="Arial" w:hAnsi="Arial" w:cs="Arial"/>
          <w:sz w:val="22"/>
        </w:rPr>
        <w:t xml:space="preserve">overexpress exogenous </w:t>
      </w:r>
      <w:r w:rsidRPr="00946A71">
        <w:rPr>
          <w:rFonts w:ascii="Arial" w:hAnsi="Arial" w:cs="Arial"/>
          <w:sz w:val="22"/>
        </w:rPr>
        <w:t>RNF214</w:t>
      </w:r>
      <w:r w:rsidR="00015567" w:rsidRPr="00015567">
        <w:rPr>
          <w:rFonts w:ascii="Arial" w:hAnsi="Arial" w:cs="Arial"/>
          <w:sz w:val="22"/>
        </w:rPr>
        <w:t xml:space="preserve"> </w:t>
      </w:r>
      <w:r w:rsidR="00015567" w:rsidRPr="00946A71">
        <w:rPr>
          <w:rFonts w:ascii="Arial" w:hAnsi="Arial" w:cs="Arial"/>
          <w:sz w:val="22"/>
        </w:rPr>
        <w:t>stably</w:t>
      </w:r>
      <w:r w:rsidRPr="00946A71">
        <w:rPr>
          <w:rFonts w:ascii="Arial" w:hAnsi="Arial" w:cs="Arial"/>
          <w:sz w:val="22"/>
        </w:rPr>
        <w:t xml:space="preserve"> (OE) and subjected to colony formation assay. Huh1 cell lines were incubated for 12 days. The total area intensity of </w:t>
      </w:r>
      <w:r w:rsidRPr="00946A71">
        <w:rPr>
          <w:rFonts w:ascii="Arial" w:hAnsi="Arial" w:cs="Arial"/>
          <w:sz w:val="22"/>
        </w:rPr>
        <w:lastRenderedPageBreak/>
        <w:t>colonies was measured and shown in the bar graph (</w:t>
      </w:r>
      <w:r>
        <w:rPr>
          <w:rFonts w:ascii="Arial" w:hAnsi="Arial" w:cs="Arial"/>
          <w:sz w:val="22"/>
        </w:rPr>
        <w:t>below</w:t>
      </w:r>
      <w:r w:rsidRPr="00946A71">
        <w:rPr>
          <w:rFonts w:ascii="Arial" w:hAnsi="Arial" w:cs="Arial"/>
          <w:sz w:val="22"/>
        </w:rPr>
        <w:t>).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d</w:t>
      </w:r>
      <w:r w:rsidRPr="00DA6B29">
        <w:rPr>
          <w:rFonts w:ascii="Arial" w:hAnsi="Arial" w:cs="Arial"/>
          <w:b/>
          <w:sz w:val="22"/>
        </w:rPr>
        <w:t>,</w:t>
      </w:r>
      <w:r w:rsidR="00E13EDB" w:rsidRPr="00946A71">
        <w:rPr>
          <w:rFonts w:ascii="Arial" w:hAnsi="Arial" w:cs="Arial"/>
          <w:sz w:val="22"/>
        </w:rPr>
        <w:t xml:space="preserve"> Cell viability analysis</w:t>
      </w:r>
      <w:r>
        <w:rPr>
          <w:rFonts w:ascii="Arial" w:hAnsi="Arial" w:cs="Arial"/>
          <w:sz w:val="22"/>
        </w:rPr>
        <w:t xml:space="preserve"> in RNF214</w:t>
      </w:r>
      <w:r w:rsidR="00015567">
        <w:rPr>
          <w:rFonts w:ascii="Arial" w:hAnsi="Arial" w:cs="Arial"/>
          <w:sz w:val="22"/>
        </w:rPr>
        <w:t>-</w:t>
      </w:r>
      <w:r>
        <w:rPr>
          <w:rFonts w:ascii="Arial" w:hAnsi="Arial" w:cs="Arial"/>
          <w:sz w:val="22"/>
        </w:rPr>
        <w:t>overexpress</w:t>
      </w:r>
      <w:r w:rsidR="00015567">
        <w:rPr>
          <w:rFonts w:ascii="Arial" w:hAnsi="Arial" w:cs="Arial"/>
          <w:sz w:val="22"/>
        </w:rPr>
        <w:t>ed</w:t>
      </w:r>
      <w:r>
        <w:rPr>
          <w:rFonts w:ascii="Arial" w:hAnsi="Arial" w:cs="Arial"/>
          <w:sz w:val="22"/>
        </w:rPr>
        <w:t xml:space="preserve"> Hep3b cells</w:t>
      </w:r>
      <w:r w:rsidR="00E13EDB" w:rsidRPr="00946A71">
        <w:rPr>
          <w:rFonts w:ascii="Arial" w:hAnsi="Arial" w:cs="Arial"/>
          <w:sz w:val="22"/>
        </w:rPr>
        <w:t xml:space="preserve">. </w:t>
      </w:r>
      <w:r w:rsidR="00015567">
        <w:rPr>
          <w:rFonts w:ascii="Arial" w:hAnsi="Arial" w:cs="Arial"/>
          <w:sz w:val="22"/>
        </w:rPr>
        <w:t xml:space="preserve">Exogenous </w:t>
      </w:r>
      <w:r w:rsidR="00E13EDB" w:rsidRPr="00946A71">
        <w:rPr>
          <w:rFonts w:ascii="Arial" w:hAnsi="Arial" w:cs="Arial"/>
          <w:sz w:val="22"/>
        </w:rPr>
        <w:t xml:space="preserve">RNF214 was stably overexpressed in Hep3b cells using a lentivirus infection approach. </w:t>
      </w:r>
      <w:r w:rsidR="007070EF" w:rsidRPr="007070EF">
        <w:rPr>
          <w:rFonts w:ascii="Arial" w:hAnsi="Arial" w:cs="Arial"/>
          <w:b/>
          <w:sz w:val="22"/>
        </w:rPr>
        <w:t>e,</w:t>
      </w:r>
      <w:r w:rsidR="00E13EDB" w:rsidRPr="007070EF">
        <w:rPr>
          <w:rFonts w:ascii="Arial" w:hAnsi="Arial" w:cs="Arial"/>
          <w:b/>
          <w:sz w:val="22"/>
        </w:rPr>
        <w:t xml:space="preserve"> </w:t>
      </w:r>
      <w:r w:rsidR="00E13EDB" w:rsidRPr="00946A71">
        <w:rPr>
          <w:rFonts w:ascii="Arial" w:hAnsi="Arial" w:cs="Arial"/>
          <w:sz w:val="22"/>
        </w:rPr>
        <w:t xml:space="preserve">Wound-healing assays in Hep3b cells. Microscopic images were shown at 0 and 48 hours (4x magnification). The open wound area (%) was measured and are shown in the bar graph (right). Scale bar, 250 </w:t>
      </w:r>
      <w:r w:rsidR="00E13EDB" w:rsidRPr="00946A71">
        <w:rPr>
          <w:rFonts w:ascii="Arial" w:hAnsi="Arial" w:cs="Arial"/>
          <w:sz w:val="22"/>
        </w:rPr>
        <w:sym w:font="Symbol" w:char="F06D"/>
      </w:r>
      <w:r w:rsidR="00E13EDB" w:rsidRPr="00946A71">
        <w:rPr>
          <w:rFonts w:ascii="Arial" w:hAnsi="Arial" w:cs="Arial"/>
          <w:sz w:val="22"/>
        </w:rPr>
        <w:t>m.</w:t>
      </w:r>
      <w:r w:rsidR="00015567">
        <w:rPr>
          <w:rFonts w:ascii="Arial" w:hAnsi="Arial" w:cs="Arial"/>
          <w:sz w:val="22"/>
        </w:rPr>
        <w:t xml:space="preserve"> RNF214 was knocked </w:t>
      </w:r>
      <w:r w:rsidR="00015567" w:rsidRPr="005014AC">
        <w:rPr>
          <w:rFonts w:ascii="Arial" w:hAnsi="Arial" w:cs="Arial"/>
          <w:sz w:val="22"/>
        </w:rPr>
        <w:t>down using shRNA.</w:t>
      </w:r>
      <w:r w:rsidR="007070EF" w:rsidRPr="005014AC">
        <w:rPr>
          <w:rFonts w:ascii="Arial" w:hAnsi="Arial" w:cs="Arial"/>
          <w:sz w:val="22"/>
        </w:rPr>
        <w:t xml:space="preserve"> </w:t>
      </w:r>
      <w:r w:rsidR="00010E5A" w:rsidRPr="005014AC">
        <w:rPr>
          <w:rFonts w:ascii="Arial" w:hAnsi="Arial" w:cs="Arial"/>
          <w:b/>
          <w:color w:val="000000" w:themeColor="text1"/>
          <w:sz w:val="22"/>
        </w:rPr>
        <w:t>f-g</w:t>
      </w:r>
      <w:r w:rsidR="007070EF" w:rsidRPr="005014AC">
        <w:rPr>
          <w:rFonts w:ascii="Arial" w:hAnsi="Arial" w:cs="Arial"/>
          <w:b/>
          <w:color w:val="000000" w:themeColor="text1"/>
          <w:sz w:val="22"/>
        </w:rPr>
        <w:t xml:space="preserve">, </w:t>
      </w:r>
      <w:r w:rsidR="007070EF" w:rsidRPr="005014AC">
        <w:rPr>
          <w:rFonts w:ascii="Arial" w:hAnsi="Arial" w:cs="Arial"/>
          <w:color w:val="000000" w:themeColor="text1"/>
          <w:sz w:val="22"/>
        </w:rPr>
        <w:t>Silencing RNF214 dampened the S127A YAP-induced gene expression. HLF</w:t>
      </w:r>
      <w:r w:rsidR="00010E5A" w:rsidRPr="005014AC">
        <w:rPr>
          <w:rFonts w:ascii="Arial" w:hAnsi="Arial" w:cs="Arial"/>
          <w:color w:val="000000" w:themeColor="text1"/>
          <w:sz w:val="22"/>
        </w:rPr>
        <w:t xml:space="preserve"> or H</w:t>
      </w:r>
      <w:r w:rsidR="00010E5A" w:rsidRPr="005014AC">
        <w:rPr>
          <w:rFonts w:ascii="Arial" w:hAnsi="Arial" w:cs="Arial" w:hint="eastAsia"/>
          <w:color w:val="000000" w:themeColor="text1"/>
          <w:sz w:val="22"/>
        </w:rPr>
        <w:t>uh</w:t>
      </w:r>
      <w:r w:rsidR="00010E5A" w:rsidRPr="005014AC">
        <w:rPr>
          <w:rFonts w:ascii="Arial" w:hAnsi="Arial" w:cs="Arial"/>
          <w:color w:val="000000" w:themeColor="text1"/>
          <w:sz w:val="22"/>
        </w:rPr>
        <w:t>7</w:t>
      </w:r>
      <w:r w:rsidR="007070EF" w:rsidRPr="005014AC">
        <w:rPr>
          <w:rFonts w:ascii="Arial" w:hAnsi="Arial" w:cs="Arial"/>
          <w:color w:val="000000" w:themeColor="text1"/>
          <w:sz w:val="22"/>
        </w:rPr>
        <w:t xml:space="preserve"> cell</w:t>
      </w:r>
      <w:r w:rsidR="00010E5A" w:rsidRPr="005014AC">
        <w:rPr>
          <w:rFonts w:ascii="Arial" w:hAnsi="Arial" w:cs="Arial"/>
          <w:color w:val="000000" w:themeColor="text1"/>
          <w:sz w:val="22"/>
        </w:rPr>
        <w:t>s</w:t>
      </w:r>
      <w:r w:rsidR="007070EF" w:rsidRPr="005014AC">
        <w:rPr>
          <w:rFonts w:ascii="Arial" w:hAnsi="Arial" w:cs="Arial"/>
          <w:color w:val="000000" w:themeColor="text1"/>
          <w:sz w:val="22"/>
        </w:rPr>
        <w:t xml:space="preserve"> were stably introduced with the S127A YAP mutant through the tetracycline-inducible gene expression system (Tet/on-YAP-S127A). The cell lines were then transfected with siRNF214 </w:t>
      </w:r>
      <w:r w:rsidR="00AA1C7B" w:rsidRPr="005014AC">
        <w:rPr>
          <w:rFonts w:ascii="Arial" w:hAnsi="Arial" w:cs="Arial"/>
          <w:color w:val="000000" w:themeColor="text1"/>
          <w:sz w:val="22"/>
        </w:rPr>
        <w:t xml:space="preserve">oligos </w:t>
      </w:r>
      <w:r w:rsidR="007070EF" w:rsidRPr="005014AC">
        <w:rPr>
          <w:rFonts w:ascii="Arial" w:hAnsi="Arial" w:cs="Arial"/>
          <w:color w:val="000000" w:themeColor="text1"/>
          <w:sz w:val="22"/>
        </w:rPr>
        <w:t>and 25 ng/ml Dox was added to culture medium after 12 hours</w:t>
      </w:r>
      <w:r w:rsidR="00AA1C7B" w:rsidRPr="005014AC">
        <w:rPr>
          <w:rFonts w:ascii="Arial" w:hAnsi="Arial" w:cs="Arial"/>
          <w:color w:val="000000" w:themeColor="text1"/>
          <w:sz w:val="22"/>
        </w:rPr>
        <w:t xml:space="preserve"> to induce expression of YAP-S127A</w:t>
      </w:r>
      <w:r w:rsidR="007070EF" w:rsidRPr="005014AC">
        <w:rPr>
          <w:rFonts w:ascii="Arial" w:hAnsi="Arial" w:cs="Arial"/>
          <w:color w:val="000000" w:themeColor="text1"/>
          <w:sz w:val="22"/>
        </w:rPr>
        <w:t xml:space="preserve">. </w:t>
      </w:r>
      <w:r w:rsidR="00AA1C7B" w:rsidRPr="005014AC">
        <w:rPr>
          <w:rFonts w:ascii="Arial" w:hAnsi="Arial" w:cs="Arial"/>
          <w:color w:val="000000" w:themeColor="text1"/>
          <w:sz w:val="22"/>
        </w:rPr>
        <w:t>C</w:t>
      </w:r>
      <w:r w:rsidR="007070EF" w:rsidRPr="005014AC">
        <w:rPr>
          <w:rFonts w:ascii="Arial" w:hAnsi="Arial" w:cs="Arial"/>
          <w:color w:val="000000" w:themeColor="text1"/>
          <w:sz w:val="22"/>
        </w:rPr>
        <w:t xml:space="preserve">ells were harvested for </w:t>
      </w:r>
      <w:proofErr w:type="spellStart"/>
      <w:r w:rsidR="007070EF" w:rsidRPr="005014AC">
        <w:rPr>
          <w:rFonts w:ascii="Arial" w:hAnsi="Arial" w:cs="Arial"/>
          <w:color w:val="000000" w:themeColor="text1"/>
          <w:sz w:val="22"/>
        </w:rPr>
        <w:t>qRT</w:t>
      </w:r>
      <w:proofErr w:type="spellEnd"/>
      <w:r w:rsidR="007070EF" w:rsidRPr="005014AC">
        <w:rPr>
          <w:rFonts w:ascii="Arial" w:hAnsi="Arial" w:cs="Arial"/>
          <w:color w:val="000000" w:themeColor="text1"/>
          <w:sz w:val="22"/>
        </w:rPr>
        <w:t xml:space="preserve">-PCR and </w:t>
      </w:r>
      <w:r w:rsidR="00AA1C7B" w:rsidRPr="005014AC">
        <w:rPr>
          <w:rFonts w:ascii="Arial" w:hAnsi="Arial" w:cs="Arial"/>
          <w:color w:val="000000" w:themeColor="text1"/>
          <w:sz w:val="22"/>
        </w:rPr>
        <w:t xml:space="preserve">Western-blotting </w:t>
      </w:r>
      <w:r w:rsidR="007070EF" w:rsidRPr="005014AC">
        <w:rPr>
          <w:rFonts w:ascii="Arial" w:hAnsi="Arial" w:cs="Arial"/>
          <w:color w:val="000000" w:themeColor="text1"/>
          <w:sz w:val="22"/>
        </w:rPr>
        <w:t xml:space="preserve">96 hours </w:t>
      </w:r>
      <w:r w:rsidR="00AA1C7B" w:rsidRPr="005014AC">
        <w:rPr>
          <w:rFonts w:ascii="Arial" w:hAnsi="Arial" w:cs="Arial"/>
          <w:color w:val="000000" w:themeColor="text1"/>
          <w:sz w:val="22"/>
        </w:rPr>
        <w:t>post</w:t>
      </w:r>
      <w:r w:rsidR="007070EF" w:rsidRPr="005014AC">
        <w:rPr>
          <w:rFonts w:ascii="Arial" w:hAnsi="Arial" w:cs="Arial"/>
          <w:color w:val="000000" w:themeColor="text1"/>
          <w:sz w:val="22"/>
        </w:rPr>
        <w:t xml:space="preserve"> siRNA transfection.</w:t>
      </w:r>
      <w:r w:rsidR="00010E5A" w:rsidRPr="005014AC">
        <w:rPr>
          <w:rFonts w:ascii="Arial" w:hAnsi="Arial" w:cs="Arial"/>
          <w:color w:val="000000" w:themeColor="text1"/>
          <w:sz w:val="22"/>
        </w:rPr>
        <w:t xml:space="preserve"> </w:t>
      </w:r>
      <w:r w:rsidR="00010E5A" w:rsidRPr="005014AC">
        <w:rPr>
          <w:rFonts w:ascii="Arial" w:hAnsi="Arial" w:cs="Arial" w:hint="eastAsia"/>
          <w:b/>
          <w:color w:val="000000" w:themeColor="text1"/>
          <w:sz w:val="22"/>
        </w:rPr>
        <w:t>h</w:t>
      </w:r>
      <w:r w:rsidR="00010E5A" w:rsidRPr="005014AC">
        <w:rPr>
          <w:rFonts w:ascii="Arial" w:hAnsi="Arial" w:cs="Arial"/>
          <w:b/>
          <w:color w:val="000000" w:themeColor="text1"/>
          <w:sz w:val="22"/>
        </w:rPr>
        <w:t>-</w:t>
      </w:r>
      <w:proofErr w:type="spellStart"/>
      <w:r w:rsidR="00010E5A" w:rsidRPr="005014AC">
        <w:rPr>
          <w:rFonts w:ascii="Arial" w:hAnsi="Arial" w:cs="Arial"/>
          <w:b/>
          <w:color w:val="000000" w:themeColor="text1"/>
          <w:sz w:val="22"/>
        </w:rPr>
        <w:t>i</w:t>
      </w:r>
      <w:proofErr w:type="spellEnd"/>
      <w:r w:rsidR="00010E5A" w:rsidRPr="005014AC">
        <w:rPr>
          <w:rFonts w:ascii="Arial" w:hAnsi="Arial" w:cs="Arial"/>
          <w:b/>
          <w:color w:val="000000" w:themeColor="text1"/>
          <w:sz w:val="22"/>
        </w:rPr>
        <w:t>,</w:t>
      </w:r>
      <w:r w:rsidR="00534843" w:rsidRPr="005014AC">
        <w:rPr>
          <w:rFonts w:ascii="Arial" w:hAnsi="Arial" w:cs="Arial"/>
          <w:color w:val="000000" w:themeColor="text1"/>
          <w:sz w:val="22"/>
        </w:rPr>
        <w:t xml:space="preserve"> Knockout RNF214 inhibited HCC tumor growth in subcutaneous xenograft model. 2 x 10</w:t>
      </w:r>
      <w:r w:rsidR="00534843" w:rsidRPr="005014AC">
        <w:rPr>
          <w:rFonts w:ascii="Arial" w:hAnsi="Arial" w:cs="Arial"/>
          <w:color w:val="000000" w:themeColor="text1"/>
          <w:sz w:val="22"/>
          <w:vertAlign w:val="superscript"/>
        </w:rPr>
        <w:t>6</w:t>
      </w:r>
      <w:r w:rsidR="00534843" w:rsidRPr="005014AC">
        <w:rPr>
          <w:rFonts w:ascii="Arial" w:hAnsi="Arial" w:cs="Arial"/>
          <w:color w:val="000000" w:themeColor="text1"/>
          <w:sz w:val="22"/>
        </w:rPr>
        <w:t xml:space="preserve"> cont</w:t>
      </w:r>
      <w:r w:rsidR="00534843" w:rsidRPr="00534843">
        <w:rPr>
          <w:rFonts w:ascii="Arial" w:hAnsi="Arial" w:cs="Arial"/>
          <w:color w:val="000000" w:themeColor="text1"/>
          <w:sz w:val="22"/>
        </w:rPr>
        <w:t>rol or RNF214 knockout Huh7 cells with Matrigel were injected subcutaneously into 5-week-old male BALB/c nude mice. 21 days after cell implantation, tumors were dissected and photographed (</w:t>
      </w:r>
      <w:r w:rsidR="00534843" w:rsidRPr="00534843">
        <w:rPr>
          <w:rFonts w:ascii="Arial" w:hAnsi="Arial" w:cs="Arial"/>
          <w:b/>
          <w:color w:val="000000" w:themeColor="text1"/>
          <w:sz w:val="22"/>
        </w:rPr>
        <w:t>h</w:t>
      </w:r>
      <w:r w:rsidR="00534843" w:rsidRPr="00534843">
        <w:rPr>
          <w:rFonts w:ascii="Arial" w:hAnsi="Arial" w:cs="Arial"/>
          <w:color w:val="000000" w:themeColor="text1"/>
          <w:sz w:val="22"/>
        </w:rPr>
        <w:t>). And tumor weight (</w:t>
      </w:r>
      <w:proofErr w:type="spellStart"/>
      <w:r w:rsidR="00534843" w:rsidRPr="00534843">
        <w:rPr>
          <w:rFonts w:ascii="Arial" w:hAnsi="Arial" w:cs="Arial"/>
          <w:b/>
          <w:color w:val="000000" w:themeColor="text1"/>
          <w:sz w:val="22"/>
        </w:rPr>
        <w:t>i</w:t>
      </w:r>
      <w:proofErr w:type="spellEnd"/>
      <w:r w:rsidR="00534843" w:rsidRPr="00534843">
        <w:rPr>
          <w:rFonts w:ascii="Arial" w:hAnsi="Arial" w:cs="Arial"/>
          <w:color w:val="000000" w:themeColor="text1"/>
          <w:sz w:val="22"/>
        </w:rPr>
        <w:t xml:space="preserve">) was recorded. n=10 tumors for each group. </w:t>
      </w:r>
    </w:p>
    <w:p w14:paraId="0E66CFE2" w14:textId="5C15F31E" w:rsidR="00E13EDB" w:rsidRPr="00946A71" w:rsidRDefault="00E13EDB" w:rsidP="00946A71">
      <w:pPr>
        <w:spacing w:line="360" w:lineRule="auto"/>
        <w:rPr>
          <w:rFonts w:ascii="Arial" w:hAnsi="Arial" w:cs="Arial"/>
          <w:sz w:val="22"/>
        </w:rPr>
      </w:pPr>
      <w:r w:rsidRPr="00946A71">
        <w:rPr>
          <w:rFonts w:ascii="Arial" w:hAnsi="Arial" w:cs="Arial"/>
          <w:sz w:val="22"/>
        </w:rPr>
        <w:t>Data were shown as mean ± SD. Student’s t-test was used; n=3</w:t>
      </w:r>
      <w:r w:rsidR="00534843">
        <w:rPr>
          <w:rFonts w:ascii="Arial" w:hAnsi="Arial" w:cs="Arial"/>
          <w:sz w:val="22"/>
        </w:rPr>
        <w:t>, unless noted</w:t>
      </w:r>
      <w:r w:rsidRPr="00946A71">
        <w:rPr>
          <w:rFonts w:ascii="Arial" w:hAnsi="Arial" w:cs="Arial"/>
          <w:sz w:val="22"/>
        </w:rPr>
        <w:t>.</w:t>
      </w:r>
    </w:p>
    <w:p w14:paraId="55768268" w14:textId="77777777" w:rsidR="007070EF" w:rsidRPr="00534843" w:rsidRDefault="007070EF" w:rsidP="00946A71">
      <w:pPr>
        <w:spacing w:line="360" w:lineRule="auto"/>
        <w:rPr>
          <w:rFonts w:ascii="Arial" w:hAnsi="Arial" w:cs="Arial"/>
          <w:b/>
          <w:sz w:val="22"/>
        </w:rPr>
      </w:pPr>
      <w:bookmarkStart w:id="8" w:name="_Hlk122012206"/>
      <w:bookmarkEnd w:id="0"/>
      <w:bookmarkEnd w:id="6"/>
      <w:bookmarkEnd w:id="8"/>
    </w:p>
    <w:sectPr w:rsidR="007070EF" w:rsidRPr="00534843" w:rsidSect="00292B4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BBCAF8" w14:textId="77777777" w:rsidR="00343F88" w:rsidRDefault="00343F88" w:rsidP="00E13EDB">
      <w:r>
        <w:separator/>
      </w:r>
    </w:p>
  </w:endnote>
  <w:endnote w:type="continuationSeparator" w:id="0">
    <w:p w14:paraId="6F3F8316" w14:textId="77777777" w:rsidR="00343F88" w:rsidRDefault="00343F88" w:rsidP="00E13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061C1D" w14:textId="77777777" w:rsidR="00257D87" w:rsidRDefault="00343F8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508A6" w14:textId="77777777" w:rsidR="00257D87" w:rsidRDefault="00343F8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45714" w14:textId="77777777" w:rsidR="00257D87" w:rsidRDefault="00343F8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2E15E" w14:textId="77777777" w:rsidR="00343F88" w:rsidRDefault="00343F88" w:rsidP="00E13EDB">
      <w:r>
        <w:separator/>
      </w:r>
    </w:p>
  </w:footnote>
  <w:footnote w:type="continuationSeparator" w:id="0">
    <w:p w14:paraId="14C23882" w14:textId="77777777" w:rsidR="00343F88" w:rsidRDefault="00343F88" w:rsidP="00E13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16867" w14:textId="77777777" w:rsidR="00257D87" w:rsidRDefault="00343F8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E5B13" w14:textId="77777777" w:rsidR="00257D87" w:rsidRDefault="00343F88" w:rsidP="00257D87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C0ED5F" w14:textId="77777777" w:rsidR="00257D87" w:rsidRDefault="00343F88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E58"/>
    <w:rsid w:val="00010E5A"/>
    <w:rsid w:val="00015567"/>
    <w:rsid w:val="00087FCA"/>
    <w:rsid w:val="000B2CF8"/>
    <w:rsid w:val="00105B99"/>
    <w:rsid w:val="0017669D"/>
    <w:rsid w:val="001E26AE"/>
    <w:rsid w:val="002509B5"/>
    <w:rsid w:val="00292B48"/>
    <w:rsid w:val="002A5811"/>
    <w:rsid w:val="002D4B37"/>
    <w:rsid w:val="00343F88"/>
    <w:rsid w:val="003E7B7A"/>
    <w:rsid w:val="004D4F6C"/>
    <w:rsid w:val="005014AC"/>
    <w:rsid w:val="00534843"/>
    <w:rsid w:val="00573DD7"/>
    <w:rsid w:val="0059496C"/>
    <w:rsid w:val="00600A2C"/>
    <w:rsid w:val="00643F5E"/>
    <w:rsid w:val="006B201F"/>
    <w:rsid w:val="007070EF"/>
    <w:rsid w:val="00733072"/>
    <w:rsid w:val="0076596E"/>
    <w:rsid w:val="00821294"/>
    <w:rsid w:val="00831C39"/>
    <w:rsid w:val="008446EA"/>
    <w:rsid w:val="00881135"/>
    <w:rsid w:val="008B27A8"/>
    <w:rsid w:val="008E3291"/>
    <w:rsid w:val="009162BF"/>
    <w:rsid w:val="00946A71"/>
    <w:rsid w:val="00975BCE"/>
    <w:rsid w:val="00991846"/>
    <w:rsid w:val="009A4053"/>
    <w:rsid w:val="009A6F53"/>
    <w:rsid w:val="009F7A4A"/>
    <w:rsid w:val="00A63D34"/>
    <w:rsid w:val="00A67961"/>
    <w:rsid w:val="00A91906"/>
    <w:rsid w:val="00AA1C7B"/>
    <w:rsid w:val="00AD508B"/>
    <w:rsid w:val="00B34A38"/>
    <w:rsid w:val="00B51965"/>
    <w:rsid w:val="00B77F40"/>
    <w:rsid w:val="00B90E57"/>
    <w:rsid w:val="00B9455A"/>
    <w:rsid w:val="00B96F2F"/>
    <w:rsid w:val="00BF11C0"/>
    <w:rsid w:val="00C03F06"/>
    <w:rsid w:val="00C30DAD"/>
    <w:rsid w:val="00C42144"/>
    <w:rsid w:val="00C42FD0"/>
    <w:rsid w:val="00C56EA9"/>
    <w:rsid w:val="00CF33A9"/>
    <w:rsid w:val="00D125AE"/>
    <w:rsid w:val="00D24837"/>
    <w:rsid w:val="00D32C28"/>
    <w:rsid w:val="00D657A0"/>
    <w:rsid w:val="00D7086E"/>
    <w:rsid w:val="00D9549E"/>
    <w:rsid w:val="00DA59E9"/>
    <w:rsid w:val="00DA6B29"/>
    <w:rsid w:val="00DB30E3"/>
    <w:rsid w:val="00DD3AD7"/>
    <w:rsid w:val="00DF31CF"/>
    <w:rsid w:val="00E11EF5"/>
    <w:rsid w:val="00E13EDB"/>
    <w:rsid w:val="00E167B6"/>
    <w:rsid w:val="00EF6D68"/>
    <w:rsid w:val="00F722A9"/>
    <w:rsid w:val="00FE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23716"/>
  <w15:chartTrackingRefBased/>
  <w15:docId w15:val="{3EF0AD0E-E287-45B0-8E2F-08EE20C39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3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3E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3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3E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50BCF-60E8-4927-9560-3AF7BFBD0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1412</Words>
  <Characters>8052</Characters>
  <Application>Microsoft Office Word</Application>
  <DocSecurity>0</DocSecurity>
  <Lines>67</Lines>
  <Paragraphs>18</Paragraphs>
  <ScaleCrop>false</ScaleCrop>
  <Company/>
  <LinksUpToDate>false</LinksUpToDate>
  <CharactersWithSpaces>9446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小林皮夹子</dc:creator>
  <cp:keywords/>
  <dc:description/>
  <cp:lastModifiedBy>jin</cp:lastModifiedBy>
  <cp:revision>2</cp:revision>
  <dcterms:created xsi:type="dcterms:W3CDTF">2023-04-20T06:42:00Z</dcterms:created>
  <dcterms:modified xsi:type="dcterms:W3CDTF">2023-04-20T06:42:00Z</dcterms:modified>
</cp:coreProperties>
</file>