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73ABF" w14:textId="0A3B8F51" w:rsidR="00CD49A3" w:rsidRPr="00651EED" w:rsidRDefault="00CD49A3" w:rsidP="00CD49A3">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Nutritional composition and pharmacological activity of</w:t>
      </w:r>
      <w:r w:rsidRPr="00651EED">
        <w:rPr>
          <w:rFonts w:ascii="Times New Roman" w:hAnsi="Times New Roman" w:cs="Times New Roman"/>
          <w:b/>
          <w:bCs/>
          <w:i/>
          <w:iCs/>
          <w:sz w:val="24"/>
          <w:szCs w:val="24"/>
        </w:rPr>
        <w:t xml:space="preserve"> Musa balbisiana</w:t>
      </w:r>
      <w:r w:rsidRPr="00651EED">
        <w:rPr>
          <w:rFonts w:ascii="Times New Roman" w:hAnsi="Times New Roman" w:cs="Times New Roman"/>
          <w:b/>
          <w:bCs/>
          <w:sz w:val="24"/>
          <w:szCs w:val="24"/>
        </w:rPr>
        <w:t xml:space="preserve"> Colla seed: an insight into phytochemical and cellular bioenergetic profil</w:t>
      </w:r>
      <w:r w:rsidR="002A5640" w:rsidRPr="00651EED">
        <w:rPr>
          <w:rFonts w:ascii="Times New Roman" w:hAnsi="Times New Roman" w:cs="Times New Roman"/>
          <w:b/>
          <w:bCs/>
          <w:sz w:val="24"/>
          <w:szCs w:val="24"/>
        </w:rPr>
        <w:t>ing</w:t>
      </w:r>
    </w:p>
    <w:p w14:paraId="122A98B8" w14:textId="0F8CDB06" w:rsidR="007E0200" w:rsidRPr="00651EED" w:rsidRDefault="007E0200" w:rsidP="00CD49A3">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 xml:space="preserve">Journal name: </w:t>
      </w:r>
      <w:r w:rsidRPr="00651EED">
        <w:rPr>
          <w:rFonts w:ascii="Times New Roman" w:hAnsi="Times New Roman" w:cs="Times New Roman"/>
          <w:sz w:val="24"/>
          <w:szCs w:val="24"/>
        </w:rPr>
        <w:t>Plant Foods for Human Nutrition</w:t>
      </w:r>
    </w:p>
    <w:p w14:paraId="13A590D9" w14:textId="7880595D" w:rsidR="00CD49A3" w:rsidRPr="00651EED" w:rsidRDefault="00CD49A3" w:rsidP="00CD49A3">
      <w:pPr>
        <w:spacing w:line="480" w:lineRule="auto"/>
        <w:jc w:val="both"/>
        <w:rPr>
          <w:rFonts w:ascii="Times New Roman" w:hAnsi="Times New Roman" w:cs="Times New Roman"/>
          <w:sz w:val="24"/>
          <w:szCs w:val="24"/>
        </w:rPr>
      </w:pPr>
      <w:proofErr w:type="spellStart"/>
      <w:r w:rsidRPr="00651EED">
        <w:rPr>
          <w:rFonts w:ascii="Times New Roman" w:hAnsi="Times New Roman" w:cs="Times New Roman"/>
          <w:sz w:val="24"/>
          <w:szCs w:val="24"/>
        </w:rPr>
        <w:t>Nonibala</w:t>
      </w:r>
      <w:proofErr w:type="spellEnd"/>
      <w:r w:rsidRPr="00651EED">
        <w:rPr>
          <w:rFonts w:ascii="Times New Roman" w:hAnsi="Times New Roman" w:cs="Times New Roman"/>
          <w:sz w:val="24"/>
          <w:szCs w:val="24"/>
        </w:rPr>
        <w:t xml:space="preserve"> Gurumayum</w:t>
      </w:r>
      <w:r w:rsidR="0097402E" w:rsidRPr="00651EED">
        <w:rPr>
          <w:rFonts w:ascii="Times New Roman" w:hAnsi="Times New Roman" w:cs="Times New Roman"/>
          <w:sz w:val="24"/>
          <w:szCs w:val="24"/>
          <w:vertAlign w:val="superscript"/>
        </w:rPr>
        <w:t>1,2</w:t>
      </w:r>
      <w:r w:rsidRPr="00651EED">
        <w:rPr>
          <w:rFonts w:ascii="Times New Roman" w:hAnsi="Times New Roman" w:cs="Times New Roman"/>
          <w:sz w:val="24"/>
          <w:szCs w:val="24"/>
        </w:rPr>
        <w:t xml:space="preserve">, Partha </w:t>
      </w:r>
      <w:proofErr w:type="spellStart"/>
      <w:r w:rsidRPr="00651EED">
        <w:rPr>
          <w:rFonts w:ascii="Times New Roman" w:hAnsi="Times New Roman" w:cs="Times New Roman"/>
          <w:sz w:val="24"/>
          <w:szCs w:val="24"/>
        </w:rPr>
        <w:t>Pratim</w:t>
      </w:r>
      <w:proofErr w:type="spellEnd"/>
      <w:r w:rsidRPr="00651EED">
        <w:rPr>
          <w:rFonts w:ascii="Times New Roman" w:hAnsi="Times New Roman" w:cs="Times New Roman"/>
          <w:sz w:val="24"/>
          <w:szCs w:val="24"/>
        </w:rPr>
        <w:t xml:space="preserve"> Sarma</w:t>
      </w:r>
      <w:r w:rsidR="0097402E" w:rsidRPr="00651EED">
        <w:rPr>
          <w:rFonts w:ascii="Times New Roman" w:hAnsi="Times New Roman" w:cs="Times New Roman"/>
          <w:sz w:val="24"/>
          <w:szCs w:val="24"/>
          <w:vertAlign w:val="superscript"/>
        </w:rPr>
        <w:t>1</w:t>
      </w:r>
      <w:r w:rsidRPr="00651EED">
        <w:rPr>
          <w:rFonts w:ascii="Times New Roman" w:hAnsi="Times New Roman" w:cs="Times New Roman"/>
          <w:sz w:val="24"/>
          <w:szCs w:val="24"/>
        </w:rPr>
        <w:t xml:space="preserve">, </w:t>
      </w:r>
      <w:proofErr w:type="spellStart"/>
      <w:r w:rsidRPr="00651EED">
        <w:rPr>
          <w:rFonts w:ascii="Times New Roman" w:hAnsi="Times New Roman" w:cs="Times New Roman"/>
          <w:sz w:val="24"/>
          <w:szCs w:val="24"/>
        </w:rPr>
        <w:t>Puspanjali</w:t>
      </w:r>
      <w:proofErr w:type="spellEnd"/>
      <w:r w:rsidRPr="00651EED">
        <w:rPr>
          <w:rFonts w:ascii="Times New Roman" w:hAnsi="Times New Roman" w:cs="Times New Roman"/>
          <w:sz w:val="24"/>
          <w:szCs w:val="24"/>
        </w:rPr>
        <w:t xml:space="preserve"> Khound</w:t>
      </w:r>
      <w:r w:rsidR="0097402E" w:rsidRPr="00651EED">
        <w:rPr>
          <w:rFonts w:ascii="Times New Roman" w:hAnsi="Times New Roman" w:cs="Times New Roman"/>
          <w:sz w:val="24"/>
          <w:szCs w:val="24"/>
          <w:vertAlign w:val="superscript"/>
        </w:rPr>
        <w:t>1,2</w:t>
      </w:r>
      <w:r w:rsidRPr="00651EED">
        <w:rPr>
          <w:rFonts w:ascii="Times New Roman" w:hAnsi="Times New Roman" w:cs="Times New Roman"/>
          <w:sz w:val="24"/>
          <w:szCs w:val="24"/>
        </w:rPr>
        <w:t>, Uttam Kumar Jana</w:t>
      </w:r>
      <w:r w:rsidR="0097402E" w:rsidRPr="00651EED">
        <w:rPr>
          <w:rFonts w:ascii="Times New Roman" w:hAnsi="Times New Roman" w:cs="Times New Roman"/>
          <w:sz w:val="24"/>
          <w:szCs w:val="24"/>
          <w:vertAlign w:val="superscript"/>
        </w:rPr>
        <w:t>1,3</w:t>
      </w:r>
      <w:r w:rsidRPr="00651EED">
        <w:rPr>
          <w:rFonts w:ascii="Times New Roman" w:hAnsi="Times New Roman" w:cs="Times New Roman"/>
          <w:sz w:val="24"/>
          <w:szCs w:val="24"/>
        </w:rPr>
        <w:t xml:space="preserve">, </w:t>
      </w:r>
      <w:proofErr w:type="spellStart"/>
      <w:r w:rsidRPr="00651EED">
        <w:rPr>
          <w:rFonts w:ascii="Times New Roman" w:hAnsi="Times New Roman" w:cs="Times New Roman"/>
          <w:sz w:val="24"/>
          <w:szCs w:val="24"/>
        </w:rPr>
        <w:t>Rajlakshmi</w:t>
      </w:r>
      <w:proofErr w:type="spellEnd"/>
      <w:r w:rsidRPr="00651EED">
        <w:rPr>
          <w:rFonts w:ascii="Times New Roman" w:hAnsi="Times New Roman" w:cs="Times New Roman"/>
          <w:sz w:val="24"/>
          <w:szCs w:val="24"/>
        </w:rPr>
        <w:t xml:space="preserve"> Devi</w:t>
      </w:r>
      <w:r w:rsidR="0097402E" w:rsidRPr="00651EED">
        <w:rPr>
          <w:rFonts w:ascii="Times New Roman" w:hAnsi="Times New Roman" w:cs="Times New Roman"/>
          <w:sz w:val="24"/>
          <w:szCs w:val="24"/>
          <w:vertAlign w:val="superscript"/>
        </w:rPr>
        <w:t>1,2</w:t>
      </w:r>
      <w:r w:rsidR="007E0200" w:rsidRPr="00651EED">
        <w:rPr>
          <w:rFonts w:ascii="Times New Roman" w:hAnsi="Times New Roman" w:cs="Times New Roman"/>
          <w:sz w:val="24"/>
          <w:szCs w:val="24"/>
          <w:vertAlign w:val="superscript"/>
        </w:rPr>
        <w:t>*</w:t>
      </w:r>
    </w:p>
    <w:p w14:paraId="263F667A" w14:textId="77777777" w:rsidR="0097402E" w:rsidRPr="00651EED" w:rsidRDefault="0097402E" w:rsidP="0097402E">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vertAlign w:val="superscript"/>
        </w:rPr>
        <w:t>1</w:t>
      </w:r>
      <w:r w:rsidRPr="00651EED">
        <w:rPr>
          <w:rFonts w:ascii="Times New Roman" w:hAnsi="Times New Roman" w:cs="Times New Roman"/>
          <w:sz w:val="24"/>
          <w:szCs w:val="24"/>
        </w:rPr>
        <w:t>Life Science Division,</w:t>
      </w:r>
      <w:r w:rsidRPr="00651EED">
        <w:rPr>
          <w:rFonts w:ascii="Times New Roman" w:hAnsi="Times New Roman" w:cs="Times New Roman"/>
          <w:sz w:val="24"/>
          <w:szCs w:val="24"/>
          <w:vertAlign w:val="superscript"/>
        </w:rPr>
        <w:t xml:space="preserve"> </w:t>
      </w:r>
      <w:r w:rsidRPr="00651EED">
        <w:rPr>
          <w:rFonts w:ascii="Times New Roman" w:hAnsi="Times New Roman" w:cs="Times New Roman"/>
          <w:sz w:val="24"/>
          <w:szCs w:val="24"/>
        </w:rPr>
        <w:t>Institute of Advanced Study in Science and Technology (IASST), Guwahati-781035, Assam, India</w:t>
      </w:r>
    </w:p>
    <w:p w14:paraId="694B2BB3" w14:textId="77777777" w:rsidR="0097402E" w:rsidRPr="00651EED" w:rsidRDefault="0097402E" w:rsidP="0097402E">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vertAlign w:val="superscript"/>
        </w:rPr>
        <w:t>2</w:t>
      </w:r>
      <w:r w:rsidRPr="00651EED">
        <w:rPr>
          <w:rFonts w:ascii="Times New Roman" w:hAnsi="Times New Roman" w:cs="Times New Roman"/>
          <w:sz w:val="24"/>
          <w:szCs w:val="24"/>
        </w:rPr>
        <w:t xml:space="preserve">Department of Zoology, </w:t>
      </w:r>
      <w:proofErr w:type="spellStart"/>
      <w:r w:rsidRPr="00651EED">
        <w:rPr>
          <w:rFonts w:ascii="Times New Roman" w:hAnsi="Times New Roman" w:cs="Times New Roman"/>
          <w:sz w:val="24"/>
          <w:szCs w:val="24"/>
        </w:rPr>
        <w:t>Gauhati</w:t>
      </w:r>
      <w:proofErr w:type="spellEnd"/>
      <w:r w:rsidRPr="00651EED">
        <w:rPr>
          <w:rFonts w:ascii="Times New Roman" w:hAnsi="Times New Roman" w:cs="Times New Roman"/>
          <w:sz w:val="24"/>
          <w:szCs w:val="24"/>
        </w:rPr>
        <w:t xml:space="preserve"> University, Guwahati-781014, India</w:t>
      </w:r>
    </w:p>
    <w:p w14:paraId="03D85E44" w14:textId="77777777" w:rsidR="0097402E" w:rsidRPr="00651EED" w:rsidRDefault="0097402E" w:rsidP="0097402E">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vertAlign w:val="superscript"/>
        </w:rPr>
        <w:t>3</w:t>
      </w:r>
      <w:r w:rsidRPr="00651EED">
        <w:rPr>
          <w:rFonts w:ascii="Times New Roman" w:hAnsi="Times New Roman" w:cs="Times New Roman"/>
          <w:sz w:val="24"/>
          <w:szCs w:val="24"/>
        </w:rPr>
        <w:t xml:space="preserve">Current address: Crystallography and Molecular Biology Division, </w:t>
      </w:r>
      <w:proofErr w:type="spellStart"/>
      <w:r w:rsidRPr="00651EED">
        <w:rPr>
          <w:rFonts w:ascii="Times New Roman" w:hAnsi="Times New Roman" w:cs="Times New Roman"/>
          <w:sz w:val="24"/>
          <w:szCs w:val="24"/>
        </w:rPr>
        <w:t>Saha</w:t>
      </w:r>
      <w:proofErr w:type="spellEnd"/>
      <w:r w:rsidRPr="00651EED">
        <w:rPr>
          <w:rFonts w:ascii="Times New Roman" w:hAnsi="Times New Roman" w:cs="Times New Roman"/>
          <w:sz w:val="24"/>
          <w:szCs w:val="24"/>
        </w:rPr>
        <w:t xml:space="preserve"> Institute of Nuclear Physics, Kolkata- 700064, India</w:t>
      </w:r>
    </w:p>
    <w:p w14:paraId="3BD50046" w14:textId="66AE8D9F" w:rsidR="0097402E" w:rsidRPr="00651EED" w:rsidRDefault="00604172" w:rsidP="0097402E">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vertAlign w:val="superscript"/>
        </w:rPr>
        <w:t>*</w:t>
      </w:r>
      <w:r w:rsidR="0097402E" w:rsidRPr="00651EED">
        <w:rPr>
          <w:rFonts w:ascii="Times New Roman" w:hAnsi="Times New Roman" w:cs="Times New Roman"/>
          <w:sz w:val="24"/>
          <w:szCs w:val="24"/>
        </w:rPr>
        <w:t>Corresponding author</w:t>
      </w:r>
    </w:p>
    <w:p w14:paraId="757845A8" w14:textId="6CA898FF" w:rsidR="0097402E" w:rsidRPr="00651EED" w:rsidRDefault="0097402E" w:rsidP="0097402E">
      <w:pPr>
        <w:spacing w:line="480" w:lineRule="auto"/>
        <w:jc w:val="both"/>
        <w:rPr>
          <w:rFonts w:ascii="Times New Roman" w:hAnsi="Times New Roman" w:cs="Times New Roman"/>
          <w:sz w:val="24"/>
          <w:szCs w:val="24"/>
        </w:rPr>
      </w:pPr>
      <w:proofErr w:type="spellStart"/>
      <w:r w:rsidRPr="00651EED">
        <w:rPr>
          <w:rFonts w:ascii="Times New Roman" w:hAnsi="Times New Roman" w:cs="Times New Roman"/>
          <w:sz w:val="24"/>
          <w:szCs w:val="24"/>
        </w:rPr>
        <w:t>Rajlakshmi</w:t>
      </w:r>
      <w:proofErr w:type="spellEnd"/>
      <w:r w:rsidRPr="00651EED">
        <w:rPr>
          <w:rFonts w:ascii="Times New Roman" w:hAnsi="Times New Roman" w:cs="Times New Roman"/>
          <w:sz w:val="24"/>
          <w:szCs w:val="24"/>
        </w:rPr>
        <w:t xml:space="preserve"> Devi </w:t>
      </w:r>
    </w:p>
    <w:p w14:paraId="22154222" w14:textId="77777777" w:rsidR="0097402E" w:rsidRPr="00651EED" w:rsidRDefault="0097402E" w:rsidP="0097402E">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Institute of Advanced Study in Science and Technology, Vigyan Path, Paschim </w:t>
      </w:r>
      <w:proofErr w:type="spellStart"/>
      <w:r w:rsidRPr="00651EED">
        <w:rPr>
          <w:rFonts w:ascii="Times New Roman" w:hAnsi="Times New Roman" w:cs="Times New Roman"/>
          <w:sz w:val="24"/>
          <w:szCs w:val="24"/>
        </w:rPr>
        <w:t>Boragaon</w:t>
      </w:r>
      <w:proofErr w:type="spellEnd"/>
      <w:r w:rsidRPr="00651EED">
        <w:rPr>
          <w:rFonts w:ascii="Times New Roman" w:hAnsi="Times New Roman" w:cs="Times New Roman"/>
          <w:sz w:val="24"/>
          <w:szCs w:val="24"/>
        </w:rPr>
        <w:t xml:space="preserve">, Guwahati-781035, Assam, India. </w:t>
      </w:r>
    </w:p>
    <w:p w14:paraId="2496CED2" w14:textId="77777777" w:rsidR="0097402E" w:rsidRPr="00651EED" w:rsidRDefault="0097402E" w:rsidP="0097402E">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Email- </w:t>
      </w:r>
      <w:hyperlink r:id="rId5" w:history="1">
        <w:r w:rsidRPr="00651EED">
          <w:rPr>
            <w:rStyle w:val="Hyperlink"/>
            <w:rFonts w:ascii="Times New Roman" w:hAnsi="Times New Roman" w:cs="Times New Roman"/>
            <w:sz w:val="24"/>
            <w:szCs w:val="24"/>
          </w:rPr>
          <w:t>rajlakshmi@iasst.gov.in</w:t>
        </w:r>
      </w:hyperlink>
    </w:p>
    <w:p w14:paraId="1514CEEC" w14:textId="4889182B" w:rsidR="007E0200" w:rsidRPr="00651EED" w:rsidRDefault="0097402E" w:rsidP="0097402E">
      <w:pPr>
        <w:spacing w:line="480" w:lineRule="auto"/>
        <w:jc w:val="both"/>
        <w:rPr>
          <w:rFonts w:ascii="Times New Roman" w:hAnsi="Times New Roman" w:cs="Times New Roman"/>
          <w:b/>
          <w:bCs/>
          <w:sz w:val="24"/>
          <w:szCs w:val="24"/>
        </w:rPr>
      </w:pPr>
      <w:r w:rsidRPr="00651EED">
        <w:rPr>
          <w:rFonts w:ascii="Times New Roman" w:hAnsi="Times New Roman" w:cs="Times New Roman"/>
          <w:sz w:val="24"/>
          <w:szCs w:val="24"/>
        </w:rPr>
        <w:t>ORCID ID- 0000-0001-5022-8845</w:t>
      </w:r>
    </w:p>
    <w:p w14:paraId="61E18074" w14:textId="77777777" w:rsidR="007E0200" w:rsidRPr="00651EED" w:rsidRDefault="007E0200" w:rsidP="00E42FF5">
      <w:pPr>
        <w:spacing w:line="480" w:lineRule="auto"/>
        <w:jc w:val="both"/>
        <w:rPr>
          <w:rFonts w:ascii="Times New Roman" w:hAnsi="Times New Roman" w:cs="Times New Roman"/>
          <w:b/>
          <w:bCs/>
          <w:sz w:val="24"/>
          <w:szCs w:val="24"/>
        </w:rPr>
      </w:pPr>
    </w:p>
    <w:p w14:paraId="7D426961" w14:textId="77777777" w:rsidR="007E0200" w:rsidRPr="00651EED" w:rsidRDefault="007E0200" w:rsidP="00E42FF5">
      <w:pPr>
        <w:spacing w:line="480" w:lineRule="auto"/>
        <w:jc w:val="both"/>
        <w:rPr>
          <w:rFonts w:ascii="Times New Roman" w:hAnsi="Times New Roman" w:cs="Times New Roman"/>
          <w:b/>
          <w:bCs/>
          <w:sz w:val="24"/>
          <w:szCs w:val="24"/>
        </w:rPr>
      </w:pPr>
    </w:p>
    <w:p w14:paraId="1D23E0CE" w14:textId="77777777" w:rsidR="007E0200" w:rsidRPr="00651EED" w:rsidRDefault="007E0200" w:rsidP="00E42FF5">
      <w:pPr>
        <w:spacing w:line="480" w:lineRule="auto"/>
        <w:jc w:val="both"/>
        <w:rPr>
          <w:rFonts w:ascii="Times New Roman" w:hAnsi="Times New Roman" w:cs="Times New Roman"/>
          <w:b/>
          <w:bCs/>
          <w:sz w:val="24"/>
          <w:szCs w:val="24"/>
        </w:rPr>
      </w:pPr>
    </w:p>
    <w:p w14:paraId="73D7912B" w14:textId="77777777" w:rsidR="00604172" w:rsidRPr="00651EED" w:rsidRDefault="00604172" w:rsidP="00E42FF5">
      <w:pPr>
        <w:spacing w:line="480" w:lineRule="auto"/>
        <w:jc w:val="both"/>
        <w:rPr>
          <w:rFonts w:ascii="Times New Roman" w:hAnsi="Times New Roman" w:cs="Times New Roman"/>
          <w:b/>
          <w:bCs/>
          <w:sz w:val="24"/>
          <w:szCs w:val="24"/>
        </w:rPr>
      </w:pPr>
    </w:p>
    <w:p w14:paraId="0825DFCC" w14:textId="77777777" w:rsidR="00604172" w:rsidRPr="00651EED" w:rsidRDefault="00604172" w:rsidP="00E42FF5">
      <w:pPr>
        <w:spacing w:line="480" w:lineRule="auto"/>
        <w:jc w:val="both"/>
        <w:rPr>
          <w:rFonts w:ascii="Times New Roman" w:hAnsi="Times New Roman" w:cs="Times New Roman"/>
          <w:b/>
          <w:bCs/>
          <w:sz w:val="24"/>
          <w:szCs w:val="24"/>
        </w:rPr>
      </w:pPr>
    </w:p>
    <w:p w14:paraId="76F0E070" w14:textId="3777C0A2"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lastRenderedPageBreak/>
        <w:t>Materials and Methods</w:t>
      </w:r>
    </w:p>
    <w:p w14:paraId="4544EC8C" w14:textId="6B56AB2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Chemicals</w:t>
      </w:r>
    </w:p>
    <w:p w14:paraId="00338CE2" w14:textId="77777777" w:rsidR="00E42FF5" w:rsidRPr="00651EED" w:rsidRDefault="00E42FF5"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DPPH, ABTS, ascorbic acid, fructose, BSA, methylglyoxal, arginine, acarbose, aminoguanidine hydrochloride, dimethyl sulfoxide, and MTT</w:t>
      </w:r>
      <w:r w:rsidRPr="00651EED">
        <w:rPr>
          <w:rFonts w:ascii="Times New Roman" w:hAnsi="Times New Roman" w:cs="Times New Roman"/>
          <w:sz w:val="24"/>
          <w:szCs w:val="24"/>
          <w:shd w:val="clear" w:color="auto" w:fill="FFFFFF"/>
        </w:rPr>
        <w:t xml:space="preserve"> were obtained from Sigma-Aldrich (St. Louis, MO, USA)</w:t>
      </w:r>
      <w:r w:rsidRPr="00651EED">
        <w:rPr>
          <w:rFonts w:ascii="Times New Roman" w:hAnsi="Times New Roman" w:cs="Times New Roman"/>
          <w:sz w:val="24"/>
          <w:szCs w:val="24"/>
        </w:rPr>
        <w:t xml:space="preserve">. DMEM, </w:t>
      </w:r>
      <w:proofErr w:type="spellStart"/>
      <w:r w:rsidRPr="00651EED">
        <w:rPr>
          <w:rFonts w:ascii="Times New Roman" w:hAnsi="Times New Roman" w:cs="Times New Roman"/>
          <w:sz w:val="24"/>
          <w:szCs w:val="24"/>
        </w:rPr>
        <w:t>fetal</w:t>
      </w:r>
      <w:proofErr w:type="spellEnd"/>
      <w:r w:rsidRPr="00651EED">
        <w:rPr>
          <w:rFonts w:ascii="Times New Roman" w:hAnsi="Times New Roman" w:cs="Times New Roman"/>
          <w:sz w:val="24"/>
          <w:szCs w:val="24"/>
        </w:rPr>
        <w:t xml:space="preserve"> bovine serum, 0.25% trypsin-EDTA and antibiotic (Anti-Anti) were purchased from Gibco (Grand Island, NY, USA). Cell </w:t>
      </w:r>
      <w:proofErr w:type="spellStart"/>
      <w:r w:rsidRPr="00651EED">
        <w:rPr>
          <w:rFonts w:ascii="Times New Roman" w:hAnsi="Times New Roman" w:cs="Times New Roman"/>
          <w:sz w:val="24"/>
          <w:szCs w:val="24"/>
        </w:rPr>
        <w:t>mito</w:t>
      </w:r>
      <w:proofErr w:type="spellEnd"/>
      <w:r w:rsidRPr="00651EED">
        <w:rPr>
          <w:rFonts w:ascii="Times New Roman" w:hAnsi="Times New Roman" w:cs="Times New Roman"/>
          <w:sz w:val="24"/>
          <w:szCs w:val="24"/>
        </w:rPr>
        <w:t xml:space="preserve"> stress test and glycolysis stress test kit were procured from Agilent Technologies (USA). The remaining chemicals, including the solvent used for extraction, were purchased from Merck (Germany). </w:t>
      </w:r>
    </w:p>
    <w:p w14:paraId="54B05B4B"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Plant Materials</w:t>
      </w:r>
    </w:p>
    <w:p w14:paraId="0CAB37FF" w14:textId="77777777" w:rsidR="00E42FF5" w:rsidRPr="00651EED" w:rsidRDefault="00E42FF5"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Mature fruits of </w:t>
      </w:r>
      <w:r w:rsidRPr="00651EED">
        <w:rPr>
          <w:rFonts w:ascii="Times New Roman" w:hAnsi="Times New Roman" w:cs="Times New Roman"/>
          <w:i/>
          <w:iCs/>
          <w:sz w:val="24"/>
          <w:szCs w:val="24"/>
        </w:rPr>
        <w:t>M. balbisiana</w:t>
      </w:r>
      <w:r w:rsidRPr="00651EED">
        <w:rPr>
          <w:rFonts w:ascii="Times New Roman" w:hAnsi="Times New Roman" w:cs="Times New Roman"/>
          <w:sz w:val="24"/>
          <w:szCs w:val="24"/>
        </w:rPr>
        <w:t xml:space="preserve"> were collected from the Institute of Advanced Study in Science and Technology (IASST), Assam, India. The Botanical Survey of India authenticated the plant under Ref No. BSI/ERC/Tech/2022-23/337 and a voucher specimen was deposited at the Institute of Advanced Study in Science and Technology (IASST), Assam, India. </w:t>
      </w:r>
    </w:p>
    <w:p w14:paraId="1F8FFB25"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 xml:space="preserve">Proximate analysis of </w:t>
      </w:r>
      <w:r w:rsidRPr="00651EED">
        <w:rPr>
          <w:rFonts w:ascii="Times New Roman" w:hAnsi="Times New Roman" w:cs="Times New Roman"/>
          <w:b/>
          <w:bCs/>
          <w:i/>
          <w:iCs/>
          <w:sz w:val="24"/>
          <w:szCs w:val="24"/>
        </w:rPr>
        <w:t>M. balbisiana</w:t>
      </w:r>
      <w:r w:rsidRPr="00651EED">
        <w:rPr>
          <w:rFonts w:ascii="Times New Roman" w:hAnsi="Times New Roman" w:cs="Times New Roman"/>
          <w:b/>
          <w:bCs/>
          <w:sz w:val="24"/>
          <w:szCs w:val="24"/>
        </w:rPr>
        <w:t xml:space="preserve"> seeds</w:t>
      </w:r>
    </w:p>
    <w:p w14:paraId="71A2752F" w14:textId="6D43245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sz w:val="24"/>
          <w:szCs w:val="24"/>
        </w:rPr>
        <w:t>Seeds were separated from the pulp by a seed extractor, and the isolated seeds were cleaned and shade dried for five days. The nutritional composition of dried powder seeds (total carbohydrate, starch, reducing sugar, and protein) was measured using well-established methods</w:t>
      </w:r>
      <w:r w:rsidR="007E0200" w:rsidRPr="00651EE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"/>
          <w:id w:val="-178964156"/>
          <w:placeholder>
            <w:docPart w:val="DefaultPlaceholder_-1854013440"/>
          </w:placeholder>
        </w:sdtPr>
        <w:sdtContent>
          <w:r w:rsidR="00900372" w:rsidRPr="00651EED">
            <w:rPr>
              <w:rFonts w:ascii="Times New Roman" w:eastAsia="Times New Roman" w:hAnsi="Times New Roman" w:cs="Times New Roman"/>
              <w:color w:val="000000"/>
              <w:sz w:val="24"/>
              <w:szCs w:val="24"/>
            </w:rPr>
            <w:t>[1]</w:t>
          </w:r>
        </w:sdtContent>
      </w:sdt>
      <w:r w:rsidRPr="00651EED">
        <w:rPr>
          <w:rFonts w:ascii="Times New Roman" w:hAnsi="Times New Roman" w:cs="Times New Roman"/>
          <w:sz w:val="24"/>
          <w:szCs w:val="24"/>
        </w:rPr>
        <w:t>. The proximate ash, moisture</w:t>
      </w:r>
      <w:r w:rsidR="007C0697" w:rsidRPr="00651EED">
        <w:rPr>
          <w:rFonts w:ascii="Times New Roman" w:hAnsi="Times New Roman" w:cs="Times New Roman"/>
          <w:sz w:val="24"/>
          <w:szCs w:val="24"/>
        </w:rPr>
        <w:t>,</w:t>
      </w:r>
      <w:r w:rsidRPr="00651EED">
        <w:rPr>
          <w:rFonts w:ascii="Times New Roman" w:hAnsi="Times New Roman" w:cs="Times New Roman"/>
          <w:sz w:val="24"/>
          <w:szCs w:val="24"/>
        </w:rPr>
        <w:t xml:space="preserve"> and trace elements (micronutrients) were measured following our previous procedures</w:t>
      </w:r>
      <w:r w:rsidR="00900372" w:rsidRPr="00651EE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"/>
          <w:id w:val="818239363"/>
          <w:placeholder>
            <w:docPart w:val="DefaultPlaceholder_-1854013440"/>
          </w:placeholder>
        </w:sdtPr>
        <w:sdtContent>
          <w:r w:rsidR="00900372" w:rsidRPr="00651EED">
            <w:rPr>
              <w:rFonts w:ascii="Times New Roman" w:hAnsi="Times New Roman" w:cs="Times New Roman"/>
              <w:color w:val="000000"/>
              <w:sz w:val="24"/>
              <w:szCs w:val="24"/>
            </w:rPr>
            <w:t>[2]</w:t>
          </w:r>
        </w:sdtContent>
      </w:sdt>
      <w:r w:rsidRPr="00651EED">
        <w:rPr>
          <w:rFonts w:ascii="Times New Roman" w:hAnsi="Times New Roman" w:cs="Times New Roman"/>
          <w:sz w:val="24"/>
          <w:szCs w:val="24"/>
        </w:rPr>
        <w:t xml:space="preserve">. </w:t>
      </w:r>
    </w:p>
    <w:p w14:paraId="00767581"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Extraction and Fractionation</w:t>
      </w:r>
    </w:p>
    <w:p w14:paraId="5B8678DA" w14:textId="77777777" w:rsidR="00E42FF5" w:rsidRPr="00651EED" w:rsidRDefault="00E42FF5"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Dried seeds were grounded into a coarse powder and subjected to maceration with methanol: water in a ratio of 9:1 for 72 hours and filtered. Then, the solvents were removed from the </w:t>
      </w:r>
      <w:r w:rsidRPr="00651EED">
        <w:rPr>
          <w:rFonts w:ascii="Times New Roman" w:hAnsi="Times New Roman" w:cs="Times New Roman"/>
          <w:sz w:val="24"/>
          <w:szCs w:val="24"/>
        </w:rPr>
        <w:lastRenderedPageBreak/>
        <w:t xml:space="preserve">filtrate using a rotary evaporator (Rotary evaporator, </w:t>
      </w:r>
      <w:proofErr w:type="spellStart"/>
      <w:r w:rsidRPr="00651EED">
        <w:rPr>
          <w:rFonts w:ascii="Times New Roman" w:hAnsi="Times New Roman" w:cs="Times New Roman"/>
          <w:sz w:val="24"/>
          <w:szCs w:val="24"/>
        </w:rPr>
        <w:t>Buchi</w:t>
      </w:r>
      <w:proofErr w:type="spellEnd"/>
      <w:r w:rsidRPr="00651EED">
        <w:rPr>
          <w:rFonts w:ascii="Times New Roman" w:hAnsi="Times New Roman" w:cs="Times New Roman"/>
          <w:sz w:val="24"/>
          <w:szCs w:val="24"/>
        </w:rPr>
        <w:t>, Switzerland) and subsequently lyophilized (</w:t>
      </w:r>
      <w:proofErr w:type="spellStart"/>
      <w:r w:rsidRPr="00651EED">
        <w:rPr>
          <w:rFonts w:ascii="Times New Roman" w:hAnsi="Times New Roman" w:cs="Times New Roman"/>
          <w:sz w:val="24"/>
          <w:szCs w:val="24"/>
        </w:rPr>
        <w:t>FreeZone</w:t>
      </w:r>
      <w:proofErr w:type="spellEnd"/>
      <w:r w:rsidRPr="00651EED">
        <w:rPr>
          <w:rFonts w:ascii="Times New Roman" w:hAnsi="Times New Roman" w:cs="Times New Roman"/>
          <w:sz w:val="24"/>
          <w:szCs w:val="24"/>
        </w:rPr>
        <w:t xml:space="preserve"> Freeze Dryer, </w:t>
      </w:r>
      <w:proofErr w:type="spellStart"/>
      <w:r w:rsidRPr="00651EED">
        <w:rPr>
          <w:rFonts w:ascii="Times New Roman" w:hAnsi="Times New Roman" w:cs="Times New Roman"/>
          <w:sz w:val="24"/>
          <w:szCs w:val="24"/>
        </w:rPr>
        <w:t>Labconco</w:t>
      </w:r>
      <w:proofErr w:type="spellEnd"/>
      <w:r w:rsidRPr="00651EED">
        <w:rPr>
          <w:rFonts w:ascii="Times New Roman" w:hAnsi="Times New Roman" w:cs="Times New Roman"/>
          <w:sz w:val="24"/>
          <w:szCs w:val="24"/>
        </w:rPr>
        <w:t xml:space="preserve">, USA). Methanolic extract (ME) of </w:t>
      </w:r>
      <w:r w:rsidRPr="00651EED">
        <w:rPr>
          <w:rFonts w:ascii="Times New Roman" w:hAnsi="Times New Roman" w:cs="Times New Roman"/>
          <w:i/>
          <w:iCs/>
          <w:sz w:val="24"/>
          <w:szCs w:val="24"/>
        </w:rPr>
        <w:t>M. balbisiana</w:t>
      </w:r>
      <w:r w:rsidRPr="00651EED">
        <w:rPr>
          <w:rFonts w:ascii="Times New Roman" w:hAnsi="Times New Roman" w:cs="Times New Roman"/>
          <w:sz w:val="24"/>
          <w:szCs w:val="24"/>
        </w:rPr>
        <w:t xml:space="preserve"> seed was further subjected to gradual fractionation along with solvents of increasing polarity </w:t>
      </w:r>
      <w:r w:rsidRPr="00651EED">
        <w:rPr>
          <w:rFonts w:ascii="Times New Roman" w:hAnsi="Times New Roman" w:cs="Times New Roman"/>
          <w:i/>
          <w:iCs/>
          <w:sz w:val="24"/>
          <w:szCs w:val="24"/>
        </w:rPr>
        <w:t>viz</w:t>
      </w:r>
      <w:r w:rsidRPr="00651EED">
        <w:rPr>
          <w:rFonts w:ascii="Times New Roman" w:hAnsi="Times New Roman" w:cs="Times New Roman"/>
          <w:sz w:val="24"/>
          <w:szCs w:val="24"/>
        </w:rPr>
        <w:t xml:space="preserve">, ethyl acetate, n-butanol, and water. All the fractions were evaporated, lyophilized, and stored at -20°C for further use. </w:t>
      </w:r>
    </w:p>
    <w:p w14:paraId="50D73CBB"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Antioxidant Assays</w:t>
      </w:r>
    </w:p>
    <w:p w14:paraId="6C41A8B3" w14:textId="16E38365" w:rsidR="00E42FF5" w:rsidRPr="00651EED" w:rsidRDefault="00E42FF5"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The antioxidant activity of ME and fractions was evaluated by DPPH and ABTS radical scavenging assay, ferric reducing antioxidant power (FRAP), and </w:t>
      </w:r>
      <w:proofErr w:type="spellStart"/>
      <w:r w:rsidRPr="00651EED">
        <w:rPr>
          <w:rFonts w:ascii="Times New Roman" w:hAnsi="Times New Roman" w:cs="Times New Roman"/>
          <w:sz w:val="24"/>
          <w:szCs w:val="24"/>
        </w:rPr>
        <w:t>phosphomolybdenum</w:t>
      </w:r>
      <w:proofErr w:type="spellEnd"/>
      <w:r w:rsidRPr="00651EED">
        <w:rPr>
          <w:rFonts w:ascii="Times New Roman" w:hAnsi="Times New Roman" w:cs="Times New Roman"/>
          <w:sz w:val="24"/>
          <w:szCs w:val="24"/>
        </w:rPr>
        <w:t xml:space="preserve"> assay following Bhattacharjee et al.</w:t>
      </w:r>
      <w:r w:rsidR="00900372" w:rsidRPr="00651EE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"/>
          <w:id w:val="-543368493"/>
          <w:placeholder>
            <w:docPart w:val="DefaultPlaceholder_-1854013440"/>
          </w:placeholder>
        </w:sdtPr>
        <w:sdtContent>
          <w:r w:rsidR="00900372" w:rsidRPr="00651EED">
            <w:rPr>
              <w:rFonts w:ascii="Times New Roman" w:hAnsi="Times New Roman" w:cs="Times New Roman"/>
              <w:color w:val="000000"/>
              <w:sz w:val="24"/>
              <w:szCs w:val="24"/>
            </w:rPr>
            <w:t>[3]</w:t>
          </w:r>
        </w:sdtContent>
      </w:sdt>
      <w:r w:rsidRPr="00651EED">
        <w:rPr>
          <w:rFonts w:ascii="Times New Roman" w:hAnsi="Times New Roman" w:cs="Times New Roman"/>
          <w:sz w:val="24"/>
          <w:szCs w:val="24"/>
        </w:rPr>
        <w:t>. The absorbance was measured using a UV/VIS spectrophotometer (</w:t>
      </w:r>
      <w:proofErr w:type="spellStart"/>
      <w:r w:rsidRPr="00651EED">
        <w:rPr>
          <w:rFonts w:ascii="Times New Roman" w:hAnsi="Times New Roman" w:cs="Times New Roman"/>
          <w:sz w:val="24"/>
          <w:szCs w:val="24"/>
        </w:rPr>
        <w:t>Multiskan</w:t>
      </w:r>
      <w:proofErr w:type="spellEnd"/>
      <w:r w:rsidRPr="00651EED">
        <w:rPr>
          <w:rFonts w:ascii="Times New Roman" w:hAnsi="Times New Roman" w:cs="Times New Roman"/>
          <w:sz w:val="24"/>
          <w:szCs w:val="24"/>
        </w:rPr>
        <w:t xml:space="preserve"> Go, </w:t>
      </w:r>
      <w:proofErr w:type="spellStart"/>
      <w:r w:rsidRPr="00651EED">
        <w:rPr>
          <w:rFonts w:ascii="Times New Roman" w:hAnsi="Times New Roman" w:cs="Times New Roman"/>
          <w:sz w:val="24"/>
          <w:szCs w:val="24"/>
        </w:rPr>
        <w:t>Thermo</w:t>
      </w:r>
      <w:proofErr w:type="spellEnd"/>
      <w:r w:rsidRPr="00651EED">
        <w:rPr>
          <w:rFonts w:ascii="Times New Roman" w:hAnsi="Times New Roman" w:cs="Times New Roman"/>
          <w:sz w:val="24"/>
          <w:szCs w:val="24"/>
        </w:rPr>
        <w:t xml:space="preserve"> Scientific, Germany). </w:t>
      </w:r>
      <w:r w:rsidRPr="00651EED">
        <w:rPr>
          <w:rFonts w:ascii="Times New Roman" w:hAnsi="Times New Roman" w:cs="Times New Roman"/>
          <w:sz w:val="24"/>
          <w:szCs w:val="24"/>
          <w:shd w:val="clear" w:color="auto" w:fill="FCFCFC"/>
        </w:rPr>
        <w:t xml:space="preserve">Ascorbic acid was used as a standard. </w:t>
      </w:r>
    </w:p>
    <w:p w14:paraId="2DF1C1E8"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Anti-glycation Assays</w:t>
      </w:r>
    </w:p>
    <w:p w14:paraId="2EA8A3E5" w14:textId="3A5F467E" w:rsidR="00E42FF5" w:rsidRPr="00651EED" w:rsidRDefault="00E42FF5" w:rsidP="00E42FF5">
      <w:pPr>
        <w:spacing w:line="480" w:lineRule="auto"/>
        <w:jc w:val="both"/>
        <w:rPr>
          <w:rFonts w:ascii="Times New Roman" w:hAnsi="Times New Roman" w:cs="Times New Roman"/>
          <w:sz w:val="24"/>
          <w:szCs w:val="24"/>
          <w:shd w:val="clear" w:color="auto" w:fill="FCFCFC"/>
        </w:rPr>
      </w:pPr>
      <w:r w:rsidRPr="00651EED">
        <w:rPr>
          <w:rFonts w:ascii="Times New Roman" w:hAnsi="Times New Roman" w:cs="Times New Roman"/>
          <w:sz w:val="24"/>
          <w:szCs w:val="24"/>
        </w:rPr>
        <w:t>The BSA-Fructose (BSA-</w:t>
      </w:r>
      <w:proofErr w:type="spellStart"/>
      <w:r w:rsidRPr="00651EED">
        <w:rPr>
          <w:rFonts w:ascii="Times New Roman" w:hAnsi="Times New Roman" w:cs="Times New Roman"/>
          <w:sz w:val="24"/>
          <w:szCs w:val="24"/>
        </w:rPr>
        <w:t>Fru</w:t>
      </w:r>
      <w:proofErr w:type="spellEnd"/>
      <w:r w:rsidRPr="00651EED">
        <w:rPr>
          <w:rFonts w:ascii="Times New Roman" w:hAnsi="Times New Roman" w:cs="Times New Roman"/>
          <w:sz w:val="24"/>
          <w:szCs w:val="24"/>
        </w:rPr>
        <w:t xml:space="preserve">), </w:t>
      </w:r>
      <w:r w:rsidRPr="00651EED">
        <w:rPr>
          <w:rFonts w:ascii="Times New Roman" w:hAnsi="Times New Roman" w:cs="Times New Roman"/>
          <w:sz w:val="24"/>
          <w:szCs w:val="24"/>
          <w:shd w:val="clear" w:color="auto" w:fill="FCFCFC"/>
        </w:rPr>
        <w:t xml:space="preserve">BSA-methylglyoxal (BSA-MGO), and </w:t>
      </w:r>
      <w:r w:rsidRPr="00651EED">
        <w:rPr>
          <w:rFonts w:ascii="Times New Roman" w:hAnsi="Times New Roman" w:cs="Times New Roman"/>
          <w:sz w:val="24"/>
          <w:szCs w:val="24"/>
        </w:rPr>
        <w:t>arginine-methylglyoxal (ARG-MGO) model of glycation was performed by following the methods of Wang et al.</w:t>
      </w:r>
      <w:r w:rsidR="00900372" w:rsidRPr="00651EE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"/>
          <w:id w:val="1538387223"/>
          <w:placeholder>
            <w:docPart w:val="DefaultPlaceholder_-1854013440"/>
          </w:placeholder>
        </w:sdtPr>
        <w:sdtContent>
          <w:r w:rsidR="00900372" w:rsidRPr="00651EED">
            <w:rPr>
              <w:rFonts w:ascii="Times New Roman" w:hAnsi="Times New Roman" w:cs="Times New Roman"/>
              <w:color w:val="000000"/>
              <w:sz w:val="24"/>
              <w:szCs w:val="24"/>
            </w:rPr>
            <w:t>[4]</w:t>
          </w:r>
        </w:sdtContent>
      </w:sdt>
      <w:r w:rsidRPr="00651EED">
        <w:rPr>
          <w:rFonts w:ascii="Times New Roman" w:hAnsi="Times New Roman" w:cs="Times New Roman"/>
          <w:sz w:val="24"/>
          <w:szCs w:val="24"/>
        </w:rPr>
        <w:t xml:space="preserve">. </w:t>
      </w:r>
      <w:r w:rsidRPr="00651EED">
        <w:rPr>
          <w:rFonts w:ascii="Times New Roman" w:hAnsi="Times New Roman" w:cs="Times New Roman"/>
          <w:sz w:val="24"/>
          <w:szCs w:val="24"/>
          <w:shd w:val="clear" w:color="auto" w:fill="FCFCFC"/>
        </w:rPr>
        <w:t xml:space="preserve">Aminoguanidine (AG) was used as a standard. </w:t>
      </w:r>
      <w:r w:rsidRPr="00651EED">
        <w:rPr>
          <w:rFonts w:ascii="Times New Roman" w:hAnsi="Times New Roman" w:cs="Times New Roman"/>
          <w:sz w:val="24"/>
          <w:szCs w:val="24"/>
        </w:rPr>
        <w:t xml:space="preserve">The fluorescence intensity was measured using a </w:t>
      </w:r>
      <w:proofErr w:type="spellStart"/>
      <w:r w:rsidRPr="00651EED">
        <w:rPr>
          <w:rFonts w:ascii="Times New Roman" w:hAnsi="Times New Roman" w:cs="Times New Roman"/>
          <w:sz w:val="24"/>
          <w:szCs w:val="24"/>
        </w:rPr>
        <w:t>Varioskan</w:t>
      </w:r>
      <w:proofErr w:type="spellEnd"/>
      <w:r w:rsidRPr="00651EED">
        <w:rPr>
          <w:rFonts w:ascii="Times New Roman" w:hAnsi="Times New Roman" w:cs="Times New Roman"/>
          <w:sz w:val="24"/>
          <w:szCs w:val="24"/>
        </w:rPr>
        <w:t xml:space="preserve"> Flash multimode reader (</w:t>
      </w:r>
      <w:proofErr w:type="spellStart"/>
      <w:r w:rsidRPr="00651EED">
        <w:rPr>
          <w:rFonts w:ascii="Times New Roman" w:hAnsi="Times New Roman" w:cs="Times New Roman"/>
          <w:sz w:val="24"/>
          <w:szCs w:val="24"/>
        </w:rPr>
        <w:t>Thermo</w:t>
      </w:r>
      <w:proofErr w:type="spellEnd"/>
      <w:r w:rsidRPr="00651EED">
        <w:rPr>
          <w:rFonts w:ascii="Times New Roman" w:hAnsi="Times New Roman" w:cs="Times New Roman"/>
          <w:sz w:val="24"/>
          <w:szCs w:val="24"/>
        </w:rPr>
        <w:t xml:space="preserve"> Scientific, Germany) operated with </w:t>
      </w:r>
      <w:proofErr w:type="spellStart"/>
      <w:r w:rsidRPr="00651EED">
        <w:rPr>
          <w:rFonts w:ascii="Times New Roman" w:hAnsi="Times New Roman" w:cs="Times New Roman"/>
          <w:sz w:val="24"/>
          <w:szCs w:val="24"/>
        </w:rPr>
        <w:t>SkanIt</w:t>
      </w:r>
      <w:proofErr w:type="spellEnd"/>
      <w:r w:rsidRPr="00651EED">
        <w:rPr>
          <w:rFonts w:ascii="Times New Roman" w:hAnsi="Times New Roman" w:cs="Times New Roman"/>
          <w:sz w:val="24"/>
          <w:szCs w:val="24"/>
        </w:rPr>
        <w:t xml:space="preserve"> Software 2.4.5. </w:t>
      </w:r>
    </w:p>
    <w:p w14:paraId="16A44E07" w14:textId="77777777" w:rsidR="00E42FF5" w:rsidRPr="00651EED" w:rsidRDefault="00E42FF5" w:rsidP="00E42FF5">
      <w:pPr>
        <w:spacing w:line="480" w:lineRule="auto"/>
        <w:jc w:val="both"/>
        <w:rPr>
          <w:rFonts w:ascii="Times New Roman" w:hAnsi="Times New Roman" w:cs="Times New Roman"/>
          <w:b/>
          <w:bCs/>
          <w:sz w:val="24"/>
          <w:szCs w:val="24"/>
          <w:shd w:val="clear" w:color="auto" w:fill="FCFCFC"/>
        </w:rPr>
      </w:pPr>
      <w:r w:rsidRPr="00651EED">
        <w:rPr>
          <w:rFonts w:ascii="Times New Roman" w:hAnsi="Times New Roman" w:cs="Times New Roman"/>
          <w:b/>
          <w:bCs/>
          <w:sz w:val="24"/>
          <w:szCs w:val="24"/>
          <w:shd w:val="clear" w:color="auto" w:fill="FCFCFC"/>
        </w:rPr>
        <w:t xml:space="preserve">α-Amylase and α-Glucosidase Inhibition Assay </w:t>
      </w:r>
    </w:p>
    <w:p w14:paraId="3852211C" w14:textId="35161232" w:rsidR="00E42FF5" w:rsidRPr="00651EED" w:rsidRDefault="00E42FF5" w:rsidP="00E42FF5">
      <w:pPr>
        <w:spacing w:line="480" w:lineRule="auto"/>
        <w:jc w:val="both"/>
        <w:rPr>
          <w:rFonts w:ascii="Times New Roman" w:hAnsi="Times New Roman" w:cs="Times New Roman"/>
          <w:sz w:val="24"/>
          <w:szCs w:val="24"/>
          <w:shd w:val="clear" w:color="auto" w:fill="FCFCFC"/>
        </w:rPr>
      </w:pPr>
      <w:r w:rsidRPr="00651EED">
        <w:rPr>
          <w:rFonts w:ascii="Times New Roman" w:hAnsi="Times New Roman" w:cs="Times New Roman"/>
          <w:sz w:val="24"/>
          <w:szCs w:val="24"/>
          <w:shd w:val="clear" w:color="auto" w:fill="FCFCFC"/>
        </w:rPr>
        <w:t>α-amylase and α-glucosidase enzyme inhibition assays were performed by following Sarma et al.</w:t>
      </w:r>
      <w:r w:rsidR="00900372" w:rsidRPr="00651EED">
        <w:rPr>
          <w:rFonts w:ascii="Times New Roman" w:hAnsi="Times New Roman" w:cs="Times New Roman"/>
          <w:sz w:val="24"/>
          <w:szCs w:val="24"/>
          <w:shd w:val="clear" w:color="auto" w:fill="FCFCFC"/>
        </w:rPr>
        <w:t xml:space="preserve"> </w:t>
      </w:r>
      <w:sdt>
        <w:sdtPr>
          <w:rPr>
            <w:rFonts w:ascii="Times New Roman" w:hAnsi="Times New Roman" w:cs="Times New Roman"/>
            <w:color w:val="000000"/>
            <w:sz w:val="24"/>
            <w:szCs w:val="24"/>
            <w:shd w:val="clear" w:color="auto" w:fill="FCFCFC"/>
          </w:rPr>
          <w:tag w:val="MENDELEY_CITATION_v3_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"/>
          <w:id w:val="270368700"/>
          <w:placeholder>
            <w:docPart w:val="DefaultPlaceholder_-1854013440"/>
          </w:placeholder>
        </w:sdtPr>
        <w:sdtContent>
          <w:r w:rsidR="00900372" w:rsidRPr="00651EED">
            <w:rPr>
              <w:rFonts w:ascii="Times New Roman" w:hAnsi="Times New Roman" w:cs="Times New Roman"/>
              <w:color w:val="000000"/>
              <w:sz w:val="24"/>
              <w:szCs w:val="24"/>
              <w:shd w:val="clear" w:color="auto" w:fill="FCFCFC"/>
            </w:rPr>
            <w:t>[2]</w:t>
          </w:r>
        </w:sdtContent>
      </w:sdt>
      <w:r w:rsidR="00900372" w:rsidRPr="00651EED">
        <w:rPr>
          <w:rFonts w:ascii="Times New Roman" w:hAnsi="Times New Roman" w:cs="Times New Roman"/>
          <w:sz w:val="24"/>
          <w:szCs w:val="24"/>
          <w:shd w:val="clear" w:color="auto" w:fill="FCFCFC"/>
        </w:rPr>
        <w:t>.</w:t>
      </w:r>
      <w:r w:rsidRPr="00651EED">
        <w:rPr>
          <w:rFonts w:ascii="Times New Roman" w:hAnsi="Times New Roman" w:cs="Times New Roman"/>
          <w:sz w:val="24"/>
          <w:szCs w:val="24"/>
          <w:shd w:val="clear" w:color="auto" w:fill="FCFCFC"/>
        </w:rPr>
        <w:t xml:space="preserve"> Phosphate buffer was used as the control, and acarbose as the standard. </w:t>
      </w:r>
    </w:p>
    <w:p w14:paraId="41CCFC59" w14:textId="77777777" w:rsidR="00E42FF5" w:rsidRPr="00651EED" w:rsidRDefault="00E42FF5" w:rsidP="00E42FF5">
      <w:pPr>
        <w:spacing w:line="480" w:lineRule="auto"/>
        <w:jc w:val="both"/>
        <w:rPr>
          <w:rFonts w:ascii="Times New Roman" w:hAnsi="Times New Roman" w:cs="Times New Roman"/>
          <w:b/>
          <w:bCs/>
          <w:sz w:val="24"/>
          <w:szCs w:val="24"/>
          <w:shd w:val="clear" w:color="auto" w:fill="FCFCFC"/>
        </w:rPr>
      </w:pPr>
      <w:r w:rsidRPr="00651EED">
        <w:rPr>
          <w:rFonts w:ascii="Times New Roman" w:hAnsi="Times New Roman" w:cs="Times New Roman"/>
          <w:b/>
          <w:bCs/>
          <w:sz w:val="24"/>
          <w:szCs w:val="24"/>
          <w:shd w:val="clear" w:color="auto" w:fill="FCFCFC"/>
        </w:rPr>
        <w:t>Phytochemical Analysis</w:t>
      </w:r>
    </w:p>
    <w:p w14:paraId="6FF9BF9D" w14:textId="6CCCB42F" w:rsidR="00E42FF5" w:rsidRPr="00651EED" w:rsidRDefault="00E42FF5"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shd w:val="clear" w:color="auto" w:fill="FCFCFC"/>
        </w:rPr>
        <w:t>The total phenolic and flavonoid content was measured following Sarma et al.</w:t>
      </w:r>
      <w:r w:rsidR="00900372" w:rsidRPr="00651EED">
        <w:rPr>
          <w:rFonts w:ascii="Times New Roman" w:hAnsi="Times New Roman" w:cs="Times New Roman"/>
          <w:sz w:val="24"/>
          <w:szCs w:val="24"/>
          <w:shd w:val="clear" w:color="auto" w:fill="FCFCFC"/>
        </w:rPr>
        <w:t xml:space="preserve"> </w:t>
      </w:r>
      <w:sdt>
        <w:sdtPr>
          <w:rPr>
            <w:rFonts w:ascii="Times New Roman" w:hAnsi="Times New Roman" w:cs="Times New Roman"/>
            <w:color w:val="000000"/>
            <w:sz w:val="24"/>
            <w:szCs w:val="24"/>
            <w:shd w:val="clear" w:color="auto" w:fill="FCFCFC"/>
          </w:rPr>
          <w:tag w:val="MENDELEY_CITATION_v3_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"/>
          <w:id w:val="-1333992518"/>
          <w:placeholder>
            <w:docPart w:val="DefaultPlaceholder_-1854013440"/>
          </w:placeholder>
        </w:sdtPr>
        <w:sdtContent>
          <w:r w:rsidR="00900372" w:rsidRPr="00651EED">
            <w:rPr>
              <w:rFonts w:ascii="Times New Roman" w:hAnsi="Times New Roman" w:cs="Times New Roman"/>
              <w:color w:val="000000"/>
              <w:sz w:val="24"/>
              <w:szCs w:val="24"/>
              <w:shd w:val="clear" w:color="auto" w:fill="FCFCFC"/>
            </w:rPr>
            <w:t>[2]</w:t>
          </w:r>
        </w:sdtContent>
      </w:sdt>
      <w:r w:rsidR="00900372" w:rsidRPr="00651EED">
        <w:rPr>
          <w:rFonts w:ascii="Times New Roman" w:hAnsi="Times New Roman" w:cs="Times New Roman"/>
          <w:sz w:val="24"/>
          <w:szCs w:val="24"/>
          <w:shd w:val="clear" w:color="auto" w:fill="FCFCFC"/>
        </w:rPr>
        <w:t>.</w:t>
      </w:r>
      <w:r w:rsidRPr="00651EED">
        <w:rPr>
          <w:rFonts w:ascii="Times New Roman" w:hAnsi="Times New Roman" w:cs="Times New Roman"/>
          <w:sz w:val="24"/>
          <w:szCs w:val="24"/>
          <w:shd w:val="clear" w:color="auto" w:fill="FCFCFC"/>
        </w:rPr>
        <w:t xml:space="preserve"> The total phenolic content was expressed as </w:t>
      </w:r>
      <w:r w:rsidRPr="00651EED">
        <w:rPr>
          <w:rFonts w:ascii="Times New Roman" w:hAnsi="Times New Roman" w:cs="Times New Roman"/>
          <w:sz w:val="24"/>
          <w:szCs w:val="24"/>
        </w:rPr>
        <w:t xml:space="preserve">mg gallic acid equivalent per gram sample (mg GAE/g), and </w:t>
      </w:r>
      <w:r w:rsidRPr="00651EED">
        <w:rPr>
          <w:rFonts w:ascii="Times New Roman" w:hAnsi="Times New Roman" w:cs="Times New Roman"/>
          <w:sz w:val="24"/>
          <w:szCs w:val="24"/>
        </w:rPr>
        <w:lastRenderedPageBreak/>
        <w:t xml:space="preserve">the </w:t>
      </w:r>
      <w:r w:rsidRPr="00651EED">
        <w:rPr>
          <w:rFonts w:ascii="Times New Roman" w:hAnsi="Times New Roman" w:cs="Times New Roman"/>
          <w:sz w:val="24"/>
          <w:szCs w:val="24"/>
          <w:shd w:val="clear" w:color="auto" w:fill="FCFCFC"/>
        </w:rPr>
        <w:t>flavonoid content</w:t>
      </w:r>
      <w:r w:rsidRPr="00651EED">
        <w:rPr>
          <w:rFonts w:ascii="Times New Roman" w:hAnsi="Times New Roman" w:cs="Times New Roman"/>
          <w:sz w:val="24"/>
          <w:szCs w:val="24"/>
        </w:rPr>
        <w:t xml:space="preserve"> was expressed as mg quercetin equivalent per gram sample (mg QE/g). The total tannin content was measured following </w:t>
      </w:r>
      <w:proofErr w:type="spellStart"/>
      <w:r w:rsidRPr="00651EED">
        <w:rPr>
          <w:rFonts w:ascii="Times New Roman" w:hAnsi="Times New Roman" w:cs="Times New Roman"/>
          <w:sz w:val="24"/>
          <w:szCs w:val="24"/>
        </w:rPr>
        <w:t>Rebaya</w:t>
      </w:r>
      <w:proofErr w:type="spellEnd"/>
      <w:r w:rsidRPr="00651EED">
        <w:rPr>
          <w:rFonts w:ascii="Times New Roman" w:hAnsi="Times New Roman" w:cs="Times New Roman"/>
          <w:sz w:val="24"/>
          <w:szCs w:val="24"/>
        </w:rPr>
        <w:t xml:space="preserve"> et al.</w:t>
      </w:r>
      <w:r w:rsidR="00900372" w:rsidRPr="00651EE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"/>
          <w:id w:val="-1129548097"/>
          <w:placeholder>
            <w:docPart w:val="DefaultPlaceholder_-1854013440"/>
          </w:placeholder>
        </w:sdtPr>
        <w:sdtContent>
          <w:r w:rsidR="00900372" w:rsidRPr="00651EED">
            <w:rPr>
              <w:rFonts w:ascii="Times New Roman" w:hAnsi="Times New Roman" w:cs="Times New Roman"/>
              <w:color w:val="000000"/>
              <w:sz w:val="24"/>
              <w:szCs w:val="24"/>
            </w:rPr>
            <w:t>[5]</w:t>
          </w:r>
        </w:sdtContent>
      </w:sdt>
      <w:r w:rsidRPr="00651EED">
        <w:rPr>
          <w:rFonts w:ascii="Times New Roman" w:hAnsi="Times New Roman" w:cs="Times New Roman"/>
          <w:sz w:val="24"/>
          <w:szCs w:val="24"/>
        </w:rPr>
        <w:t xml:space="preserve"> and expressed as mg catechin equivalent per gram sample (mg CE/g). </w:t>
      </w:r>
    </w:p>
    <w:p w14:paraId="610AB1C9"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Gas Chromatography-Mass Spectrometry (GC-MS) Analysis</w:t>
      </w:r>
    </w:p>
    <w:p w14:paraId="72535597" w14:textId="77777777" w:rsidR="00E42FF5" w:rsidRPr="00651EED" w:rsidRDefault="00E42FF5"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GCMS analysis of EAF was carried out using GC–MS/MS system (Shimadzu 2010 plus Triple quadrupole 8040) furnished with a silica column packed with a 30 m EB-5MS with 0.25 </w:t>
      </w:r>
      <w:proofErr w:type="spellStart"/>
      <w:r w:rsidRPr="00651EED">
        <w:rPr>
          <w:rFonts w:ascii="Times New Roman" w:hAnsi="Times New Roman" w:cs="Times New Roman"/>
          <w:sz w:val="24"/>
          <w:szCs w:val="24"/>
        </w:rPr>
        <w:t>μm</w:t>
      </w:r>
      <w:proofErr w:type="spellEnd"/>
      <w:r w:rsidRPr="00651EED">
        <w:rPr>
          <w:rFonts w:ascii="Times New Roman" w:hAnsi="Times New Roman" w:cs="Times New Roman"/>
          <w:sz w:val="24"/>
          <w:szCs w:val="24"/>
        </w:rPr>
        <w:t xml:space="preserve"> film thickness and 0.25 mm internal diameter. Pure helium gas (99.99%) was used as the carrier gas at a constant flow rate of 1.69 mL/min, and 1 mg/ml sample was injected in a </w:t>
      </w:r>
      <w:proofErr w:type="spellStart"/>
      <w:r w:rsidRPr="00651EED">
        <w:rPr>
          <w:rFonts w:ascii="Times New Roman" w:hAnsi="Times New Roman" w:cs="Times New Roman"/>
          <w:sz w:val="24"/>
          <w:szCs w:val="24"/>
        </w:rPr>
        <w:t>splitless</w:t>
      </w:r>
      <w:proofErr w:type="spellEnd"/>
      <w:r w:rsidRPr="00651EED">
        <w:rPr>
          <w:rFonts w:ascii="Times New Roman" w:hAnsi="Times New Roman" w:cs="Times New Roman"/>
          <w:sz w:val="24"/>
          <w:szCs w:val="24"/>
        </w:rPr>
        <w:t xml:space="preserve"> mode. The program consists of 50 °C for 3 min followed by raised at 10 °C/min up to 280°C and holding at 300 °C for 10 min. The phytoconstituents present in EAF were screened based on comparing retention time and mass spectral patterns using the National Institute of Standards and Technology (NIST) library. </w:t>
      </w:r>
    </w:p>
    <w:p w14:paraId="02077F70"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Cell Culture</w:t>
      </w:r>
    </w:p>
    <w:p w14:paraId="74B0AFA5"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sz w:val="24"/>
          <w:szCs w:val="24"/>
        </w:rPr>
        <w:t xml:space="preserve">Human hepatocellular carcinoma (HepG2) cell lines were purchased from NCCS, Pune, and maintained in DMEM supplemented with 10% (v/v) of </w:t>
      </w:r>
      <w:proofErr w:type="spellStart"/>
      <w:r w:rsidRPr="00651EED">
        <w:rPr>
          <w:rFonts w:ascii="Times New Roman" w:hAnsi="Times New Roman" w:cs="Times New Roman"/>
          <w:sz w:val="24"/>
          <w:szCs w:val="24"/>
        </w:rPr>
        <w:t>fetal</w:t>
      </w:r>
      <w:proofErr w:type="spellEnd"/>
      <w:r w:rsidRPr="00651EED">
        <w:rPr>
          <w:rFonts w:ascii="Times New Roman" w:hAnsi="Times New Roman" w:cs="Times New Roman"/>
          <w:sz w:val="24"/>
          <w:szCs w:val="24"/>
        </w:rPr>
        <w:t xml:space="preserve"> bovine serum and 1% anti-anti in a 5% CO</w:t>
      </w:r>
      <w:r w:rsidRPr="00651EED">
        <w:rPr>
          <w:rFonts w:ascii="Times New Roman" w:hAnsi="Times New Roman" w:cs="Times New Roman"/>
          <w:sz w:val="24"/>
          <w:szCs w:val="24"/>
          <w:vertAlign w:val="subscript"/>
        </w:rPr>
        <w:t>2</w:t>
      </w:r>
      <w:r w:rsidRPr="00651EED">
        <w:rPr>
          <w:rFonts w:ascii="Times New Roman" w:hAnsi="Times New Roman" w:cs="Times New Roman"/>
          <w:sz w:val="24"/>
          <w:szCs w:val="24"/>
        </w:rPr>
        <w:t xml:space="preserve"> incubator (</w:t>
      </w:r>
      <w:proofErr w:type="spellStart"/>
      <w:r w:rsidRPr="00651EED">
        <w:rPr>
          <w:rFonts w:ascii="Times New Roman" w:hAnsi="Times New Roman" w:cs="Times New Roman"/>
          <w:sz w:val="24"/>
          <w:szCs w:val="24"/>
        </w:rPr>
        <w:t>Thermo</w:t>
      </w:r>
      <w:proofErr w:type="spellEnd"/>
      <w:r w:rsidRPr="00651EED">
        <w:rPr>
          <w:rFonts w:ascii="Times New Roman" w:hAnsi="Times New Roman" w:cs="Times New Roman"/>
          <w:sz w:val="24"/>
          <w:szCs w:val="24"/>
        </w:rPr>
        <w:t xml:space="preserve"> Scientific, USA) at 37°C. </w:t>
      </w:r>
    </w:p>
    <w:p w14:paraId="394F437B"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Cell Viability</w:t>
      </w:r>
    </w:p>
    <w:p w14:paraId="30DC9DE0" w14:textId="77777777" w:rsidR="00E42FF5" w:rsidRPr="00651EED" w:rsidRDefault="00E42FF5"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Cell viability was estimated by MTT assay. Cells were plated in a 96-well plate (1x10</w:t>
      </w:r>
      <w:r w:rsidRPr="00651EED">
        <w:rPr>
          <w:rFonts w:ascii="Times New Roman" w:hAnsi="Times New Roman" w:cs="Times New Roman"/>
          <w:sz w:val="24"/>
          <w:szCs w:val="24"/>
          <w:vertAlign w:val="superscript"/>
        </w:rPr>
        <w:t>4</w:t>
      </w:r>
      <w:r w:rsidRPr="00651EED">
        <w:rPr>
          <w:rFonts w:ascii="Times New Roman" w:hAnsi="Times New Roman" w:cs="Times New Roman"/>
          <w:sz w:val="24"/>
          <w:szCs w:val="24"/>
        </w:rPr>
        <w:t xml:space="preserve"> cells/well) and treated with different concentrations of EAF (25, 50, 75, 100, and 150 µg/ml). After treatment, the media was discarded, and 180 µl phenol red-free media and 20 µl MTT (5 mg/ml) was added to each well, followed by 4 h incubation. The formazan crystals were dissolved in 150 µl DMSO, and the absorbance was measured at 370 nm. </w:t>
      </w:r>
    </w:p>
    <w:p w14:paraId="3425CEBC" w14:textId="2025EE73" w:rsidR="00927F47" w:rsidRPr="00651EED" w:rsidRDefault="00927F47" w:rsidP="00927F47">
      <w:pPr>
        <w:pStyle w:val="BodyText"/>
        <w:rPr>
          <w:b/>
          <w:bCs/>
        </w:rPr>
      </w:pPr>
      <w:bookmarkStart w:id="0" w:name="_Hlk113615092"/>
      <w:bookmarkStart w:id="1" w:name="_Hlk115177128"/>
      <w:r w:rsidRPr="00651EED">
        <w:rPr>
          <w:b/>
          <w:bCs/>
        </w:rPr>
        <w:t xml:space="preserve">Cell Mito Stress </w:t>
      </w:r>
      <w:proofErr w:type="spellStart"/>
      <w:r w:rsidRPr="00651EED">
        <w:rPr>
          <w:b/>
          <w:bCs/>
        </w:rPr>
        <w:t>Stress</w:t>
      </w:r>
      <w:proofErr w:type="spellEnd"/>
      <w:r w:rsidRPr="00651EED">
        <w:rPr>
          <w:b/>
          <w:bCs/>
        </w:rPr>
        <w:t xml:space="preserve"> Test Assay</w:t>
      </w:r>
      <w:bookmarkEnd w:id="0"/>
      <w:bookmarkEnd w:id="1"/>
    </w:p>
    <w:p w14:paraId="2978CA74" w14:textId="0DC83196" w:rsidR="00927F47" w:rsidRPr="00651EED" w:rsidRDefault="00927F47" w:rsidP="00927F47">
      <w:pPr>
        <w:pStyle w:val="BodyText"/>
      </w:pPr>
      <w:r w:rsidRPr="00651EED">
        <w:lastRenderedPageBreak/>
        <w:t>The mitochondrial function of EAF-treated cells was measured using the cell Mito stress test kit by Seahorse XFe24 Extracellular Flux Analyzer, following the manufacturer’s instructions (Agilent Technologies). Briefly, 3.5x10</w:t>
      </w:r>
      <w:r w:rsidRPr="00651EED">
        <w:rPr>
          <w:vertAlign w:val="superscript"/>
        </w:rPr>
        <w:t>4</w:t>
      </w:r>
      <w:r w:rsidRPr="00651EED">
        <w:t xml:space="preserve"> cells were seeded in a 24-well seahorse cell culture microplate. Cells were pre-treated with EAF (25 and 50 µg/ml) and metformin (60 </w:t>
      </w:r>
      <w:proofErr w:type="spellStart"/>
      <w:r w:rsidRPr="00651EED">
        <w:rPr>
          <w:color w:val="000000"/>
          <w:shd w:val="clear" w:color="auto" w:fill="FFFFFF"/>
        </w:rPr>
        <w:t>μM</w:t>
      </w:r>
      <w:proofErr w:type="spellEnd"/>
      <w:r w:rsidRPr="00651EED">
        <w:t>) for 6-h, followed by 0.125 mM FFA (BSA: Palmitate, a ratio of 1:6) treatment. After 16 h incubation, the growth medium was discarded, and a fresh 500 µl assay medium (RPMI medium supplemented with 2 mM glutamine, 1 mM pyruvate, and 10 mM glucose, pH 7.4) was added to the wells. The culture microplate was transferred to a non-CO</w:t>
      </w:r>
      <w:r w:rsidRPr="00651EED">
        <w:rPr>
          <w:vertAlign w:val="subscript"/>
        </w:rPr>
        <w:t>2</w:t>
      </w:r>
      <w:r w:rsidRPr="00651EED">
        <w:t xml:space="preserve"> incubator (37°C) for 1h before the assay. Oligomycin (1 µM / 56 µl), FCCP (1 µM / 62 µl), and rotenone/antimycin (0.5 µM / 69 µl) are loaded into the ports A, B, and C, respectively on the hydrated sensor cartridge and the assay continued. The key parameters of mitochondrial function were measured directly from cells’ oxygen consumption rate (OCRs). </w:t>
      </w:r>
    </w:p>
    <w:p w14:paraId="54230E86" w14:textId="64D78136" w:rsidR="00927F47" w:rsidRPr="00651EED" w:rsidRDefault="00927F47" w:rsidP="00927F47">
      <w:pPr>
        <w:pStyle w:val="BodyText"/>
      </w:pPr>
      <w:r w:rsidRPr="00651EED">
        <w:rPr>
          <w:b/>
          <w:bCs/>
        </w:rPr>
        <w:t>Glycolysis Stress Test Assay</w:t>
      </w:r>
    </w:p>
    <w:p w14:paraId="19FB9AE9" w14:textId="77777777" w:rsidR="00927F47" w:rsidRPr="00651EED" w:rsidRDefault="00927F47" w:rsidP="00927F47">
      <w:pPr>
        <w:pStyle w:val="BodyText"/>
      </w:pPr>
      <w:r w:rsidRPr="00651EED">
        <w:t>The glycolytic function of EAF-treated cells was measured using the glycolysis stress test kit by Agilent Seahorse XFe24 Extracellular Flux Analyzer, following the manufacturer’s instructions. As mentioned above in the Cell Mito stress test assay, cells were treated in the presence or absence of EAF, metformin, and FFA. Following 16-h incubation with FFA, the growth medium was changed to a glycolysis stress test medium supplemented with 1 mM glutamine (pH 7.4) and incubated at 37°C in a non-CO</w:t>
      </w:r>
      <w:r w:rsidRPr="00651EED">
        <w:rPr>
          <w:vertAlign w:val="subscript"/>
        </w:rPr>
        <w:t>2</w:t>
      </w:r>
      <w:r w:rsidRPr="00651EED">
        <w:t xml:space="preserve"> incubator for 1 h. Glucose (10 mM / 56 µl), oligomycin (1 µM / 62 µl), and 2-Deoxyglucose (50 mM / 69 µl) were loaded into the ports A, B, and C respectively of the hydrated sensor cartridge, and glycolysis stress test is performed by directly measuring the extracellular acidification rate. </w:t>
      </w:r>
    </w:p>
    <w:p w14:paraId="220024C2" w14:textId="77777777" w:rsidR="00E42FF5" w:rsidRPr="00651EED" w:rsidRDefault="00E42FF5"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Statistical Analysis</w:t>
      </w:r>
    </w:p>
    <w:p w14:paraId="7A8EF2FA" w14:textId="054DE31E" w:rsidR="00E42FF5" w:rsidRPr="00651EED" w:rsidRDefault="00E42FF5"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lastRenderedPageBreak/>
        <w:t xml:space="preserve">The statistical analysis was performed using GraphPad Prism 5.0 software. </w:t>
      </w:r>
      <w:r w:rsidR="009D3139" w:rsidRPr="00651EED">
        <w:rPr>
          <w:rFonts w:ascii="Times New Roman" w:hAnsi="Times New Roman" w:cs="Times New Roman"/>
          <w:sz w:val="24"/>
          <w:szCs w:val="24"/>
        </w:rPr>
        <w:t>Data</w:t>
      </w:r>
      <w:r w:rsidRPr="00651EED">
        <w:rPr>
          <w:rFonts w:ascii="Times New Roman" w:hAnsi="Times New Roman" w:cs="Times New Roman"/>
          <w:sz w:val="24"/>
          <w:szCs w:val="24"/>
        </w:rPr>
        <w:t xml:space="preserve"> were expressed as means ± standard deviation and </w:t>
      </w:r>
      <w:proofErr w:type="spellStart"/>
      <w:r w:rsidRPr="00651EED">
        <w:rPr>
          <w:rFonts w:ascii="Times New Roman" w:hAnsi="Times New Roman" w:cs="Times New Roman"/>
          <w:sz w:val="24"/>
          <w:szCs w:val="24"/>
        </w:rPr>
        <w:t>analyzed</w:t>
      </w:r>
      <w:proofErr w:type="spellEnd"/>
      <w:r w:rsidRPr="00651EED">
        <w:rPr>
          <w:rFonts w:ascii="Times New Roman" w:hAnsi="Times New Roman" w:cs="Times New Roman"/>
          <w:sz w:val="24"/>
          <w:szCs w:val="24"/>
        </w:rPr>
        <w:t xml:space="preserve"> by one-way analysis of variance (ANOVA) followed by the Bonferroni test for biochemical assays and Duncan's multiple range test for cell culture studies. The results were considered statistically significant if the p-value were 0.05 or less. </w:t>
      </w:r>
    </w:p>
    <w:p w14:paraId="02708602" w14:textId="78AEAE1E" w:rsidR="00604172" w:rsidRPr="00651EED" w:rsidRDefault="00604172"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Results and Discussions</w:t>
      </w:r>
    </w:p>
    <w:p w14:paraId="574B244A" w14:textId="77777777" w:rsidR="00651EED" w:rsidRPr="00651EED" w:rsidRDefault="00651EED" w:rsidP="00651EED">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Cell Viability Assay</w:t>
      </w:r>
    </w:p>
    <w:p w14:paraId="60E0FE8E" w14:textId="130B5619" w:rsidR="00604172" w:rsidRPr="00651EED" w:rsidRDefault="00651EED"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The cytotoxic effect of the bioactive fraction of </w:t>
      </w:r>
      <w:r w:rsidRPr="00651EED">
        <w:rPr>
          <w:rFonts w:ascii="Times New Roman" w:hAnsi="Times New Roman" w:cs="Times New Roman"/>
          <w:i/>
          <w:iCs/>
          <w:sz w:val="24"/>
          <w:szCs w:val="24"/>
        </w:rPr>
        <w:t>M. balbisiana</w:t>
      </w:r>
      <w:r w:rsidRPr="00651EED">
        <w:rPr>
          <w:rFonts w:ascii="Times New Roman" w:hAnsi="Times New Roman" w:cs="Times New Roman"/>
          <w:sz w:val="24"/>
          <w:szCs w:val="24"/>
        </w:rPr>
        <w:t xml:space="preserve"> seeds (EAF) was evaluated. Non-toxic concentrations were considered for further cell-based assays. EAF confers 90-100 % cell viability up to 100 µg/ml, and two non-toxic concentrations (25 and 50 µg/ml) were selected (Fig S3). </w:t>
      </w:r>
    </w:p>
    <w:p w14:paraId="7BF9EC4D" w14:textId="77777777" w:rsidR="00651EED" w:rsidRPr="00651EED" w:rsidRDefault="00651EED" w:rsidP="00651EED">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Correlation Between Phytochemical Content and Biological Activity</w:t>
      </w:r>
    </w:p>
    <w:p w14:paraId="3DEB2E6C" w14:textId="46551026" w:rsidR="00651EED" w:rsidRPr="00651EED" w:rsidRDefault="00651EED" w:rsidP="00651EED">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Pearson's Correlation analysis was measured between phytochemical content (total phenolic, flavonoid and tannin) and biological activity (antioxidant, anti-glycation, α-amylase and α-glucosidase inhibition) (Table S</w:t>
      </w:r>
      <w:r>
        <w:rPr>
          <w:rFonts w:ascii="Times New Roman" w:hAnsi="Times New Roman" w:cs="Times New Roman"/>
          <w:sz w:val="24"/>
          <w:szCs w:val="24"/>
        </w:rPr>
        <w:t>4</w:t>
      </w:r>
      <w:r w:rsidRPr="00651EED">
        <w:rPr>
          <w:rFonts w:ascii="Times New Roman" w:hAnsi="Times New Roman" w:cs="Times New Roman"/>
          <w:sz w:val="24"/>
          <w:szCs w:val="24"/>
        </w:rPr>
        <w:t>). TPC and TTC was found strongly correlated with the IC</w:t>
      </w:r>
      <w:r w:rsidRPr="00651EED">
        <w:rPr>
          <w:rFonts w:ascii="Times New Roman" w:hAnsi="Times New Roman" w:cs="Times New Roman"/>
          <w:sz w:val="24"/>
          <w:szCs w:val="24"/>
          <w:vertAlign w:val="subscript"/>
        </w:rPr>
        <w:t>50</w:t>
      </w:r>
      <w:r w:rsidRPr="00651EED">
        <w:rPr>
          <w:rFonts w:ascii="Times New Roman" w:hAnsi="Times New Roman" w:cs="Times New Roman"/>
          <w:sz w:val="24"/>
          <w:szCs w:val="24"/>
        </w:rPr>
        <w:t xml:space="preserve"> values of DPPH, ABTS, FRAP and </w:t>
      </w:r>
      <w:proofErr w:type="spellStart"/>
      <w:r w:rsidRPr="00651EED">
        <w:rPr>
          <w:rFonts w:ascii="Times New Roman" w:hAnsi="Times New Roman" w:cs="Times New Roman"/>
          <w:sz w:val="24"/>
          <w:szCs w:val="24"/>
        </w:rPr>
        <w:t>phosphomolybdenum</w:t>
      </w:r>
      <w:proofErr w:type="spellEnd"/>
      <w:r w:rsidRPr="00651EED">
        <w:rPr>
          <w:rFonts w:ascii="Times New Roman" w:hAnsi="Times New Roman" w:cs="Times New Roman"/>
          <w:sz w:val="24"/>
          <w:szCs w:val="24"/>
        </w:rPr>
        <w:t xml:space="preserve"> assay, indicating a significant positive correlation between phytochemical content and antioxidant assays. TFC was also negatively correlated with IC</w:t>
      </w:r>
      <w:r w:rsidRPr="00651EED">
        <w:rPr>
          <w:rFonts w:ascii="Times New Roman" w:hAnsi="Times New Roman" w:cs="Times New Roman"/>
          <w:sz w:val="24"/>
          <w:szCs w:val="24"/>
          <w:vertAlign w:val="subscript"/>
        </w:rPr>
        <w:t>50</w:t>
      </w:r>
      <w:r w:rsidRPr="00651EED">
        <w:rPr>
          <w:rFonts w:ascii="Times New Roman" w:hAnsi="Times New Roman" w:cs="Times New Roman"/>
          <w:sz w:val="24"/>
          <w:szCs w:val="24"/>
        </w:rPr>
        <w:t xml:space="preserve"> of antioxidant assays, however, the correlation was not significant. A very strong positive correlation was found between BSA-fructose inhibition assay with TPC (p&lt;0.01), TFC (p&lt;0.05) and TTC (p&lt;0.05). BSA-methylglyoxal and arginine-methylglyoxal method was positively correlated with TPC, TFC and TTC. However, a significant correlation was only observed between BSA-methylglyoxal with TFC (p&lt;0.05) and arginine-methylglyoxal [TPC (p&lt;0.05) and TTC (p&lt;0.01)]. Interestingly, α-amylase and α-glucosidase inhibition assay had no significant correlation with TPC, TFC and TTC. This result </w:t>
      </w:r>
      <w:r w:rsidRPr="00651EED">
        <w:rPr>
          <w:rFonts w:ascii="Times New Roman" w:hAnsi="Times New Roman" w:cs="Times New Roman"/>
          <w:sz w:val="24"/>
          <w:szCs w:val="24"/>
        </w:rPr>
        <w:lastRenderedPageBreak/>
        <w:t>suggested that carbohydrate-</w:t>
      </w:r>
      <w:proofErr w:type="spellStart"/>
      <w:r w:rsidRPr="00651EED">
        <w:rPr>
          <w:rFonts w:ascii="Times New Roman" w:hAnsi="Times New Roman" w:cs="Times New Roman"/>
          <w:sz w:val="24"/>
          <w:szCs w:val="24"/>
        </w:rPr>
        <w:t>hydrolyzing</w:t>
      </w:r>
      <w:proofErr w:type="spellEnd"/>
      <w:r w:rsidRPr="00651EED">
        <w:rPr>
          <w:rFonts w:ascii="Times New Roman" w:hAnsi="Times New Roman" w:cs="Times New Roman"/>
          <w:sz w:val="24"/>
          <w:szCs w:val="24"/>
        </w:rPr>
        <w:t xml:space="preserve"> enzyme inhibition capacity must be associated with phytochemicals other than phenolics, flavonoids, and tannins. Non-phenolic components (polysaccharides, bioactive peptides and lipids) derived from food products such as soybean and seeds of cumin, watermelon and Camellia have been reported to inhibit α-amylase and α-glucosidase enzymes </w:t>
      </w:r>
      <w:sdt>
        <w:sdtPr>
          <w:rPr>
            <w:rFonts w:ascii="Times New Roman" w:hAnsi="Times New Roman" w:cs="Times New Roman"/>
            <w:color w:val="000000"/>
            <w:sz w:val="24"/>
            <w:szCs w:val="24"/>
          </w:rPr>
          <w:tag w:val="MENDELEY_CITATION_v3_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"/>
          <w:id w:val="917290243"/>
          <w:placeholder>
            <w:docPart w:val="FC7F61AD6A64450A80845DDEC9446D22"/>
          </w:placeholder>
        </w:sdtPr>
        <w:sdtContent>
          <w:r w:rsidRPr="00651EED">
            <w:rPr>
              <w:rFonts w:ascii="Times New Roman" w:hAnsi="Times New Roman" w:cs="Times New Roman"/>
              <w:color w:val="000000"/>
              <w:sz w:val="24"/>
              <w:szCs w:val="24"/>
            </w:rPr>
            <w:t>[6]</w:t>
          </w:r>
        </w:sdtContent>
      </w:sdt>
      <w:r w:rsidRPr="00651EED">
        <w:rPr>
          <w:rFonts w:ascii="Times New Roman" w:hAnsi="Times New Roman" w:cs="Times New Roman"/>
          <w:sz w:val="24"/>
          <w:szCs w:val="24"/>
        </w:rPr>
        <w:t xml:space="preserve">. Based on these results, antioxidant and anti-glycation activity of </w:t>
      </w:r>
      <w:r w:rsidRPr="00651EED">
        <w:rPr>
          <w:rFonts w:ascii="Times New Roman" w:hAnsi="Times New Roman" w:cs="Times New Roman"/>
          <w:i/>
          <w:iCs/>
          <w:sz w:val="24"/>
          <w:szCs w:val="24"/>
        </w:rPr>
        <w:t>M. balbisiana</w:t>
      </w:r>
      <w:r w:rsidRPr="00651EED">
        <w:rPr>
          <w:rFonts w:ascii="Times New Roman" w:hAnsi="Times New Roman" w:cs="Times New Roman"/>
          <w:sz w:val="24"/>
          <w:szCs w:val="24"/>
        </w:rPr>
        <w:t xml:space="preserve"> seed can be accredited to its phenolic and tannin content, while the flavonoids promote the inhibition of intermediate stages of glycation.  </w:t>
      </w:r>
    </w:p>
    <w:p w14:paraId="43BA6528" w14:textId="7469D274" w:rsidR="00900372" w:rsidRPr="00651EED" w:rsidRDefault="00900372"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References</w:t>
      </w:r>
    </w:p>
    <w:p w14:paraId="4440D342" w14:textId="6588E0E2" w:rsidR="0074468F" w:rsidRPr="00651EED" w:rsidRDefault="0074468F" w:rsidP="0074468F">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1. </w:t>
      </w:r>
      <w:proofErr w:type="spellStart"/>
      <w:r w:rsidRPr="00651EED">
        <w:rPr>
          <w:rFonts w:ascii="Times New Roman" w:hAnsi="Times New Roman" w:cs="Times New Roman"/>
          <w:sz w:val="24"/>
          <w:szCs w:val="24"/>
        </w:rPr>
        <w:t>Sadasivam</w:t>
      </w:r>
      <w:proofErr w:type="spellEnd"/>
      <w:r w:rsidRPr="00651EED">
        <w:rPr>
          <w:rFonts w:ascii="Times New Roman" w:hAnsi="Times New Roman" w:cs="Times New Roman"/>
          <w:sz w:val="24"/>
          <w:szCs w:val="24"/>
        </w:rPr>
        <w:t xml:space="preserve"> S, Manickam A (1996) Biochemical Methods</w:t>
      </w:r>
      <w:r w:rsidR="00F85155" w:rsidRPr="00651EED">
        <w:rPr>
          <w:rFonts w:ascii="Times New Roman" w:hAnsi="Times New Roman" w:cs="Times New Roman"/>
          <w:sz w:val="24"/>
          <w:szCs w:val="24"/>
        </w:rPr>
        <w:t xml:space="preserve">. </w:t>
      </w:r>
      <w:r w:rsidRPr="00651EED">
        <w:rPr>
          <w:rFonts w:ascii="Times New Roman" w:hAnsi="Times New Roman" w:cs="Times New Roman"/>
          <w:sz w:val="24"/>
          <w:szCs w:val="24"/>
        </w:rPr>
        <w:t>New Age International Publishers (P) Ltd</w:t>
      </w:r>
      <w:r w:rsidR="000A6FCA" w:rsidRPr="00651EED">
        <w:rPr>
          <w:rFonts w:ascii="Times New Roman" w:hAnsi="Times New Roman" w:cs="Times New Roman"/>
          <w:sz w:val="24"/>
          <w:szCs w:val="24"/>
        </w:rPr>
        <w:t>, New Delhi</w:t>
      </w:r>
    </w:p>
    <w:p w14:paraId="05F5712F" w14:textId="080C7E24" w:rsidR="0074468F" w:rsidRPr="00651EED" w:rsidRDefault="0074468F" w:rsidP="0074468F">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2. Sarma PP, Gurumayum N, Samanta SK, et al (2022) Pharmacologically active chemical composite of </w:t>
      </w:r>
      <w:r w:rsidRPr="00651EED">
        <w:rPr>
          <w:rFonts w:ascii="Times New Roman" w:hAnsi="Times New Roman" w:cs="Times New Roman"/>
          <w:i/>
          <w:iCs/>
          <w:sz w:val="24"/>
          <w:szCs w:val="24"/>
        </w:rPr>
        <w:t>Musa balbisiana</w:t>
      </w:r>
      <w:r w:rsidRPr="00651EED">
        <w:rPr>
          <w:rFonts w:ascii="Times New Roman" w:hAnsi="Times New Roman" w:cs="Times New Roman"/>
          <w:sz w:val="24"/>
          <w:szCs w:val="24"/>
        </w:rPr>
        <w:t xml:space="preserve"> ameliorates oxidative stress, mitochondrial cellular respiration, and thereby metabolic dysfunction. J Food </w:t>
      </w:r>
      <w:proofErr w:type="spellStart"/>
      <w:r w:rsidRPr="00651EED">
        <w:rPr>
          <w:rFonts w:ascii="Times New Roman" w:hAnsi="Times New Roman" w:cs="Times New Roman"/>
          <w:sz w:val="24"/>
          <w:szCs w:val="24"/>
        </w:rPr>
        <w:t>Biochem</w:t>
      </w:r>
      <w:proofErr w:type="spellEnd"/>
      <w:r w:rsidRPr="00651EED">
        <w:rPr>
          <w:rFonts w:ascii="Times New Roman" w:hAnsi="Times New Roman" w:cs="Times New Roman"/>
          <w:sz w:val="24"/>
          <w:szCs w:val="24"/>
        </w:rPr>
        <w:t xml:space="preserve"> 46. https://doi.org/10.1111/jfbc.14347</w:t>
      </w:r>
    </w:p>
    <w:p w14:paraId="3403C243" w14:textId="34F8C24F" w:rsidR="0074468F" w:rsidRPr="00651EED" w:rsidRDefault="0074468F" w:rsidP="0074468F">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3. Bhattacharjee S, </w:t>
      </w:r>
      <w:proofErr w:type="spellStart"/>
      <w:r w:rsidRPr="00651EED">
        <w:rPr>
          <w:rFonts w:ascii="Times New Roman" w:hAnsi="Times New Roman" w:cs="Times New Roman"/>
          <w:sz w:val="24"/>
          <w:szCs w:val="24"/>
        </w:rPr>
        <w:t>Elancheran</w:t>
      </w:r>
      <w:proofErr w:type="spellEnd"/>
      <w:r w:rsidRPr="00651EED">
        <w:rPr>
          <w:rFonts w:ascii="Times New Roman" w:hAnsi="Times New Roman" w:cs="Times New Roman"/>
          <w:sz w:val="24"/>
          <w:szCs w:val="24"/>
        </w:rPr>
        <w:t xml:space="preserve"> R, Dutta K, et al (2022) Cardioprotective potential of the antioxidant-rich bioactive fraction of </w:t>
      </w:r>
      <w:r w:rsidRPr="00651EED">
        <w:rPr>
          <w:rFonts w:ascii="Times New Roman" w:hAnsi="Times New Roman" w:cs="Times New Roman"/>
          <w:i/>
          <w:iCs/>
          <w:sz w:val="24"/>
          <w:szCs w:val="24"/>
        </w:rPr>
        <w:t>Garcinia pedunculata</w:t>
      </w:r>
      <w:r w:rsidRPr="00651EED">
        <w:rPr>
          <w:rFonts w:ascii="Times New Roman" w:hAnsi="Times New Roman" w:cs="Times New Roman"/>
          <w:sz w:val="24"/>
          <w:szCs w:val="24"/>
        </w:rPr>
        <w:t xml:space="preserve"> </w:t>
      </w:r>
      <w:proofErr w:type="spellStart"/>
      <w:r w:rsidRPr="00651EED">
        <w:rPr>
          <w:rFonts w:ascii="Times New Roman" w:hAnsi="Times New Roman" w:cs="Times New Roman"/>
          <w:sz w:val="24"/>
          <w:szCs w:val="24"/>
        </w:rPr>
        <w:t>Roxb</w:t>
      </w:r>
      <w:proofErr w:type="spellEnd"/>
      <w:r w:rsidRPr="00651EED">
        <w:rPr>
          <w:rFonts w:ascii="Times New Roman" w:hAnsi="Times New Roman" w:cs="Times New Roman"/>
          <w:sz w:val="24"/>
          <w:szCs w:val="24"/>
        </w:rPr>
        <w:t xml:space="preserve">. </w:t>
      </w:r>
      <w:proofErr w:type="spellStart"/>
      <w:r w:rsidRPr="00651EED">
        <w:rPr>
          <w:rFonts w:ascii="Times New Roman" w:hAnsi="Times New Roman" w:cs="Times New Roman"/>
          <w:sz w:val="24"/>
          <w:szCs w:val="24"/>
        </w:rPr>
        <w:t xml:space="preserve">ex </w:t>
      </w:r>
      <w:proofErr w:type="gramStart"/>
      <w:r w:rsidRPr="00651EED">
        <w:rPr>
          <w:rFonts w:ascii="Times New Roman" w:hAnsi="Times New Roman" w:cs="Times New Roman"/>
          <w:sz w:val="24"/>
          <w:szCs w:val="24"/>
        </w:rPr>
        <w:t>Buch</w:t>
      </w:r>
      <w:proofErr w:type="spellEnd"/>
      <w:r w:rsidRPr="00651EED">
        <w:rPr>
          <w:rFonts w:ascii="Times New Roman" w:hAnsi="Times New Roman" w:cs="Times New Roman"/>
          <w:sz w:val="24"/>
          <w:szCs w:val="24"/>
        </w:rPr>
        <w:t>.-</w:t>
      </w:r>
      <w:proofErr w:type="gramEnd"/>
      <w:r w:rsidRPr="00651EED">
        <w:rPr>
          <w:rFonts w:ascii="Times New Roman" w:hAnsi="Times New Roman" w:cs="Times New Roman"/>
          <w:sz w:val="24"/>
          <w:szCs w:val="24"/>
        </w:rPr>
        <w:t xml:space="preserve">Ham. against isoproterenol-induced myocardial infarction in Wistar rats. Front </w:t>
      </w:r>
      <w:proofErr w:type="spellStart"/>
      <w:r w:rsidRPr="00651EED">
        <w:rPr>
          <w:rFonts w:ascii="Times New Roman" w:hAnsi="Times New Roman" w:cs="Times New Roman"/>
          <w:sz w:val="24"/>
          <w:szCs w:val="24"/>
        </w:rPr>
        <w:t>Pharmacol</w:t>
      </w:r>
      <w:proofErr w:type="spellEnd"/>
      <w:r w:rsidRPr="00651EED">
        <w:rPr>
          <w:rFonts w:ascii="Times New Roman" w:hAnsi="Times New Roman" w:cs="Times New Roman"/>
          <w:sz w:val="24"/>
          <w:szCs w:val="24"/>
        </w:rPr>
        <w:t xml:space="preserve"> 13. https://doi.org/10.3389/fphar.2022.1009023</w:t>
      </w:r>
    </w:p>
    <w:p w14:paraId="0F4041EF" w14:textId="6D6A4128" w:rsidR="0074468F" w:rsidRPr="00651EED" w:rsidRDefault="0074468F" w:rsidP="0074468F">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4. Wang W, </w:t>
      </w:r>
      <w:proofErr w:type="spellStart"/>
      <w:r w:rsidRPr="00651EED">
        <w:rPr>
          <w:rFonts w:ascii="Times New Roman" w:hAnsi="Times New Roman" w:cs="Times New Roman"/>
          <w:sz w:val="24"/>
          <w:szCs w:val="24"/>
        </w:rPr>
        <w:t>Yagiz</w:t>
      </w:r>
      <w:proofErr w:type="spellEnd"/>
      <w:r w:rsidRPr="00651EED">
        <w:rPr>
          <w:rFonts w:ascii="Times New Roman" w:hAnsi="Times New Roman" w:cs="Times New Roman"/>
          <w:sz w:val="24"/>
          <w:szCs w:val="24"/>
        </w:rPr>
        <w:t xml:space="preserve"> Y, Buran TJ, et al (2011) Phytochemicals from berries and grapes inhibited the formation of advanced glycation end-products by scavenging reactive carbonyls. Food Res Int 44:2666–2673. https://doi.org/10.1016/j.foodres.2011.05.022</w:t>
      </w:r>
    </w:p>
    <w:p w14:paraId="1ABB91AC" w14:textId="0588D858" w:rsidR="00900372" w:rsidRPr="00651EED" w:rsidRDefault="0074468F"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t xml:space="preserve">5. </w:t>
      </w:r>
      <w:proofErr w:type="spellStart"/>
      <w:r w:rsidRPr="00651EED">
        <w:rPr>
          <w:rFonts w:ascii="Times New Roman" w:hAnsi="Times New Roman" w:cs="Times New Roman"/>
          <w:sz w:val="24"/>
          <w:szCs w:val="24"/>
        </w:rPr>
        <w:t>Rebaya</w:t>
      </w:r>
      <w:proofErr w:type="spellEnd"/>
      <w:r w:rsidRPr="00651EED">
        <w:rPr>
          <w:rFonts w:ascii="Times New Roman" w:hAnsi="Times New Roman" w:cs="Times New Roman"/>
          <w:sz w:val="24"/>
          <w:szCs w:val="24"/>
        </w:rPr>
        <w:t xml:space="preserve"> A, </w:t>
      </w:r>
      <w:proofErr w:type="spellStart"/>
      <w:r w:rsidRPr="00651EED">
        <w:rPr>
          <w:rFonts w:ascii="Times New Roman" w:hAnsi="Times New Roman" w:cs="Times New Roman"/>
          <w:sz w:val="24"/>
          <w:szCs w:val="24"/>
        </w:rPr>
        <w:t>Belghith</w:t>
      </w:r>
      <w:proofErr w:type="spellEnd"/>
      <w:r w:rsidRPr="00651EED">
        <w:rPr>
          <w:rFonts w:ascii="Times New Roman" w:hAnsi="Times New Roman" w:cs="Times New Roman"/>
          <w:sz w:val="24"/>
          <w:szCs w:val="24"/>
        </w:rPr>
        <w:t xml:space="preserve"> SI, </w:t>
      </w:r>
      <w:proofErr w:type="spellStart"/>
      <w:r w:rsidRPr="00651EED">
        <w:rPr>
          <w:rFonts w:ascii="Times New Roman" w:hAnsi="Times New Roman" w:cs="Times New Roman"/>
          <w:sz w:val="24"/>
          <w:szCs w:val="24"/>
        </w:rPr>
        <w:t>Baghdikian</w:t>
      </w:r>
      <w:proofErr w:type="spellEnd"/>
      <w:r w:rsidRPr="00651EED">
        <w:rPr>
          <w:rFonts w:ascii="Times New Roman" w:hAnsi="Times New Roman" w:cs="Times New Roman"/>
          <w:sz w:val="24"/>
          <w:szCs w:val="24"/>
        </w:rPr>
        <w:t xml:space="preserve"> B, et al (2015) Total </w:t>
      </w:r>
      <w:r w:rsidR="00D361DD" w:rsidRPr="00651EED">
        <w:rPr>
          <w:rFonts w:ascii="Times New Roman" w:hAnsi="Times New Roman" w:cs="Times New Roman"/>
          <w:sz w:val="24"/>
          <w:szCs w:val="24"/>
        </w:rPr>
        <w:t xml:space="preserve">phenolic, total flavonoid, tannin content, and antioxidant capacity of </w:t>
      </w:r>
      <w:proofErr w:type="spellStart"/>
      <w:r w:rsidRPr="00651EED">
        <w:rPr>
          <w:rFonts w:ascii="Times New Roman" w:hAnsi="Times New Roman" w:cs="Times New Roman"/>
          <w:i/>
          <w:iCs/>
          <w:sz w:val="24"/>
          <w:szCs w:val="24"/>
        </w:rPr>
        <w:t>Halimium</w:t>
      </w:r>
      <w:proofErr w:type="spellEnd"/>
      <w:r w:rsidRPr="00651EED">
        <w:rPr>
          <w:rFonts w:ascii="Times New Roman" w:hAnsi="Times New Roman" w:cs="Times New Roman"/>
          <w:i/>
          <w:iCs/>
          <w:sz w:val="24"/>
          <w:szCs w:val="24"/>
        </w:rPr>
        <w:t xml:space="preserve"> </w:t>
      </w:r>
      <w:proofErr w:type="spellStart"/>
      <w:r w:rsidRPr="00651EED">
        <w:rPr>
          <w:rFonts w:ascii="Times New Roman" w:hAnsi="Times New Roman" w:cs="Times New Roman"/>
          <w:i/>
          <w:iCs/>
          <w:sz w:val="24"/>
          <w:szCs w:val="24"/>
        </w:rPr>
        <w:t>halimifolium</w:t>
      </w:r>
      <w:proofErr w:type="spellEnd"/>
      <w:r w:rsidRPr="00651EED">
        <w:rPr>
          <w:rFonts w:ascii="Times New Roman" w:hAnsi="Times New Roman" w:cs="Times New Roman"/>
          <w:sz w:val="24"/>
          <w:szCs w:val="24"/>
        </w:rPr>
        <w:t xml:space="preserve"> (</w:t>
      </w:r>
      <w:proofErr w:type="spellStart"/>
      <w:r w:rsidRPr="00651EED">
        <w:rPr>
          <w:rFonts w:ascii="Times New Roman" w:hAnsi="Times New Roman" w:cs="Times New Roman"/>
          <w:sz w:val="24"/>
          <w:szCs w:val="24"/>
        </w:rPr>
        <w:t>Cistaceae</w:t>
      </w:r>
      <w:proofErr w:type="spellEnd"/>
      <w:r w:rsidRPr="00651EED">
        <w:rPr>
          <w:rFonts w:ascii="Times New Roman" w:hAnsi="Times New Roman" w:cs="Times New Roman"/>
          <w:sz w:val="24"/>
          <w:szCs w:val="24"/>
        </w:rPr>
        <w:t xml:space="preserve">). J </w:t>
      </w:r>
      <w:proofErr w:type="spellStart"/>
      <w:r w:rsidRPr="00651EED">
        <w:rPr>
          <w:rFonts w:ascii="Times New Roman" w:hAnsi="Times New Roman" w:cs="Times New Roman"/>
          <w:sz w:val="24"/>
          <w:szCs w:val="24"/>
        </w:rPr>
        <w:t>Appl</w:t>
      </w:r>
      <w:proofErr w:type="spellEnd"/>
      <w:r w:rsidRPr="00651EED">
        <w:rPr>
          <w:rFonts w:ascii="Times New Roman" w:hAnsi="Times New Roman" w:cs="Times New Roman"/>
          <w:sz w:val="24"/>
          <w:szCs w:val="24"/>
        </w:rPr>
        <w:t xml:space="preserve"> Pharm Sci 5:052–057. </w:t>
      </w:r>
      <w:hyperlink r:id="rId6" w:history="1">
        <w:r w:rsidR="00651EED" w:rsidRPr="00651EED">
          <w:rPr>
            <w:rStyle w:val="Hyperlink"/>
            <w:rFonts w:ascii="Times New Roman" w:hAnsi="Times New Roman" w:cs="Times New Roman"/>
            <w:color w:val="auto"/>
            <w:sz w:val="24"/>
            <w:szCs w:val="24"/>
            <w:u w:val="none"/>
          </w:rPr>
          <w:t>https://doi.org/10.7324/JAPS.2015.50110</w:t>
        </w:r>
      </w:hyperlink>
    </w:p>
    <w:p w14:paraId="448F85F0" w14:textId="1A753AA1" w:rsidR="00651EED" w:rsidRPr="00651EED" w:rsidRDefault="00651EED" w:rsidP="00E42FF5">
      <w:pPr>
        <w:spacing w:line="480" w:lineRule="auto"/>
        <w:jc w:val="both"/>
        <w:rPr>
          <w:rFonts w:ascii="Times New Roman" w:hAnsi="Times New Roman" w:cs="Times New Roman"/>
          <w:sz w:val="24"/>
          <w:szCs w:val="24"/>
        </w:rPr>
      </w:pPr>
      <w:r w:rsidRPr="00651EED">
        <w:rPr>
          <w:rFonts w:ascii="Times New Roman" w:hAnsi="Times New Roman" w:cs="Times New Roman"/>
          <w:sz w:val="24"/>
          <w:szCs w:val="24"/>
        </w:rPr>
        <w:lastRenderedPageBreak/>
        <w:t xml:space="preserve">6. Li X, Bai Y, </w:t>
      </w:r>
      <w:proofErr w:type="spellStart"/>
      <w:r w:rsidRPr="00651EED">
        <w:rPr>
          <w:rFonts w:ascii="Times New Roman" w:hAnsi="Times New Roman" w:cs="Times New Roman"/>
          <w:sz w:val="24"/>
          <w:szCs w:val="24"/>
        </w:rPr>
        <w:t>Jin</w:t>
      </w:r>
      <w:proofErr w:type="spellEnd"/>
      <w:r w:rsidRPr="00651EED">
        <w:rPr>
          <w:rFonts w:ascii="Times New Roman" w:hAnsi="Times New Roman" w:cs="Times New Roman"/>
          <w:sz w:val="24"/>
          <w:szCs w:val="24"/>
        </w:rPr>
        <w:t xml:space="preserve"> Z, </w:t>
      </w:r>
      <w:proofErr w:type="spellStart"/>
      <w:r w:rsidRPr="00651EED">
        <w:rPr>
          <w:rFonts w:ascii="Times New Roman" w:hAnsi="Times New Roman" w:cs="Times New Roman"/>
          <w:sz w:val="24"/>
          <w:szCs w:val="24"/>
        </w:rPr>
        <w:t>Svensson</w:t>
      </w:r>
      <w:proofErr w:type="spellEnd"/>
      <w:r w:rsidRPr="00651EED">
        <w:rPr>
          <w:rFonts w:ascii="Times New Roman" w:hAnsi="Times New Roman" w:cs="Times New Roman"/>
          <w:sz w:val="24"/>
          <w:szCs w:val="24"/>
        </w:rPr>
        <w:t xml:space="preserve"> B (2022) Food-derived non-phenolic α-amylase and α-glucosidase inhibitors for controlling starch digestion rate and guiding diabetes-friendly recipes. LWT: 153. https://doi.org/10.1016/j.lwt.2021.112455</w:t>
      </w:r>
    </w:p>
    <w:p w14:paraId="4F280E16" w14:textId="03C1B0FA" w:rsidR="001E3A12" w:rsidRPr="00651EED" w:rsidRDefault="00002DE2"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Figure Legends</w:t>
      </w:r>
    </w:p>
    <w:p w14:paraId="1CE43DCE" w14:textId="19C4866F" w:rsidR="0030665F" w:rsidRPr="00651EED" w:rsidRDefault="0030665F" w:rsidP="0030665F">
      <w:pPr>
        <w:spacing w:line="480" w:lineRule="auto"/>
        <w:jc w:val="both"/>
        <w:rPr>
          <w:rFonts w:ascii="Times New Roman" w:hAnsi="Times New Roman" w:cs="Times New Roman"/>
          <w:sz w:val="24"/>
          <w:szCs w:val="24"/>
        </w:rPr>
      </w:pPr>
      <w:r w:rsidRPr="00651EED">
        <w:rPr>
          <w:rFonts w:ascii="Times New Roman" w:hAnsi="Times New Roman" w:cs="Times New Roman"/>
          <w:b/>
          <w:bCs/>
          <w:sz w:val="24"/>
          <w:szCs w:val="24"/>
        </w:rPr>
        <w:t>Fig. S</w:t>
      </w:r>
      <w:r w:rsidR="00604172" w:rsidRPr="00651EED">
        <w:rPr>
          <w:rFonts w:ascii="Times New Roman" w:hAnsi="Times New Roman" w:cs="Times New Roman"/>
          <w:b/>
          <w:bCs/>
          <w:sz w:val="24"/>
          <w:szCs w:val="24"/>
        </w:rPr>
        <w:t>1</w:t>
      </w:r>
      <w:r w:rsidRPr="00651EED">
        <w:rPr>
          <w:rFonts w:ascii="Times New Roman" w:hAnsi="Times New Roman" w:cs="Times New Roman"/>
          <w:sz w:val="24"/>
          <w:szCs w:val="24"/>
        </w:rPr>
        <w:t xml:space="preserve"> GC-MS chromatogram of ethyl acetate fraction (EAF) of </w:t>
      </w:r>
      <w:r w:rsidRPr="00651EED">
        <w:rPr>
          <w:rFonts w:ascii="Times New Roman" w:hAnsi="Times New Roman" w:cs="Times New Roman"/>
          <w:i/>
          <w:iCs/>
          <w:sz w:val="24"/>
          <w:szCs w:val="24"/>
        </w:rPr>
        <w:t>Musa balbisiana</w:t>
      </w:r>
      <w:r w:rsidRPr="00651EED">
        <w:rPr>
          <w:rFonts w:ascii="Times New Roman" w:hAnsi="Times New Roman" w:cs="Times New Roman"/>
          <w:sz w:val="24"/>
          <w:szCs w:val="24"/>
        </w:rPr>
        <w:t xml:space="preserve"> seed</w:t>
      </w:r>
    </w:p>
    <w:p w14:paraId="0B0B04B1" w14:textId="41CA0977" w:rsidR="00604172" w:rsidRPr="00651EED" w:rsidRDefault="00604172" w:rsidP="00604172">
      <w:pPr>
        <w:spacing w:line="480" w:lineRule="auto"/>
        <w:jc w:val="both"/>
        <w:rPr>
          <w:rFonts w:ascii="Times New Roman" w:hAnsi="Times New Roman" w:cs="Times New Roman"/>
          <w:sz w:val="24"/>
          <w:szCs w:val="24"/>
        </w:rPr>
      </w:pPr>
      <w:r w:rsidRPr="00651EED">
        <w:rPr>
          <w:rFonts w:ascii="Times New Roman" w:hAnsi="Times New Roman" w:cs="Times New Roman"/>
          <w:b/>
          <w:bCs/>
          <w:sz w:val="24"/>
          <w:szCs w:val="24"/>
        </w:rPr>
        <w:t>Fig. S2</w:t>
      </w:r>
      <w:r w:rsidRPr="00651EED">
        <w:rPr>
          <w:rFonts w:ascii="Times New Roman" w:hAnsi="Times New Roman" w:cs="Times New Roman"/>
          <w:sz w:val="24"/>
          <w:szCs w:val="24"/>
        </w:rPr>
        <w:t xml:space="preserve"> Effect of EAF on modulation of OCR in FFA-induced HepG2 cells. </w:t>
      </w:r>
      <w:r w:rsidRPr="00651EED">
        <w:rPr>
          <w:rFonts w:ascii="Times New Roman" w:hAnsi="Times New Roman" w:cs="Times New Roman"/>
          <w:b/>
          <w:bCs/>
          <w:sz w:val="24"/>
          <w:szCs w:val="24"/>
        </w:rPr>
        <w:t>a</w:t>
      </w:r>
      <w:r w:rsidRPr="00651EED">
        <w:rPr>
          <w:rFonts w:ascii="Times New Roman" w:hAnsi="Times New Roman" w:cs="Times New Roman"/>
          <w:sz w:val="24"/>
          <w:szCs w:val="24"/>
        </w:rPr>
        <w:t xml:space="preserve"> Seahorse XFe24 cell mitochondria stress test profile </w:t>
      </w:r>
      <w:r w:rsidRPr="00651EED">
        <w:rPr>
          <w:rFonts w:ascii="Times New Roman" w:hAnsi="Times New Roman" w:cs="Times New Roman"/>
          <w:b/>
          <w:bCs/>
          <w:sz w:val="24"/>
          <w:szCs w:val="24"/>
        </w:rPr>
        <w:t>b</w:t>
      </w:r>
      <w:r w:rsidRPr="00651EED">
        <w:rPr>
          <w:rFonts w:ascii="Times New Roman" w:hAnsi="Times New Roman" w:cs="Times New Roman"/>
          <w:sz w:val="24"/>
          <w:szCs w:val="24"/>
        </w:rPr>
        <w:t xml:space="preserve"> Basal respiration </w:t>
      </w:r>
      <w:r w:rsidRPr="00651EED">
        <w:rPr>
          <w:rFonts w:ascii="Times New Roman" w:hAnsi="Times New Roman" w:cs="Times New Roman"/>
          <w:b/>
          <w:bCs/>
          <w:sz w:val="24"/>
          <w:szCs w:val="24"/>
        </w:rPr>
        <w:t>c</w:t>
      </w:r>
      <w:r w:rsidRPr="00651EED">
        <w:rPr>
          <w:rFonts w:ascii="Times New Roman" w:hAnsi="Times New Roman" w:cs="Times New Roman"/>
          <w:sz w:val="24"/>
          <w:szCs w:val="24"/>
        </w:rPr>
        <w:t xml:space="preserve"> Maximal respiration </w:t>
      </w:r>
      <w:r w:rsidRPr="00651EED">
        <w:rPr>
          <w:rFonts w:ascii="Times New Roman" w:hAnsi="Times New Roman" w:cs="Times New Roman"/>
          <w:b/>
          <w:bCs/>
          <w:sz w:val="24"/>
          <w:szCs w:val="24"/>
        </w:rPr>
        <w:t>d</w:t>
      </w:r>
      <w:r w:rsidRPr="00651EED">
        <w:rPr>
          <w:rFonts w:ascii="Times New Roman" w:hAnsi="Times New Roman" w:cs="Times New Roman"/>
          <w:sz w:val="24"/>
          <w:szCs w:val="24"/>
        </w:rPr>
        <w:t xml:space="preserve"> ATP production </w:t>
      </w:r>
      <w:r w:rsidRPr="00651EED">
        <w:rPr>
          <w:rFonts w:ascii="Times New Roman" w:hAnsi="Times New Roman" w:cs="Times New Roman"/>
          <w:b/>
          <w:bCs/>
          <w:sz w:val="24"/>
          <w:szCs w:val="24"/>
        </w:rPr>
        <w:t>e</w:t>
      </w:r>
      <w:r w:rsidRPr="00651EED">
        <w:rPr>
          <w:rFonts w:ascii="Times New Roman" w:hAnsi="Times New Roman" w:cs="Times New Roman"/>
          <w:sz w:val="24"/>
          <w:szCs w:val="24"/>
        </w:rPr>
        <w:t xml:space="preserve"> Spare respiratory capacity. Mean ± SD. </w:t>
      </w:r>
      <w:r w:rsidRPr="00651EED">
        <w:rPr>
          <w:rFonts w:ascii="Times New Roman" w:hAnsi="Times New Roman" w:cs="Times New Roman"/>
          <w:sz w:val="24"/>
          <w:szCs w:val="24"/>
          <w:vertAlign w:val="superscript"/>
        </w:rPr>
        <w:t>##</w:t>
      </w:r>
      <w:r w:rsidRPr="00651EED">
        <w:rPr>
          <w:rFonts w:ascii="Times New Roman" w:hAnsi="Times New Roman" w:cs="Times New Roman"/>
          <w:sz w:val="24"/>
          <w:szCs w:val="24"/>
        </w:rPr>
        <w:t xml:space="preserve">p &lt; 0.01 and </w:t>
      </w:r>
      <w:r w:rsidRPr="00651EED">
        <w:rPr>
          <w:rFonts w:ascii="Times New Roman" w:hAnsi="Times New Roman" w:cs="Times New Roman"/>
          <w:sz w:val="24"/>
          <w:szCs w:val="24"/>
          <w:vertAlign w:val="superscript"/>
        </w:rPr>
        <w:t>###</w:t>
      </w:r>
      <w:r w:rsidRPr="00651EED">
        <w:rPr>
          <w:rFonts w:ascii="Times New Roman" w:hAnsi="Times New Roman" w:cs="Times New Roman"/>
          <w:sz w:val="24"/>
          <w:szCs w:val="24"/>
        </w:rPr>
        <w:t xml:space="preserve">p &lt; 0.01 is compared with control and </w:t>
      </w:r>
      <w:r w:rsidRPr="00651EED">
        <w:rPr>
          <w:rFonts w:ascii="Times New Roman" w:hAnsi="Times New Roman" w:cs="Times New Roman"/>
          <w:sz w:val="24"/>
          <w:szCs w:val="24"/>
          <w:vertAlign w:val="superscript"/>
        </w:rPr>
        <w:t>*</w:t>
      </w:r>
      <w:r w:rsidRPr="00651EED">
        <w:rPr>
          <w:rFonts w:ascii="Times New Roman" w:hAnsi="Times New Roman" w:cs="Times New Roman"/>
          <w:sz w:val="24"/>
          <w:szCs w:val="24"/>
        </w:rPr>
        <w:t xml:space="preserve">p &lt; 0.05, and </w:t>
      </w:r>
      <w:r w:rsidRPr="00651EED">
        <w:rPr>
          <w:rFonts w:ascii="Times New Roman" w:hAnsi="Times New Roman" w:cs="Times New Roman"/>
          <w:sz w:val="24"/>
          <w:szCs w:val="24"/>
          <w:vertAlign w:val="superscript"/>
        </w:rPr>
        <w:t>**</w:t>
      </w:r>
      <w:r w:rsidRPr="00651EED">
        <w:rPr>
          <w:rFonts w:ascii="Times New Roman" w:hAnsi="Times New Roman" w:cs="Times New Roman"/>
          <w:sz w:val="24"/>
          <w:szCs w:val="24"/>
        </w:rPr>
        <w:t xml:space="preserve">p &lt; 0.01 are compared with FFA. FFA- Free fatty acid (0.125mM), EAF25- EAF 25 </w:t>
      </w:r>
      <w:proofErr w:type="spellStart"/>
      <w:r w:rsidRPr="00651EED">
        <w:rPr>
          <w:rFonts w:ascii="Times New Roman" w:hAnsi="Times New Roman" w:cs="Times New Roman"/>
          <w:sz w:val="24"/>
          <w:szCs w:val="24"/>
        </w:rPr>
        <w:t>μg</w:t>
      </w:r>
      <w:proofErr w:type="spellEnd"/>
      <w:r w:rsidRPr="00651EED">
        <w:rPr>
          <w:rFonts w:ascii="Times New Roman" w:hAnsi="Times New Roman" w:cs="Times New Roman"/>
          <w:sz w:val="24"/>
          <w:szCs w:val="24"/>
        </w:rPr>
        <w:t xml:space="preserve">/ml, EAF50- EAF 50 </w:t>
      </w:r>
      <w:proofErr w:type="spellStart"/>
      <w:r w:rsidRPr="00651EED">
        <w:rPr>
          <w:rFonts w:ascii="Times New Roman" w:hAnsi="Times New Roman" w:cs="Times New Roman"/>
          <w:sz w:val="24"/>
          <w:szCs w:val="24"/>
        </w:rPr>
        <w:t>μg</w:t>
      </w:r>
      <w:proofErr w:type="spellEnd"/>
      <w:r w:rsidRPr="00651EED">
        <w:rPr>
          <w:rFonts w:ascii="Times New Roman" w:hAnsi="Times New Roman" w:cs="Times New Roman"/>
          <w:sz w:val="24"/>
          <w:szCs w:val="24"/>
        </w:rPr>
        <w:t>/ml, Met- Metformin (60 µM)</w:t>
      </w:r>
    </w:p>
    <w:p w14:paraId="685C9E2F" w14:textId="409B8C21" w:rsidR="00604172" w:rsidRPr="00651EED" w:rsidRDefault="00604172" w:rsidP="00604172">
      <w:pPr>
        <w:pStyle w:val="BodyText"/>
      </w:pPr>
      <w:r w:rsidRPr="00651EED">
        <w:rPr>
          <w:b/>
          <w:bCs/>
        </w:rPr>
        <w:t>Fig. S3</w:t>
      </w:r>
      <w:r w:rsidRPr="00651EED">
        <w:t xml:space="preserve"> Effect of EAF on modulation of ECAR in FFA-induced HepG2 cells. </w:t>
      </w:r>
      <w:r w:rsidRPr="00651EED">
        <w:rPr>
          <w:b/>
          <w:bCs/>
        </w:rPr>
        <w:t>a</w:t>
      </w:r>
      <w:r w:rsidRPr="00651EED">
        <w:t xml:space="preserve"> Seahorse XFe24 cell glycolysis stress test profile </w:t>
      </w:r>
      <w:r w:rsidRPr="00651EED">
        <w:rPr>
          <w:b/>
          <w:bCs/>
        </w:rPr>
        <w:t>b</w:t>
      </w:r>
      <w:r w:rsidRPr="00651EED">
        <w:t xml:space="preserve"> Glycolysis </w:t>
      </w:r>
      <w:r w:rsidRPr="00651EED">
        <w:rPr>
          <w:b/>
          <w:bCs/>
        </w:rPr>
        <w:t>c</w:t>
      </w:r>
      <w:r w:rsidRPr="00651EED">
        <w:t xml:space="preserve"> Glycolytic capacity </w:t>
      </w:r>
      <w:r w:rsidRPr="00651EED">
        <w:rPr>
          <w:b/>
          <w:bCs/>
        </w:rPr>
        <w:t>d</w:t>
      </w:r>
      <w:r w:rsidRPr="00651EED">
        <w:t xml:space="preserve"> Glycolytic reserve </w:t>
      </w:r>
      <w:r w:rsidRPr="00651EED">
        <w:rPr>
          <w:b/>
          <w:bCs/>
        </w:rPr>
        <w:t>e</w:t>
      </w:r>
      <w:r w:rsidRPr="00651EED">
        <w:t xml:space="preserve"> non-glycolysis acidification. Mean ± SD. </w:t>
      </w:r>
      <w:r w:rsidRPr="00651EED">
        <w:rPr>
          <w:vertAlign w:val="superscript"/>
        </w:rPr>
        <w:t>##</w:t>
      </w:r>
      <w:r w:rsidRPr="00651EED">
        <w:t xml:space="preserve">p &lt; 0.01 and </w:t>
      </w:r>
      <w:r w:rsidRPr="00651EED">
        <w:rPr>
          <w:vertAlign w:val="superscript"/>
        </w:rPr>
        <w:t>###</w:t>
      </w:r>
      <w:r w:rsidRPr="00651EED">
        <w:t xml:space="preserve">p &lt; 0.01 is compared with control and </w:t>
      </w:r>
      <w:r w:rsidRPr="00651EED">
        <w:rPr>
          <w:vertAlign w:val="superscript"/>
        </w:rPr>
        <w:t>*</w:t>
      </w:r>
      <w:r w:rsidRPr="00651EED">
        <w:t xml:space="preserve">p &lt; 0.05, and </w:t>
      </w:r>
      <w:r w:rsidRPr="00651EED">
        <w:rPr>
          <w:vertAlign w:val="superscript"/>
        </w:rPr>
        <w:t>**</w:t>
      </w:r>
      <w:r w:rsidRPr="00651EED">
        <w:t xml:space="preserve">p &lt; 0.01 are compared with FFA. FFA- Free fatty acid (0.125mM), EAF25- EAF 25 </w:t>
      </w:r>
      <w:proofErr w:type="spellStart"/>
      <w:r w:rsidRPr="00651EED">
        <w:t>μg</w:t>
      </w:r>
      <w:proofErr w:type="spellEnd"/>
      <w:r w:rsidRPr="00651EED">
        <w:t xml:space="preserve">/ml, EAF50- EAF 50 </w:t>
      </w:r>
      <w:proofErr w:type="spellStart"/>
      <w:r w:rsidRPr="00651EED">
        <w:t>μg</w:t>
      </w:r>
      <w:proofErr w:type="spellEnd"/>
      <w:r w:rsidRPr="00651EED">
        <w:t>/ml, Met- Metformin (60 µM)</w:t>
      </w:r>
    </w:p>
    <w:p w14:paraId="5666515A" w14:textId="77777777" w:rsidR="00604172" w:rsidRPr="00651EED" w:rsidRDefault="00604172" w:rsidP="00604172">
      <w:pPr>
        <w:spacing w:line="480" w:lineRule="auto"/>
        <w:jc w:val="both"/>
        <w:rPr>
          <w:rFonts w:ascii="Times New Roman" w:hAnsi="Times New Roman" w:cs="Times New Roman"/>
          <w:sz w:val="24"/>
          <w:szCs w:val="24"/>
        </w:rPr>
      </w:pPr>
    </w:p>
    <w:p w14:paraId="622945B5" w14:textId="40BF9F04" w:rsidR="00604172" w:rsidRPr="00651EED" w:rsidRDefault="00604172" w:rsidP="0030665F">
      <w:pPr>
        <w:spacing w:line="480" w:lineRule="auto"/>
        <w:jc w:val="both"/>
        <w:rPr>
          <w:rFonts w:ascii="Times New Roman" w:hAnsi="Times New Roman" w:cs="Times New Roman"/>
          <w:sz w:val="24"/>
          <w:szCs w:val="24"/>
        </w:rPr>
      </w:pPr>
    </w:p>
    <w:p w14:paraId="13DD03ED" w14:textId="77777777" w:rsidR="0030665F" w:rsidRPr="00651EED" w:rsidRDefault="0030665F" w:rsidP="00E42FF5">
      <w:pPr>
        <w:spacing w:line="480" w:lineRule="auto"/>
        <w:jc w:val="both"/>
        <w:rPr>
          <w:rFonts w:ascii="Times New Roman" w:hAnsi="Times New Roman" w:cs="Times New Roman"/>
          <w:b/>
          <w:bCs/>
          <w:sz w:val="24"/>
          <w:szCs w:val="24"/>
        </w:rPr>
      </w:pPr>
    </w:p>
    <w:p w14:paraId="05D63318" w14:textId="77777777" w:rsidR="0030665F" w:rsidRPr="00651EED" w:rsidRDefault="0030665F" w:rsidP="00E42FF5">
      <w:pPr>
        <w:spacing w:line="480" w:lineRule="auto"/>
        <w:jc w:val="both"/>
        <w:rPr>
          <w:rFonts w:ascii="Times New Roman" w:hAnsi="Times New Roman" w:cs="Times New Roman"/>
          <w:b/>
          <w:bCs/>
          <w:sz w:val="24"/>
          <w:szCs w:val="24"/>
        </w:rPr>
      </w:pPr>
    </w:p>
    <w:p w14:paraId="48148371" w14:textId="77777777" w:rsidR="0030665F" w:rsidRPr="00651EED" w:rsidRDefault="0030665F" w:rsidP="00E42FF5">
      <w:pPr>
        <w:spacing w:line="480" w:lineRule="auto"/>
        <w:jc w:val="both"/>
        <w:rPr>
          <w:rFonts w:ascii="Times New Roman" w:hAnsi="Times New Roman" w:cs="Times New Roman"/>
          <w:b/>
          <w:bCs/>
          <w:sz w:val="24"/>
          <w:szCs w:val="24"/>
        </w:rPr>
      </w:pPr>
    </w:p>
    <w:p w14:paraId="0B834E32" w14:textId="77777777" w:rsidR="0030665F" w:rsidRPr="00651EED" w:rsidRDefault="0030665F" w:rsidP="00E42FF5">
      <w:pPr>
        <w:spacing w:line="480" w:lineRule="auto"/>
        <w:jc w:val="both"/>
        <w:rPr>
          <w:rFonts w:ascii="Times New Roman" w:hAnsi="Times New Roman" w:cs="Times New Roman"/>
          <w:b/>
          <w:bCs/>
          <w:sz w:val="24"/>
          <w:szCs w:val="24"/>
        </w:rPr>
      </w:pPr>
    </w:p>
    <w:p w14:paraId="6AD83730" w14:textId="77777777" w:rsidR="0030665F" w:rsidRPr="00651EED" w:rsidRDefault="0030665F" w:rsidP="00E42FF5">
      <w:pPr>
        <w:spacing w:line="480" w:lineRule="auto"/>
        <w:jc w:val="both"/>
        <w:rPr>
          <w:rFonts w:ascii="Times New Roman" w:hAnsi="Times New Roman" w:cs="Times New Roman"/>
          <w:b/>
          <w:bCs/>
          <w:sz w:val="24"/>
          <w:szCs w:val="24"/>
        </w:rPr>
      </w:pPr>
    </w:p>
    <w:p w14:paraId="38AF2922" w14:textId="103B0747" w:rsidR="00002DE2" w:rsidRPr="00651EED" w:rsidRDefault="009D3139"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lastRenderedPageBreak/>
        <w:t>Fig. S1</w:t>
      </w:r>
    </w:p>
    <w:p w14:paraId="7722CC3B" w14:textId="384C6D2F" w:rsidR="00604172" w:rsidRPr="00651EED" w:rsidRDefault="00604172"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noProof/>
          <w:sz w:val="24"/>
          <w:szCs w:val="24"/>
        </w:rPr>
        <w:drawing>
          <wp:inline distT="0" distB="0" distL="0" distR="0" wp14:anchorId="67058268" wp14:editId="5968C3EB">
            <wp:extent cx="5730875" cy="223774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2237740"/>
                    </a:xfrm>
                    <a:prstGeom prst="rect">
                      <a:avLst/>
                    </a:prstGeom>
                    <a:noFill/>
                  </pic:spPr>
                </pic:pic>
              </a:graphicData>
            </a:graphic>
          </wp:inline>
        </w:drawing>
      </w:r>
    </w:p>
    <w:p w14:paraId="34113FA4" w14:textId="1B8731E4" w:rsidR="009D3139" w:rsidRPr="00651EED" w:rsidRDefault="009D3139"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t>Fig. S2</w:t>
      </w:r>
    </w:p>
    <w:p w14:paraId="5DEDB8A1" w14:textId="484AAC29" w:rsidR="00604172" w:rsidRPr="00651EED" w:rsidRDefault="00604172"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noProof/>
          <w:sz w:val="24"/>
          <w:szCs w:val="24"/>
        </w:rPr>
        <w:drawing>
          <wp:inline distT="0" distB="0" distL="0" distR="0" wp14:anchorId="73BB8D3D" wp14:editId="1AA09501">
            <wp:extent cx="5731510" cy="2770505"/>
            <wp:effectExtent l="0" t="0" r="0" b="0"/>
            <wp:docPr id="1119237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770505"/>
                    </a:xfrm>
                    <a:prstGeom prst="rect">
                      <a:avLst/>
                    </a:prstGeom>
                    <a:noFill/>
                    <a:ln>
                      <a:noFill/>
                    </a:ln>
                  </pic:spPr>
                </pic:pic>
              </a:graphicData>
            </a:graphic>
          </wp:inline>
        </w:drawing>
      </w:r>
    </w:p>
    <w:p w14:paraId="35E06F3D" w14:textId="77777777" w:rsidR="00604172" w:rsidRPr="00651EED" w:rsidRDefault="00604172" w:rsidP="00E42FF5">
      <w:pPr>
        <w:spacing w:line="480" w:lineRule="auto"/>
        <w:jc w:val="both"/>
        <w:rPr>
          <w:rFonts w:ascii="Times New Roman" w:hAnsi="Times New Roman" w:cs="Times New Roman"/>
          <w:b/>
          <w:bCs/>
          <w:sz w:val="24"/>
          <w:szCs w:val="24"/>
        </w:rPr>
      </w:pPr>
    </w:p>
    <w:p w14:paraId="5D478100" w14:textId="77777777" w:rsidR="00604172" w:rsidRPr="00651EED" w:rsidRDefault="00604172" w:rsidP="00E42FF5">
      <w:pPr>
        <w:spacing w:line="480" w:lineRule="auto"/>
        <w:jc w:val="both"/>
        <w:rPr>
          <w:rFonts w:ascii="Times New Roman" w:hAnsi="Times New Roman" w:cs="Times New Roman"/>
          <w:b/>
          <w:bCs/>
          <w:sz w:val="24"/>
          <w:szCs w:val="24"/>
        </w:rPr>
      </w:pPr>
    </w:p>
    <w:p w14:paraId="084FD6CC" w14:textId="77777777" w:rsidR="00604172" w:rsidRPr="00651EED" w:rsidRDefault="00604172" w:rsidP="00E42FF5">
      <w:pPr>
        <w:spacing w:line="480" w:lineRule="auto"/>
        <w:jc w:val="both"/>
        <w:rPr>
          <w:rFonts w:ascii="Times New Roman" w:hAnsi="Times New Roman" w:cs="Times New Roman"/>
          <w:b/>
          <w:bCs/>
          <w:sz w:val="24"/>
          <w:szCs w:val="24"/>
        </w:rPr>
      </w:pPr>
    </w:p>
    <w:p w14:paraId="0A0208BB" w14:textId="77777777" w:rsidR="00604172" w:rsidRPr="00651EED" w:rsidRDefault="00604172" w:rsidP="00E42FF5">
      <w:pPr>
        <w:spacing w:line="480" w:lineRule="auto"/>
        <w:jc w:val="both"/>
        <w:rPr>
          <w:rFonts w:ascii="Times New Roman" w:hAnsi="Times New Roman" w:cs="Times New Roman"/>
          <w:b/>
          <w:bCs/>
          <w:sz w:val="24"/>
          <w:szCs w:val="24"/>
        </w:rPr>
      </w:pPr>
    </w:p>
    <w:p w14:paraId="08556A2D" w14:textId="77777777" w:rsidR="00604172" w:rsidRPr="00651EED" w:rsidRDefault="00604172" w:rsidP="00E42FF5">
      <w:pPr>
        <w:spacing w:line="480" w:lineRule="auto"/>
        <w:jc w:val="both"/>
        <w:rPr>
          <w:rFonts w:ascii="Times New Roman" w:hAnsi="Times New Roman" w:cs="Times New Roman"/>
          <w:b/>
          <w:bCs/>
          <w:sz w:val="24"/>
          <w:szCs w:val="24"/>
        </w:rPr>
      </w:pPr>
    </w:p>
    <w:p w14:paraId="0230D6E3" w14:textId="61BA4FAA" w:rsidR="00604172" w:rsidRPr="00651EED" w:rsidRDefault="00604172"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b/>
          <w:bCs/>
          <w:sz w:val="24"/>
          <w:szCs w:val="24"/>
        </w:rPr>
        <w:lastRenderedPageBreak/>
        <w:t>Fig. S3</w:t>
      </w:r>
    </w:p>
    <w:p w14:paraId="47499BED" w14:textId="2F247ED6" w:rsidR="00604172" w:rsidRDefault="00604172" w:rsidP="00E42FF5">
      <w:pPr>
        <w:spacing w:line="480" w:lineRule="auto"/>
        <w:jc w:val="both"/>
        <w:rPr>
          <w:rFonts w:ascii="Times New Roman" w:hAnsi="Times New Roman" w:cs="Times New Roman"/>
          <w:b/>
          <w:bCs/>
          <w:sz w:val="24"/>
          <w:szCs w:val="24"/>
        </w:rPr>
      </w:pPr>
      <w:r w:rsidRPr="00651EED">
        <w:rPr>
          <w:rFonts w:ascii="Times New Roman" w:hAnsi="Times New Roman" w:cs="Times New Roman"/>
          <w:noProof/>
          <w:sz w:val="24"/>
          <w:szCs w:val="24"/>
        </w:rPr>
        <w:drawing>
          <wp:inline distT="0" distB="0" distL="0" distR="0" wp14:anchorId="262291AA" wp14:editId="2593D927">
            <wp:extent cx="5731510" cy="302387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023870"/>
                    </a:xfrm>
                    <a:prstGeom prst="rect">
                      <a:avLst/>
                    </a:prstGeom>
                    <a:noFill/>
                    <a:ln>
                      <a:noFill/>
                    </a:ln>
                  </pic:spPr>
                </pic:pic>
              </a:graphicData>
            </a:graphic>
          </wp:inline>
        </w:drawing>
      </w:r>
    </w:p>
    <w:p w14:paraId="2A6BF6CB" w14:textId="0FF2BFBB" w:rsidR="0072173E" w:rsidRDefault="0072173E" w:rsidP="0072173E">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S1 </w:t>
      </w:r>
      <w:r>
        <w:rPr>
          <w:rFonts w:ascii="Times New Roman" w:hAnsi="Times New Roman" w:cs="Times New Roman"/>
          <w:sz w:val="24"/>
          <w:szCs w:val="24"/>
        </w:rPr>
        <w:t xml:space="preserve">Proximate composition of </w:t>
      </w:r>
      <w:r>
        <w:rPr>
          <w:rFonts w:ascii="Times New Roman" w:hAnsi="Times New Roman" w:cs="Times New Roman"/>
          <w:i/>
          <w:iCs/>
          <w:sz w:val="24"/>
          <w:szCs w:val="24"/>
        </w:rPr>
        <w:t>M. balbisiana</w:t>
      </w:r>
      <w:r>
        <w:rPr>
          <w:rFonts w:ascii="Times New Roman" w:hAnsi="Times New Roman" w:cs="Times New Roman"/>
          <w:sz w:val="24"/>
          <w:szCs w:val="24"/>
        </w:rPr>
        <w:t xml:space="preserve"> seeds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701"/>
      </w:tblGrid>
      <w:tr w:rsidR="0072173E" w14:paraId="044759F5" w14:textId="77777777" w:rsidTr="00454909">
        <w:trPr>
          <w:jc w:val="center"/>
        </w:trPr>
        <w:tc>
          <w:tcPr>
            <w:tcW w:w="3402" w:type="dxa"/>
            <w:tcBorders>
              <w:top w:val="single" w:sz="4" w:space="0" w:color="auto"/>
              <w:left w:val="nil"/>
              <w:bottom w:val="single" w:sz="4" w:space="0" w:color="auto"/>
              <w:right w:val="nil"/>
            </w:tcBorders>
            <w:shd w:val="clear" w:color="auto" w:fill="F2F2F2" w:themeFill="background1" w:themeFillShade="F2"/>
            <w:hideMark/>
          </w:tcPr>
          <w:p w14:paraId="0AE7944E"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Proximate analysis*</w:t>
            </w:r>
          </w:p>
        </w:tc>
        <w:tc>
          <w:tcPr>
            <w:tcW w:w="1701" w:type="dxa"/>
            <w:tcBorders>
              <w:top w:val="single" w:sz="4" w:space="0" w:color="auto"/>
              <w:left w:val="nil"/>
              <w:bottom w:val="single" w:sz="4" w:space="0" w:color="auto"/>
              <w:right w:val="nil"/>
            </w:tcBorders>
            <w:shd w:val="clear" w:color="auto" w:fill="F2F2F2" w:themeFill="background1" w:themeFillShade="F2"/>
          </w:tcPr>
          <w:p w14:paraId="71311D8B" w14:textId="77777777" w:rsidR="0072173E" w:rsidRDefault="0072173E" w:rsidP="0072173E">
            <w:pPr>
              <w:spacing w:line="360" w:lineRule="auto"/>
              <w:rPr>
                <w:rFonts w:ascii="Times New Roman" w:hAnsi="Times New Roman" w:cs="Times New Roman"/>
                <w:sz w:val="24"/>
                <w:szCs w:val="24"/>
              </w:rPr>
            </w:pPr>
          </w:p>
        </w:tc>
      </w:tr>
      <w:tr w:rsidR="0072173E" w14:paraId="14ADA7DA" w14:textId="77777777" w:rsidTr="00454909">
        <w:trPr>
          <w:jc w:val="center"/>
        </w:trPr>
        <w:tc>
          <w:tcPr>
            <w:tcW w:w="3402" w:type="dxa"/>
            <w:tcBorders>
              <w:top w:val="single" w:sz="4" w:space="0" w:color="auto"/>
              <w:left w:val="nil"/>
              <w:bottom w:val="nil"/>
              <w:right w:val="nil"/>
            </w:tcBorders>
            <w:hideMark/>
          </w:tcPr>
          <w:p w14:paraId="4052B43E"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Banana weight </w:t>
            </w:r>
          </w:p>
        </w:tc>
        <w:tc>
          <w:tcPr>
            <w:tcW w:w="1701" w:type="dxa"/>
            <w:tcBorders>
              <w:top w:val="single" w:sz="4" w:space="0" w:color="auto"/>
              <w:left w:val="nil"/>
              <w:bottom w:val="nil"/>
              <w:right w:val="nil"/>
            </w:tcBorders>
          </w:tcPr>
          <w:p w14:paraId="3FD976C1" w14:textId="77777777" w:rsidR="0072173E" w:rsidRDefault="0072173E" w:rsidP="0072173E">
            <w:pPr>
              <w:spacing w:line="360" w:lineRule="auto"/>
              <w:rPr>
                <w:rFonts w:ascii="Times New Roman" w:hAnsi="Times New Roman" w:cs="Times New Roman"/>
                <w:sz w:val="24"/>
                <w:szCs w:val="24"/>
              </w:rPr>
            </w:pPr>
          </w:p>
        </w:tc>
      </w:tr>
      <w:tr w:rsidR="0072173E" w14:paraId="234459E9" w14:textId="77777777" w:rsidTr="00454909">
        <w:trPr>
          <w:jc w:val="center"/>
        </w:trPr>
        <w:tc>
          <w:tcPr>
            <w:tcW w:w="3402" w:type="dxa"/>
            <w:tcBorders>
              <w:top w:val="nil"/>
              <w:left w:val="nil"/>
              <w:bottom w:val="nil"/>
              <w:right w:val="nil"/>
            </w:tcBorders>
            <w:hideMark/>
          </w:tcPr>
          <w:p w14:paraId="650D1296"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Pulp (%)</w:t>
            </w:r>
          </w:p>
        </w:tc>
        <w:tc>
          <w:tcPr>
            <w:tcW w:w="1701" w:type="dxa"/>
            <w:tcBorders>
              <w:top w:val="nil"/>
              <w:left w:val="nil"/>
              <w:bottom w:val="nil"/>
              <w:right w:val="nil"/>
            </w:tcBorders>
            <w:hideMark/>
          </w:tcPr>
          <w:p w14:paraId="418EEDC4"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64.88 ± 2.62</w:t>
            </w:r>
          </w:p>
        </w:tc>
      </w:tr>
      <w:tr w:rsidR="0072173E" w14:paraId="63F9531B" w14:textId="77777777" w:rsidTr="00454909">
        <w:trPr>
          <w:jc w:val="center"/>
        </w:trPr>
        <w:tc>
          <w:tcPr>
            <w:tcW w:w="3402" w:type="dxa"/>
            <w:tcBorders>
              <w:top w:val="nil"/>
              <w:left w:val="nil"/>
              <w:bottom w:val="nil"/>
              <w:right w:val="nil"/>
            </w:tcBorders>
            <w:hideMark/>
          </w:tcPr>
          <w:p w14:paraId="103A1418"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Peel (%)</w:t>
            </w:r>
          </w:p>
        </w:tc>
        <w:tc>
          <w:tcPr>
            <w:tcW w:w="1701" w:type="dxa"/>
            <w:tcBorders>
              <w:top w:val="nil"/>
              <w:left w:val="nil"/>
              <w:bottom w:val="nil"/>
              <w:right w:val="nil"/>
            </w:tcBorders>
            <w:hideMark/>
          </w:tcPr>
          <w:p w14:paraId="1F218508"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24.11 ± 2.67</w:t>
            </w:r>
          </w:p>
        </w:tc>
      </w:tr>
      <w:tr w:rsidR="0072173E" w14:paraId="7F61CB9C" w14:textId="77777777" w:rsidTr="00454909">
        <w:trPr>
          <w:jc w:val="center"/>
        </w:trPr>
        <w:tc>
          <w:tcPr>
            <w:tcW w:w="3402" w:type="dxa"/>
            <w:tcBorders>
              <w:top w:val="nil"/>
              <w:left w:val="nil"/>
              <w:bottom w:val="nil"/>
              <w:right w:val="nil"/>
            </w:tcBorders>
            <w:hideMark/>
          </w:tcPr>
          <w:p w14:paraId="6EF60C6C"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Seed (%)</w:t>
            </w:r>
          </w:p>
        </w:tc>
        <w:tc>
          <w:tcPr>
            <w:tcW w:w="1701" w:type="dxa"/>
            <w:tcBorders>
              <w:top w:val="nil"/>
              <w:left w:val="nil"/>
              <w:bottom w:val="nil"/>
              <w:right w:val="nil"/>
            </w:tcBorders>
            <w:hideMark/>
          </w:tcPr>
          <w:p w14:paraId="70476E5D"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10.43 ± 0.69</w:t>
            </w:r>
          </w:p>
        </w:tc>
      </w:tr>
      <w:tr w:rsidR="0072173E" w14:paraId="1FA663EE" w14:textId="77777777" w:rsidTr="00454909">
        <w:trPr>
          <w:jc w:val="center"/>
        </w:trPr>
        <w:tc>
          <w:tcPr>
            <w:tcW w:w="3402" w:type="dxa"/>
            <w:tcBorders>
              <w:top w:val="nil"/>
              <w:left w:val="nil"/>
              <w:bottom w:val="nil"/>
              <w:right w:val="nil"/>
            </w:tcBorders>
          </w:tcPr>
          <w:p w14:paraId="65CD1A2D" w14:textId="77777777" w:rsidR="0072173E" w:rsidRDefault="0072173E" w:rsidP="0072173E">
            <w:pPr>
              <w:spacing w:line="360" w:lineRule="auto"/>
              <w:jc w:val="both"/>
              <w:rPr>
                <w:rFonts w:ascii="Times New Roman" w:hAnsi="Times New Roman" w:cs="Times New Roman"/>
                <w:sz w:val="24"/>
                <w:szCs w:val="24"/>
              </w:rPr>
            </w:pPr>
          </w:p>
        </w:tc>
        <w:tc>
          <w:tcPr>
            <w:tcW w:w="1701" w:type="dxa"/>
            <w:tcBorders>
              <w:top w:val="nil"/>
              <w:left w:val="nil"/>
              <w:bottom w:val="nil"/>
              <w:right w:val="nil"/>
            </w:tcBorders>
          </w:tcPr>
          <w:p w14:paraId="08722FF4" w14:textId="77777777" w:rsidR="0072173E" w:rsidRDefault="0072173E" w:rsidP="0072173E">
            <w:pPr>
              <w:spacing w:line="360" w:lineRule="auto"/>
              <w:rPr>
                <w:rFonts w:ascii="Times New Roman" w:hAnsi="Times New Roman" w:cs="Times New Roman"/>
                <w:sz w:val="24"/>
                <w:szCs w:val="24"/>
              </w:rPr>
            </w:pPr>
          </w:p>
        </w:tc>
      </w:tr>
      <w:tr w:rsidR="0072173E" w14:paraId="522FF1DC" w14:textId="77777777" w:rsidTr="00454909">
        <w:trPr>
          <w:jc w:val="center"/>
        </w:trPr>
        <w:tc>
          <w:tcPr>
            <w:tcW w:w="3402" w:type="dxa"/>
            <w:tcBorders>
              <w:top w:val="nil"/>
              <w:left w:val="nil"/>
              <w:bottom w:val="nil"/>
              <w:right w:val="nil"/>
            </w:tcBorders>
            <w:hideMark/>
          </w:tcPr>
          <w:p w14:paraId="4D547574"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Moisture (%)</w:t>
            </w:r>
          </w:p>
        </w:tc>
        <w:tc>
          <w:tcPr>
            <w:tcW w:w="1701" w:type="dxa"/>
            <w:tcBorders>
              <w:top w:val="nil"/>
              <w:left w:val="nil"/>
              <w:bottom w:val="nil"/>
              <w:right w:val="nil"/>
            </w:tcBorders>
            <w:hideMark/>
          </w:tcPr>
          <w:p w14:paraId="3C2AD4BC"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9.02 ± 0.05</w:t>
            </w:r>
          </w:p>
        </w:tc>
      </w:tr>
      <w:tr w:rsidR="0072173E" w14:paraId="4B4C4496" w14:textId="77777777" w:rsidTr="00454909">
        <w:trPr>
          <w:jc w:val="center"/>
        </w:trPr>
        <w:tc>
          <w:tcPr>
            <w:tcW w:w="3402" w:type="dxa"/>
            <w:tcBorders>
              <w:top w:val="nil"/>
              <w:left w:val="nil"/>
              <w:bottom w:val="nil"/>
              <w:right w:val="nil"/>
            </w:tcBorders>
            <w:hideMark/>
          </w:tcPr>
          <w:p w14:paraId="145E5C4B"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Ash (%)</w:t>
            </w:r>
          </w:p>
        </w:tc>
        <w:tc>
          <w:tcPr>
            <w:tcW w:w="1701" w:type="dxa"/>
            <w:tcBorders>
              <w:top w:val="nil"/>
              <w:left w:val="nil"/>
              <w:bottom w:val="nil"/>
              <w:right w:val="nil"/>
            </w:tcBorders>
            <w:hideMark/>
          </w:tcPr>
          <w:p w14:paraId="030754C9"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7.22 ± 2.1</w:t>
            </w:r>
          </w:p>
        </w:tc>
      </w:tr>
      <w:tr w:rsidR="0072173E" w14:paraId="201EBBEB" w14:textId="77777777" w:rsidTr="00454909">
        <w:trPr>
          <w:jc w:val="center"/>
        </w:trPr>
        <w:tc>
          <w:tcPr>
            <w:tcW w:w="3402" w:type="dxa"/>
            <w:tcBorders>
              <w:top w:val="nil"/>
              <w:left w:val="nil"/>
              <w:bottom w:val="nil"/>
              <w:right w:val="nil"/>
            </w:tcBorders>
          </w:tcPr>
          <w:p w14:paraId="47F016B8" w14:textId="77777777" w:rsidR="0072173E" w:rsidRDefault="0072173E" w:rsidP="0072173E">
            <w:pPr>
              <w:spacing w:line="360" w:lineRule="auto"/>
              <w:jc w:val="both"/>
              <w:rPr>
                <w:rFonts w:ascii="Times New Roman" w:hAnsi="Times New Roman" w:cs="Times New Roman"/>
                <w:sz w:val="24"/>
                <w:szCs w:val="24"/>
              </w:rPr>
            </w:pPr>
          </w:p>
        </w:tc>
        <w:tc>
          <w:tcPr>
            <w:tcW w:w="1701" w:type="dxa"/>
            <w:tcBorders>
              <w:top w:val="nil"/>
              <w:left w:val="nil"/>
              <w:bottom w:val="nil"/>
              <w:right w:val="nil"/>
            </w:tcBorders>
          </w:tcPr>
          <w:p w14:paraId="60A474B9" w14:textId="77777777" w:rsidR="0072173E" w:rsidRDefault="0072173E" w:rsidP="0072173E">
            <w:pPr>
              <w:spacing w:line="360" w:lineRule="auto"/>
              <w:rPr>
                <w:rFonts w:ascii="Times New Roman" w:hAnsi="Times New Roman" w:cs="Times New Roman"/>
                <w:sz w:val="24"/>
                <w:szCs w:val="24"/>
              </w:rPr>
            </w:pPr>
          </w:p>
        </w:tc>
      </w:tr>
      <w:tr w:rsidR="0072173E" w14:paraId="3B0C8C04" w14:textId="77777777" w:rsidTr="00454909">
        <w:trPr>
          <w:jc w:val="center"/>
        </w:trPr>
        <w:tc>
          <w:tcPr>
            <w:tcW w:w="3402" w:type="dxa"/>
            <w:tcBorders>
              <w:top w:val="nil"/>
              <w:left w:val="nil"/>
              <w:bottom w:val="nil"/>
              <w:right w:val="nil"/>
            </w:tcBorders>
            <w:hideMark/>
          </w:tcPr>
          <w:p w14:paraId="561BF0A0"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Total carbohydrates (</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08EB0431"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27.0 ± 1.09</w:t>
            </w:r>
          </w:p>
        </w:tc>
      </w:tr>
      <w:tr w:rsidR="0072173E" w14:paraId="2D0D7289" w14:textId="77777777" w:rsidTr="00454909">
        <w:trPr>
          <w:jc w:val="center"/>
        </w:trPr>
        <w:tc>
          <w:tcPr>
            <w:tcW w:w="3402" w:type="dxa"/>
            <w:tcBorders>
              <w:top w:val="nil"/>
              <w:left w:val="nil"/>
              <w:bottom w:val="nil"/>
              <w:right w:val="nil"/>
            </w:tcBorders>
            <w:hideMark/>
          </w:tcPr>
          <w:p w14:paraId="6B64427A"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Starch (</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00573809"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5.27 ± 1.03</w:t>
            </w:r>
          </w:p>
        </w:tc>
      </w:tr>
      <w:tr w:rsidR="0072173E" w14:paraId="0C93F7E3" w14:textId="77777777" w:rsidTr="00454909">
        <w:trPr>
          <w:jc w:val="center"/>
        </w:trPr>
        <w:tc>
          <w:tcPr>
            <w:tcW w:w="3402" w:type="dxa"/>
            <w:tcBorders>
              <w:top w:val="nil"/>
              <w:left w:val="nil"/>
              <w:bottom w:val="nil"/>
              <w:right w:val="nil"/>
            </w:tcBorders>
            <w:hideMark/>
          </w:tcPr>
          <w:p w14:paraId="77EFAD43"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Reducing sugar (</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40D6D41B"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19.6 ± 0.28</w:t>
            </w:r>
          </w:p>
        </w:tc>
      </w:tr>
      <w:tr w:rsidR="0072173E" w14:paraId="7210025D" w14:textId="77777777" w:rsidTr="00454909">
        <w:trPr>
          <w:jc w:val="center"/>
        </w:trPr>
        <w:tc>
          <w:tcPr>
            <w:tcW w:w="3402" w:type="dxa"/>
            <w:tcBorders>
              <w:top w:val="nil"/>
              <w:left w:val="nil"/>
              <w:bottom w:val="nil"/>
              <w:right w:val="nil"/>
            </w:tcBorders>
            <w:hideMark/>
          </w:tcPr>
          <w:p w14:paraId="23997E68"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Protein (</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5293256F"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3.09 ± 0.97</w:t>
            </w:r>
          </w:p>
        </w:tc>
      </w:tr>
      <w:tr w:rsidR="0072173E" w14:paraId="18C336C0" w14:textId="77777777" w:rsidTr="00454909">
        <w:trPr>
          <w:jc w:val="center"/>
        </w:trPr>
        <w:tc>
          <w:tcPr>
            <w:tcW w:w="3402" w:type="dxa"/>
            <w:tcBorders>
              <w:top w:val="nil"/>
              <w:left w:val="nil"/>
              <w:bottom w:val="nil"/>
              <w:right w:val="nil"/>
            </w:tcBorders>
          </w:tcPr>
          <w:p w14:paraId="6B37B154" w14:textId="77777777" w:rsidR="0072173E" w:rsidRDefault="0072173E" w:rsidP="0072173E">
            <w:pPr>
              <w:spacing w:line="360" w:lineRule="auto"/>
              <w:jc w:val="both"/>
              <w:rPr>
                <w:rFonts w:ascii="Times New Roman" w:hAnsi="Times New Roman" w:cs="Times New Roman"/>
                <w:sz w:val="24"/>
                <w:szCs w:val="24"/>
              </w:rPr>
            </w:pPr>
          </w:p>
        </w:tc>
        <w:tc>
          <w:tcPr>
            <w:tcW w:w="1701" w:type="dxa"/>
            <w:tcBorders>
              <w:top w:val="nil"/>
              <w:left w:val="nil"/>
              <w:bottom w:val="nil"/>
              <w:right w:val="nil"/>
            </w:tcBorders>
          </w:tcPr>
          <w:p w14:paraId="529AD3FB" w14:textId="77777777" w:rsidR="0072173E" w:rsidRDefault="0072173E" w:rsidP="0072173E">
            <w:pPr>
              <w:spacing w:line="360" w:lineRule="auto"/>
              <w:rPr>
                <w:rFonts w:ascii="Times New Roman" w:eastAsia="Times New Roman" w:hAnsi="Times New Roman" w:cs="Times New Roman"/>
                <w:color w:val="000000"/>
                <w:sz w:val="24"/>
                <w:szCs w:val="24"/>
                <w:lang w:eastAsia="en-IN"/>
              </w:rPr>
            </w:pPr>
          </w:p>
        </w:tc>
      </w:tr>
      <w:tr w:rsidR="0072173E" w14:paraId="08C2E4A2" w14:textId="77777777" w:rsidTr="00454909">
        <w:trPr>
          <w:jc w:val="center"/>
        </w:trPr>
        <w:tc>
          <w:tcPr>
            <w:tcW w:w="3402" w:type="dxa"/>
            <w:tcBorders>
              <w:top w:val="nil"/>
              <w:left w:val="nil"/>
              <w:bottom w:val="nil"/>
              <w:right w:val="nil"/>
            </w:tcBorders>
            <w:hideMark/>
          </w:tcPr>
          <w:p w14:paraId="1418332D"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Minerals</w:t>
            </w:r>
          </w:p>
        </w:tc>
        <w:tc>
          <w:tcPr>
            <w:tcW w:w="1701" w:type="dxa"/>
            <w:tcBorders>
              <w:top w:val="nil"/>
              <w:left w:val="nil"/>
              <w:bottom w:val="nil"/>
              <w:right w:val="nil"/>
            </w:tcBorders>
          </w:tcPr>
          <w:p w14:paraId="7F700D80" w14:textId="77777777" w:rsidR="0072173E" w:rsidRDefault="0072173E" w:rsidP="0072173E">
            <w:pPr>
              <w:spacing w:line="360" w:lineRule="auto"/>
              <w:rPr>
                <w:rFonts w:ascii="Times New Roman" w:hAnsi="Times New Roman" w:cs="Times New Roman"/>
                <w:sz w:val="24"/>
                <w:szCs w:val="24"/>
              </w:rPr>
            </w:pPr>
          </w:p>
        </w:tc>
      </w:tr>
      <w:tr w:rsidR="0072173E" w14:paraId="05B05D96" w14:textId="77777777" w:rsidTr="00454909">
        <w:trPr>
          <w:jc w:val="center"/>
        </w:trPr>
        <w:tc>
          <w:tcPr>
            <w:tcW w:w="3402" w:type="dxa"/>
            <w:tcBorders>
              <w:top w:val="nil"/>
              <w:left w:val="nil"/>
              <w:bottom w:val="nil"/>
              <w:right w:val="nil"/>
            </w:tcBorders>
            <w:hideMark/>
          </w:tcPr>
          <w:p w14:paraId="37C9DB84"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Calcium (m</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55F7276D"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 xml:space="preserve">17.87 </w:t>
            </w:r>
            <w:r>
              <w:rPr>
                <w:rFonts w:ascii="Times New Roman" w:eastAsia="Times New Roman" w:hAnsi="Times New Roman" w:cs="Times New Roman"/>
                <w:color w:val="000000"/>
                <w:sz w:val="24"/>
                <w:szCs w:val="24"/>
                <w:lang w:eastAsia="en-IN"/>
              </w:rPr>
              <w:t>±</w:t>
            </w:r>
            <w:r>
              <w:rPr>
                <w:rFonts w:ascii="Times New Roman" w:hAnsi="Times New Roman" w:cs="Times New Roman"/>
                <w:sz w:val="24"/>
                <w:szCs w:val="24"/>
              </w:rPr>
              <w:t xml:space="preserve"> 0.7</w:t>
            </w:r>
          </w:p>
        </w:tc>
      </w:tr>
      <w:tr w:rsidR="0072173E" w14:paraId="0E1BA84F" w14:textId="77777777" w:rsidTr="00454909">
        <w:trPr>
          <w:jc w:val="center"/>
        </w:trPr>
        <w:tc>
          <w:tcPr>
            <w:tcW w:w="3402" w:type="dxa"/>
            <w:tcBorders>
              <w:top w:val="nil"/>
              <w:left w:val="nil"/>
              <w:bottom w:val="nil"/>
              <w:right w:val="nil"/>
            </w:tcBorders>
            <w:hideMark/>
          </w:tcPr>
          <w:p w14:paraId="5A0306ED"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Magnesium (m</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412D9E38"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14.53 ± 0.49</w:t>
            </w:r>
          </w:p>
        </w:tc>
      </w:tr>
      <w:tr w:rsidR="0072173E" w14:paraId="711E63AB" w14:textId="77777777" w:rsidTr="00454909">
        <w:trPr>
          <w:jc w:val="center"/>
        </w:trPr>
        <w:tc>
          <w:tcPr>
            <w:tcW w:w="3402" w:type="dxa"/>
            <w:tcBorders>
              <w:top w:val="nil"/>
              <w:left w:val="nil"/>
              <w:bottom w:val="nil"/>
              <w:right w:val="nil"/>
            </w:tcBorders>
            <w:hideMark/>
          </w:tcPr>
          <w:p w14:paraId="561489A2"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Sodium (m</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6CF0E8C3"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8.96 ± 0.22</w:t>
            </w:r>
          </w:p>
        </w:tc>
      </w:tr>
      <w:tr w:rsidR="0072173E" w14:paraId="2215D318" w14:textId="77777777" w:rsidTr="00454909">
        <w:trPr>
          <w:jc w:val="center"/>
        </w:trPr>
        <w:tc>
          <w:tcPr>
            <w:tcW w:w="3402" w:type="dxa"/>
            <w:tcBorders>
              <w:top w:val="nil"/>
              <w:left w:val="nil"/>
              <w:bottom w:val="nil"/>
              <w:right w:val="nil"/>
            </w:tcBorders>
            <w:hideMark/>
          </w:tcPr>
          <w:p w14:paraId="35E28771"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Iron (m</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4E72B851"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4.7 ± 1.17</w:t>
            </w:r>
          </w:p>
        </w:tc>
      </w:tr>
      <w:tr w:rsidR="0072173E" w14:paraId="269E700D" w14:textId="77777777" w:rsidTr="00454909">
        <w:trPr>
          <w:jc w:val="center"/>
        </w:trPr>
        <w:tc>
          <w:tcPr>
            <w:tcW w:w="3402" w:type="dxa"/>
            <w:tcBorders>
              <w:top w:val="nil"/>
              <w:left w:val="nil"/>
              <w:bottom w:val="nil"/>
              <w:right w:val="nil"/>
            </w:tcBorders>
            <w:hideMark/>
          </w:tcPr>
          <w:p w14:paraId="3A500720"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Copper (m</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2B2E3470"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 xml:space="preserve">0.53 </w:t>
            </w:r>
            <w:r>
              <w:rPr>
                <w:rFonts w:ascii="Times New Roman" w:eastAsia="Times New Roman" w:hAnsi="Times New Roman" w:cs="Times New Roman"/>
                <w:color w:val="000000"/>
                <w:sz w:val="24"/>
                <w:szCs w:val="24"/>
                <w:lang w:eastAsia="en-IN"/>
              </w:rPr>
              <w:t>± 0.04</w:t>
            </w:r>
          </w:p>
        </w:tc>
      </w:tr>
      <w:tr w:rsidR="0072173E" w14:paraId="48365768" w14:textId="77777777" w:rsidTr="00454909">
        <w:trPr>
          <w:jc w:val="center"/>
        </w:trPr>
        <w:tc>
          <w:tcPr>
            <w:tcW w:w="3402" w:type="dxa"/>
            <w:tcBorders>
              <w:top w:val="nil"/>
              <w:left w:val="nil"/>
              <w:bottom w:val="nil"/>
              <w:right w:val="nil"/>
            </w:tcBorders>
            <w:hideMark/>
          </w:tcPr>
          <w:p w14:paraId="273D6184"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Zinc (m</w:t>
            </w:r>
            <w:r>
              <w:rPr>
                <w:rFonts w:ascii="Times New Roman" w:eastAsia="Times New Roman" w:hAnsi="Times New Roman" w:cs="Times New Roman"/>
                <w:color w:val="000000"/>
                <w:sz w:val="24"/>
                <w:szCs w:val="24"/>
                <w:lang w:eastAsia="en-IN"/>
              </w:rPr>
              <w:t>g/100g)</w:t>
            </w:r>
          </w:p>
        </w:tc>
        <w:tc>
          <w:tcPr>
            <w:tcW w:w="1701" w:type="dxa"/>
            <w:tcBorders>
              <w:top w:val="nil"/>
              <w:left w:val="nil"/>
              <w:bottom w:val="nil"/>
              <w:right w:val="nil"/>
            </w:tcBorders>
            <w:hideMark/>
          </w:tcPr>
          <w:p w14:paraId="78D2C0AB"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 xml:space="preserve">0.58 </w:t>
            </w:r>
            <w:r>
              <w:rPr>
                <w:rFonts w:ascii="Times New Roman" w:eastAsia="Times New Roman" w:hAnsi="Times New Roman" w:cs="Times New Roman"/>
                <w:color w:val="000000"/>
                <w:sz w:val="24"/>
                <w:szCs w:val="24"/>
                <w:lang w:eastAsia="en-IN"/>
              </w:rPr>
              <w:t>± 0.08</w:t>
            </w:r>
          </w:p>
        </w:tc>
      </w:tr>
      <w:tr w:rsidR="0072173E" w14:paraId="7A6DAD17" w14:textId="77777777" w:rsidTr="00454909">
        <w:trPr>
          <w:jc w:val="center"/>
        </w:trPr>
        <w:tc>
          <w:tcPr>
            <w:tcW w:w="3402" w:type="dxa"/>
            <w:tcBorders>
              <w:top w:val="nil"/>
              <w:left w:val="nil"/>
              <w:bottom w:val="single" w:sz="4" w:space="0" w:color="auto"/>
              <w:right w:val="nil"/>
            </w:tcBorders>
            <w:hideMark/>
          </w:tcPr>
          <w:p w14:paraId="67C41136" w14:textId="77777777" w:rsidR="0072173E" w:rsidRDefault="0072173E" w:rsidP="007217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Manganese (m</w:t>
            </w:r>
            <w:r>
              <w:rPr>
                <w:rFonts w:ascii="Times New Roman" w:eastAsia="Times New Roman" w:hAnsi="Times New Roman" w:cs="Times New Roman"/>
                <w:color w:val="000000"/>
                <w:sz w:val="24"/>
                <w:szCs w:val="24"/>
                <w:lang w:eastAsia="en-IN"/>
              </w:rPr>
              <w:t>g/100g)</w:t>
            </w:r>
          </w:p>
        </w:tc>
        <w:tc>
          <w:tcPr>
            <w:tcW w:w="1701" w:type="dxa"/>
            <w:tcBorders>
              <w:top w:val="nil"/>
              <w:left w:val="nil"/>
              <w:bottom w:val="single" w:sz="4" w:space="0" w:color="auto"/>
              <w:right w:val="nil"/>
            </w:tcBorders>
            <w:hideMark/>
          </w:tcPr>
          <w:p w14:paraId="67D53C0D"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 xml:space="preserve">0.25 </w:t>
            </w:r>
            <w:r>
              <w:rPr>
                <w:rFonts w:ascii="Times New Roman" w:eastAsia="Times New Roman" w:hAnsi="Times New Roman" w:cs="Times New Roman"/>
                <w:color w:val="000000"/>
                <w:sz w:val="24"/>
                <w:szCs w:val="24"/>
                <w:lang w:eastAsia="en-IN"/>
              </w:rPr>
              <w:t>± 0.06</w:t>
            </w:r>
          </w:p>
        </w:tc>
      </w:tr>
    </w:tbl>
    <w:p w14:paraId="5C963A8C" w14:textId="77777777" w:rsidR="0072173E" w:rsidRPr="0072173E" w:rsidRDefault="0072173E" w:rsidP="0072173E">
      <w:pPr>
        <w:spacing w:line="480" w:lineRule="auto"/>
        <w:ind w:left="1440" w:firstLine="720"/>
        <w:jc w:val="both"/>
        <w:rPr>
          <w:rFonts w:ascii="Times New Roman" w:hAnsi="Times New Roman" w:cs="Times New Roman"/>
          <w:sz w:val="24"/>
          <w:szCs w:val="24"/>
        </w:rPr>
      </w:pPr>
      <w:r w:rsidRPr="0072173E">
        <w:rPr>
          <w:rFonts w:ascii="Times New Roman" w:hAnsi="Times New Roman" w:cs="Times New Roman"/>
          <w:sz w:val="24"/>
          <w:szCs w:val="24"/>
        </w:rPr>
        <w:t>*Mean ± SD of triplicates except for banana weight (n=10)</w:t>
      </w:r>
    </w:p>
    <w:p w14:paraId="5AC1D482" w14:textId="054871B1" w:rsidR="0072173E" w:rsidRDefault="0072173E" w:rsidP="0072173E">
      <w:pPr>
        <w:spacing w:line="480" w:lineRule="auto"/>
        <w:jc w:val="both"/>
        <w:rPr>
          <w:rFonts w:ascii="Times New Roman" w:hAnsi="Times New Roman" w:cs="Times New Roman"/>
          <w:sz w:val="24"/>
          <w:szCs w:val="24"/>
        </w:rPr>
      </w:pPr>
      <w:r>
        <w:rPr>
          <w:rFonts w:ascii="Times New Roman" w:hAnsi="Times New Roman" w:cs="Times New Roman"/>
          <w:b/>
          <w:bCs/>
          <w:sz w:val="24"/>
          <w:szCs w:val="24"/>
        </w:rPr>
        <w:t>Table S2</w:t>
      </w:r>
      <w:r>
        <w:rPr>
          <w:rFonts w:ascii="Times New Roman" w:hAnsi="Times New Roman" w:cs="Times New Roman"/>
          <w:sz w:val="24"/>
          <w:szCs w:val="24"/>
        </w:rPr>
        <w:t xml:space="preserve"> Total phenolic, flavonoid, and tannin content of </w:t>
      </w:r>
      <w:r>
        <w:rPr>
          <w:rFonts w:ascii="Times New Roman" w:hAnsi="Times New Roman" w:cs="Times New Roman"/>
          <w:i/>
          <w:iCs/>
          <w:sz w:val="24"/>
          <w:szCs w:val="24"/>
        </w:rPr>
        <w:t>M. balbisiana</w:t>
      </w:r>
      <w:r>
        <w:rPr>
          <w:rFonts w:ascii="Times New Roman" w:hAnsi="Times New Roman" w:cs="Times New Roman"/>
          <w:sz w:val="24"/>
          <w:szCs w:val="24"/>
        </w:rPr>
        <w:t xml:space="preserve"> seed extract and its fractions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72173E" w14:paraId="0E48ED86" w14:textId="77777777" w:rsidTr="00454909">
        <w:trPr>
          <w:trHeight w:val="653"/>
          <w:jc w:val="center"/>
        </w:trPr>
        <w:tc>
          <w:tcPr>
            <w:tcW w:w="2254" w:type="dxa"/>
            <w:tcBorders>
              <w:top w:val="single" w:sz="4" w:space="0" w:color="auto"/>
              <w:left w:val="nil"/>
              <w:bottom w:val="single" w:sz="4" w:space="0" w:color="auto"/>
              <w:right w:val="nil"/>
            </w:tcBorders>
            <w:shd w:val="clear" w:color="auto" w:fill="F2F2F2" w:themeFill="background1" w:themeFillShade="F2"/>
            <w:hideMark/>
          </w:tcPr>
          <w:p w14:paraId="59026640"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Sample</w:t>
            </w:r>
          </w:p>
        </w:tc>
        <w:tc>
          <w:tcPr>
            <w:tcW w:w="2254" w:type="dxa"/>
            <w:tcBorders>
              <w:top w:val="single" w:sz="4" w:space="0" w:color="auto"/>
              <w:left w:val="nil"/>
              <w:bottom w:val="single" w:sz="4" w:space="0" w:color="auto"/>
              <w:right w:val="nil"/>
            </w:tcBorders>
            <w:shd w:val="clear" w:color="auto" w:fill="F2F2F2" w:themeFill="background1" w:themeFillShade="F2"/>
            <w:hideMark/>
          </w:tcPr>
          <w:p w14:paraId="4C199C16"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Total phenolic content (</w:t>
            </w:r>
            <w:r>
              <w:rPr>
                <w:rFonts w:ascii="Times New Roman" w:eastAsia="Calibri" w:hAnsi="Times New Roman" w:cs="Times New Roman"/>
                <w:color w:val="000000" w:themeColor="text1"/>
                <w:sz w:val="24"/>
                <w:szCs w:val="24"/>
              </w:rPr>
              <w:t>mg GAE/g)</w:t>
            </w:r>
          </w:p>
        </w:tc>
        <w:tc>
          <w:tcPr>
            <w:tcW w:w="2254" w:type="dxa"/>
            <w:tcBorders>
              <w:top w:val="single" w:sz="4" w:space="0" w:color="auto"/>
              <w:left w:val="nil"/>
              <w:bottom w:val="single" w:sz="4" w:space="0" w:color="auto"/>
              <w:right w:val="nil"/>
            </w:tcBorders>
            <w:shd w:val="clear" w:color="auto" w:fill="F2F2F2" w:themeFill="background1" w:themeFillShade="F2"/>
            <w:hideMark/>
          </w:tcPr>
          <w:p w14:paraId="0D85D4FB"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Total flavonoid content (</w:t>
            </w:r>
            <w:r>
              <w:rPr>
                <w:rFonts w:ascii="Times New Roman" w:eastAsia="Calibri" w:hAnsi="Times New Roman" w:cs="Times New Roman"/>
                <w:color w:val="000000" w:themeColor="text1"/>
                <w:sz w:val="24"/>
                <w:szCs w:val="24"/>
              </w:rPr>
              <w:t>mg QE/g)</w:t>
            </w:r>
          </w:p>
        </w:tc>
        <w:tc>
          <w:tcPr>
            <w:tcW w:w="2254" w:type="dxa"/>
            <w:tcBorders>
              <w:top w:val="single" w:sz="4" w:space="0" w:color="auto"/>
              <w:left w:val="nil"/>
              <w:bottom w:val="single" w:sz="4" w:space="0" w:color="auto"/>
              <w:right w:val="nil"/>
            </w:tcBorders>
            <w:shd w:val="clear" w:color="auto" w:fill="F2F2F2" w:themeFill="background1" w:themeFillShade="F2"/>
            <w:hideMark/>
          </w:tcPr>
          <w:p w14:paraId="6248649E"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sz w:val="24"/>
                <w:szCs w:val="24"/>
              </w:rPr>
              <w:t>Total tannin content (mg CE/g)</w:t>
            </w:r>
          </w:p>
        </w:tc>
      </w:tr>
      <w:tr w:rsidR="0072173E" w14:paraId="19BD7DA7" w14:textId="77777777" w:rsidTr="00454909">
        <w:trPr>
          <w:jc w:val="center"/>
        </w:trPr>
        <w:tc>
          <w:tcPr>
            <w:tcW w:w="2254" w:type="dxa"/>
            <w:tcBorders>
              <w:top w:val="single" w:sz="4" w:space="0" w:color="auto"/>
              <w:left w:val="nil"/>
              <w:bottom w:val="nil"/>
              <w:right w:val="nil"/>
            </w:tcBorders>
            <w:hideMark/>
          </w:tcPr>
          <w:p w14:paraId="1ECCE547"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ME</w:t>
            </w:r>
          </w:p>
        </w:tc>
        <w:tc>
          <w:tcPr>
            <w:tcW w:w="2254" w:type="dxa"/>
            <w:tcBorders>
              <w:top w:val="single" w:sz="4" w:space="0" w:color="auto"/>
              <w:left w:val="nil"/>
              <w:bottom w:val="nil"/>
              <w:right w:val="nil"/>
            </w:tcBorders>
            <w:hideMark/>
          </w:tcPr>
          <w:p w14:paraId="3584A617"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kern w:val="24"/>
                <w:sz w:val="24"/>
                <w:szCs w:val="24"/>
              </w:rPr>
              <w:t>59.5 ± 0.28</w:t>
            </w:r>
            <w:r>
              <w:rPr>
                <w:rFonts w:ascii="Times New Roman" w:hAnsi="Times New Roman" w:cs="Times New Roman"/>
                <w:color w:val="000000" w:themeColor="text1"/>
                <w:kern w:val="24"/>
                <w:sz w:val="24"/>
                <w:szCs w:val="24"/>
                <w:vertAlign w:val="superscript"/>
              </w:rPr>
              <w:t>b</w:t>
            </w:r>
          </w:p>
        </w:tc>
        <w:tc>
          <w:tcPr>
            <w:tcW w:w="2254" w:type="dxa"/>
            <w:tcBorders>
              <w:top w:val="single" w:sz="4" w:space="0" w:color="auto"/>
              <w:left w:val="nil"/>
              <w:bottom w:val="nil"/>
              <w:right w:val="nil"/>
            </w:tcBorders>
            <w:hideMark/>
          </w:tcPr>
          <w:p w14:paraId="3CE49D44"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kern w:val="24"/>
                <w:sz w:val="24"/>
                <w:szCs w:val="24"/>
              </w:rPr>
              <w:t>2.38 ± 0.19</w:t>
            </w:r>
            <w:r>
              <w:rPr>
                <w:rFonts w:ascii="Times New Roman" w:hAnsi="Times New Roman" w:cs="Times New Roman"/>
                <w:color w:val="000000" w:themeColor="text1"/>
                <w:kern w:val="24"/>
                <w:sz w:val="24"/>
                <w:szCs w:val="24"/>
                <w:vertAlign w:val="superscript"/>
              </w:rPr>
              <w:t>c</w:t>
            </w:r>
          </w:p>
        </w:tc>
        <w:tc>
          <w:tcPr>
            <w:tcW w:w="2254" w:type="dxa"/>
            <w:tcBorders>
              <w:top w:val="single" w:sz="4" w:space="0" w:color="auto"/>
              <w:left w:val="nil"/>
              <w:bottom w:val="nil"/>
              <w:right w:val="nil"/>
            </w:tcBorders>
            <w:hideMark/>
          </w:tcPr>
          <w:p w14:paraId="29721C89"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 xml:space="preserve">35.01 </w:t>
            </w:r>
            <w:r>
              <w:rPr>
                <w:rFonts w:ascii="Times New Roman" w:hAnsi="Times New Roman" w:cs="Times New Roman"/>
                <w:color w:val="000000" w:themeColor="text1"/>
                <w:kern w:val="24"/>
                <w:sz w:val="24"/>
                <w:szCs w:val="24"/>
              </w:rPr>
              <w:t>± 0.</w:t>
            </w:r>
            <w:r>
              <w:rPr>
                <w:rFonts w:ascii="Times New Roman" w:eastAsia="Times New Roman" w:hAnsi="Times New Roman" w:cs="Times New Roman"/>
                <w:color w:val="000000"/>
                <w:sz w:val="24"/>
                <w:szCs w:val="24"/>
                <w:lang w:eastAsia="en-IN"/>
              </w:rPr>
              <w:t>57</w:t>
            </w:r>
            <w:r>
              <w:rPr>
                <w:rFonts w:ascii="Times New Roman" w:hAnsi="Times New Roman" w:cs="Times New Roman"/>
                <w:color w:val="000000" w:themeColor="text1"/>
                <w:kern w:val="24"/>
                <w:sz w:val="24"/>
                <w:szCs w:val="24"/>
                <w:vertAlign w:val="superscript"/>
              </w:rPr>
              <w:t>c</w:t>
            </w:r>
          </w:p>
        </w:tc>
      </w:tr>
      <w:tr w:rsidR="0072173E" w14:paraId="04CBD33B" w14:textId="77777777" w:rsidTr="00454909">
        <w:trPr>
          <w:jc w:val="center"/>
        </w:trPr>
        <w:tc>
          <w:tcPr>
            <w:tcW w:w="2254" w:type="dxa"/>
            <w:vAlign w:val="bottom"/>
            <w:hideMark/>
          </w:tcPr>
          <w:p w14:paraId="158A26E5"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EAF</w:t>
            </w:r>
          </w:p>
        </w:tc>
        <w:tc>
          <w:tcPr>
            <w:tcW w:w="2254" w:type="dxa"/>
            <w:hideMark/>
          </w:tcPr>
          <w:p w14:paraId="7002CDA5"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kern w:val="24"/>
                <w:sz w:val="24"/>
                <w:szCs w:val="24"/>
              </w:rPr>
              <w:t>61.53 ± 0.11</w:t>
            </w:r>
            <w:r>
              <w:rPr>
                <w:rFonts w:ascii="Times New Roman" w:hAnsi="Times New Roman" w:cs="Times New Roman"/>
                <w:color w:val="000000" w:themeColor="text1"/>
                <w:kern w:val="24"/>
                <w:sz w:val="24"/>
                <w:szCs w:val="24"/>
                <w:vertAlign w:val="superscript"/>
              </w:rPr>
              <w:t>a</w:t>
            </w:r>
          </w:p>
        </w:tc>
        <w:tc>
          <w:tcPr>
            <w:tcW w:w="2254" w:type="dxa"/>
            <w:hideMark/>
          </w:tcPr>
          <w:p w14:paraId="36982475"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kern w:val="24"/>
                <w:sz w:val="24"/>
                <w:szCs w:val="24"/>
              </w:rPr>
              <w:t>6.00 ± 0.04</w:t>
            </w:r>
            <w:r>
              <w:rPr>
                <w:rFonts w:ascii="Times New Roman" w:hAnsi="Times New Roman" w:cs="Times New Roman"/>
                <w:color w:val="000000" w:themeColor="text1"/>
                <w:kern w:val="24"/>
                <w:sz w:val="24"/>
                <w:szCs w:val="24"/>
                <w:vertAlign w:val="superscript"/>
              </w:rPr>
              <w:t>a</w:t>
            </w:r>
          </w:p>
        </w:tc>
        <w:tc>
          <w:tcPr>
            <w:tcW w:w="2254" w:type="dxa"/>
            <w:hideMark/>
          </w:tcPr>
          <w:p w14:paraId="05BB7D8A" w14:textId="77777777" w:rsidR="0072173E" w:rsidRDefault="0072173E" w:rsidP="0072173E">
            <w:pPr>
              <w:spacing w:line="360" w:lineRule="auto"/>
              <w:rPr>
                <w:rFonts w:ascii="Times New Roman" w:hAnsi="Times New Roman" w:cs="Times New Roman"/>
                <w:sz w:val="24"/>
                <w:szCs w:val="24"/>
              </w:rPr>
            </w:pPr>
            <w:bookmarkStart w:id="2" w:name="_Hlk129093446"/>
            <w:r>
              <w:rPr>
                <w:rFonts w:ascii="Times New Roman" w:eastAsia="Times New Roman" w:hAnsi="Times New Roman" w:cs="Times New Roman"/>
                <w:color w:val="000000"/>
                <w:sz w:val="24"/>
                <w:szCs w:val="24"/>
                <w:lang w:eastAsia="en-IN"/>
              </w:rPr>
              <w:t xml:space="preserve">59.43 </w:t>
            </w:r>
            <w:r>
              <w:rPr>
                <w:rFonts w:ascii="Times New Roman" w:hAnsi="Times New Roman" w:cs="Times New Roman"/>
                <w:color w:val="000000" w:themeColor="text1"/>
                <w:kern w:val="24"/>
                <w:sz w:val="24"/>
                <w:szCs w:val="24"/>
              </w:rPr>
              <w:t>± 0.</w:t>
            </w:r>
            <w:r>
              <w:rPr>
                <w:rFonts w:ascii="Times New Roman" w:eastAsia="Times New Roman" w:hAnsi="Times New Roman" w:cs="Times New Roman"/>
                <w:color w:val="000000"/>
                <w:sz w:val="24"/>
                <w:szCs w:val="24"/>
                <w:lang w:eastAsia="en-IN"/>
              </w:rPr>
              <w:t>55</w:t>
            </w:r>
            <w:bookmarkEnd w:id="2"/>
            <w:r>
              <w:rPr>
                <w:rFonts w:ascii="Times New Roman" w:hAnsi="Times New Roman" w:cs="Times New Roman"/>
                <w:color w:val="000000" w:themeColor="text1"/>
                <w:kern w:val="24"/>
                <w:sz w:val="24"/>
                <w:szCs w:val="24"/>
                <w:vertAlign w:val="superscript"/>
              </w:rPr>
              <w:t>a</w:t>
            </w:r>
          </w:p>
        </w:tc>
      </w:tr>
      <w:tr w:rsidR="0072173E" w14:paraId="4EC925D1" w14:textId="77777777" w:rsidTr="00454909">
        <w:trPr>
          <w:jc w:val="center"/>
        </w:trPr>
        <w:tc>
          <w:tcPr>
            <w:tcW w:w="2254" w:type="dxa"/>
            <w:vAlign w:val="bottom"/>
            <w:hideMark/>
          </w:tcPr>
          <w:p w14:paraId="1A732579" w14:textId="77777777" w:rsidR="0072173E" w:rsidRDefault="0072173E" w:rsidP="0072173E">
            <w:pPr>
              <w:spacing w:line="360" w:lineRule="auto"/>
              <w:rPr>
                <w:rFonts w:ascii="Times New Roman" w:hAnsi="Times New Roman" w:cs="Times New Roman"/>
                <w:sz w:val="24"/>
                <w:szCs w:val="24"/>
              </w:rPr>
            </w:pPr>
            <w:proofErr w:type="spellStart"/>
            <w:r>
              <w:rPr>
                <w:rFonts w:ascii="Times New Roman" w:hAnsi="Times New Roman" w:cs="Times New Roman"/>
                <w:color w:val="000000" w:themeColor="text1"/>
                <w:sz w:val="24"/>
                <w:szCs w:val="24"/>
              </w:rPr>
              <w:t>nBF</w:t>
            </w:r>
            <w:proofErr w:type="spellEnd"/>
          </w:p>
        </w:tc>
        <w:tc>
          <w:tcPr>
            <w:tcW w:w="2254" w:type="dxa"/>
            <w:hideMark/>
          </w:tcPr>
          <w:p w14:paraId="4E715EC9"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kern w:val="24"/>
                <w:sz w:val="24"/>
                <w:szCs w:val="24"/>
              </w:rPr>
              <w:t>61.25 ± 0.21</w:t>
            </w:r>
            <w:r>
              <w:rPr>
                <w:rFonts w:ascii="Times New Roman" w:hAnsi="Times New Roman" w:cs="Times New Roman"/>
                <w:color w:val="000000" w:themeColor="text1"/>
                <w:kern w:val="24"/>
                <w:sz w:val="24"/>
                <w:szCs w:val="24"/>
                <w:vertAlign w:val="superscript"/>
              </w:rPr>
              <w:t>a</w:t>
            </w:r>
          </w:p>
        </w:tc>
        <w:tc>
          <w:tcPr>
            <w:tcW w:w="2254" w:type="dxa"/>
            <w:hideMark/>
          </w:tcPr>
          <w:p w14:paraId="6E4E17F6"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kern w:val="24"/>
                <w:sz w:val="24"/>
                <w:szCs w:val="24"/>
              </w:rPr>
              <w:t>4.12 ± 0.09</w:t>
            </w:r>
            <w:r>
              <w:rPr>
                <w:rFonts w:ascii="Times New Roman" w:hAnsi="Times New Roman" w:cs="Times New Roman"/>
                <w:color w:val="000000" w:themeColor="text1"/>
                <w:kern w:val="24"/>
                <w:sz w:val="24"/>
                <w:szCs w:val="24"/>
                <w:vertAlign w:val="superscript"/>
              </w:rPr>
              <w:t>b</w:t>
            </w:r>
          </w:p>
        </w:tc>
        <w:tc>
          <w:tcPr>
            <w:tcW w:w="2254" w:type="dxa"/>
            <w:hideMark/>
          </w:tcPr>
          <w:p w14:paraId="44FA3B7E"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 xml:space="preserve">39.99 </w:t>
            </w:r>
            <w:r>
              <w:rPr>
                <w:rFonts w:ascii="Times New Roman" w:hAnsi="Times New Roman" w:cs="Times New Roman"/>
                <w:color w:val="000000" w:themeColor="text1"/>
                <w:kern w:val="24"/>
                <w:sz w:val="24"/>
                <w:szCs w:val="24"/>
              </w:rPr>
              <w:t xml:space="preserve">± </w:t>
            </w:r>
            <w:r>
              <w:rPr>
                <w:rFonts w:ascii="Times New Roman" w:eastAsia="Times New Roman" w:hAnsi="Times New Roman" w:cs="Times New Roman"/>
                <w:color w:val="000000"/>
                <w:sz w:val="24"/>
                <w:szCs w:val="24"/>
                <w:lang w:eastAsia="en-IN"/>
              </w:rPr>
              <w:t>1.21</w:t>
            </w:r>
            <w:r>
              <w:rPr>
                <w:rFonts w:ascii="Times New Roman" w:hAnsi="Times New Roman" w:cs="Times New Roman"/>
                <w:color w:val="000000" w:themeColor="text1"/>
                <w:kern w:val="24"/>
                <w:sz w:val="24"/>
                <w:szCs w:val="24"/>
                <w:vertAlign w:val="superscript"/>
              </w:rPr>
              <w:t>b</w:t>
            </w:r>
          </w:p>
        </w:tc>
      </w:tr>
      <w:tr w:rsidR="0072173E" w14:paraId="430905D7" w14:textId="77777777" w:rsidTr="00454909">
        <w:trPr>
          <w:jc w:val="center"/>
        </w:trPr>
        <w:tc>
          <w:tcPr>
            <w:tcW w:w="2254" w:type="dxa"/>
            <w:tcBorders>
              <w:top w:val="nil"/>
              <w:left w:val="nil"/>
              <w:bottom w:val="single" w:sz="4" w:space="0" w:color="auto"/>
              <w:right w:val="nil"/>
            </w:tcBorders>
            <w:vAlign w:val="bottom"/>
            <w:hideMark/>
          </w:tcPr>
          <w:p w14:paraId="15BCA2FD"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WF</w:t>
            </w:r>
          </w:p>
        </w:tc>
        <w:tc>
          <w:tcPr>
            <w:tcW w:w="2254" w:type="dxa"/>
            <w:tcBorders>
              <w:top w:val="nil"/>
              <w:left w:val="nil"/>
              <w:bottom w:val="single" w:sz="4" w:space="0" w:color="auto"/>
              <w:right w:val="nil"/>
            </w:tcBorders>
            <w:hideMark/>
          </w:tcPr>
          <w:p w14:paraId="00C57225"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kern w:val="24"/>
                <w:sz w:val="24"/>
                <w:szCs w:val="24"/>
              </w:rPr>
              <w:t>56.4 ± 0.71</w:t>
            </w:r>
            <w:r>
              <w:rPr>
                <w:rFonts w:ascii="Times New Roman" w:hAnsi="Times New Roman" w:cs="Times New Roman"/>
                <w:color w:val="000000" w:themeColor="text1"/>
                <w:kern w:val="24"/>
                <w:sz w:val="24"/>
                <w:szCs w:val="24"/>
                <w:vertAlign w:val="superscript"/>
              </w:rPr>
              <w:t>c</w:t>
            </w:r>
          </w:p>
        </w:tc>
        <w:tc>
          <w:tcPr>
            <w:tcW w:w="2254" w:type="dxa"/>
            <w:tcBorders>
              <w:top w:val="nil"/>
              <w:left w:val="nil"/>
              <w:bottom w:val="single" w:sz="4" w:space="0" w:color="auto"/>
              <w:right w:val="nil"/>
            </w:tcBorders>
            <w:hideMark/>
          </w:tcPr>
          <w:p w14:paraId="31B8ABB1" w14:textId="77777777" w:rsidR="0072173E" w:rsidRDefault="0072173E" w:rsidP="0072173E">
            <w:pPr>
              <w:spacing w:line="360" w:lineRule="auto"/>
              <w:rPr>
                <w:rFonts w:ascii="Times New Roman" w:hAnsi="Times New Roman" w:cs="Times New Roman"/>
                <w:sz w:val="24"/>
                <w:szCs w:val="24"/>
              </w:rPr>
            </w:pPr>
            <w:r>
              <w:rPr>
                <w:rFonts w:ascii="Times New Roman" w:hAnsi="Times New Roman" w:cs="Times New Roman"/>
                <w:color w:val="000000" w:themeColor="text1"/>
                <w:kern w:val="24"/>
                <w:sz w:val="24"/>
                <w:szCs w:val="24"/>
              </w:rPr>
              <w:t>0.67 ± 0 .16</w:t>
            </w:r>
            <w:r>
              <w:rPr>
                <w:rFonts w:ascii="Times New Roman" w:hAnsi="Times New Roman" w:cs="Times New Roman"/>
                <w:color w:val="000000" w:themeColor="text1"/>
                <w:kern w:val="24"/>
                <w:sz w:val="24"/>
                <w:szCs w:val="24"/>
                <w:vertAlign w:val="superscript"/>
              </w:rPr>
              <w:t>d</w:t>
            </w:r>
          </w:p>
        </w:tc>
        <w:tc>
          <w:tcPr>
            <w:tcW w:w="2254" w:type="dxa"/>
            <w:tcBorders>
              <w:top w:val="nil"/>
              <w:left w:val="nil"/>
              <w:bottom w:val="single" w:sz="4" w:space="0" w:color="auto"/>
              <w:right w:val="nil"/>
            </w:tcBorders>
            <w:hideMark/>
          </w:tcPr>
          <w:p w14:paraId="149F6C43" w14:textId="77777777" w:rsidR="0072173E" w:rsidRDefault="0072173E" w:rsidP="0072173E">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1.17 </w:t>
            </w:r>
            <w:r>
              <w:rPr>
                <w:rFonts w:ascii="Times New Roman" w:hAnsi="Times New Roman" w:cs="Times New Roman"/>
                <w:color w:val="000000" w:themeColor="text1"/>
                <w:kern w:val="24"/>
                <w:sz w:val="24"/>
                <w:szCs w:val="24"/>
              </w:rPr>
              <w:t>± 0.17</w:t>
            </w:r>
            <w:r>
              <w:rPr>
                <w:rFonts w:ascii="Times New Roman" w:hAnsi="Times New Roman" w:cs="Times New Roman"/>
                <w:color w:val="000000" w:themeColor="text1"/>
                <w:kern w:val="24"/>
                <w:sz w:val="24"/>
                <w:szCs w:val="24"/>
                <w:vertAlign w:val="superscript"/>
              </w:rPr>
              <w:t>d</w:t>
            </w:r>
          </w:p>
        </w:tc>
      </w:tr>
    </w:tbl>
    <w:p w14:paraId="4C31F3D7" w14:textId="77777777" w:rsidR="0072173E" w:rsidRPr="0072173E" w:rsidRDefault="0072173E" w:rsidP="0072173E">
      <w:pPr>
        <w:spacing w:line="360" w:lineRule="auto"/>
        <w:jc w:val="both"/>
        <w:rPr>
          <w:rFonts w:ascii="Times New Roman" w:hAnsi="Times New Roman" w:cs="Times New Roman"/>
          <w:sz w:val="24"/>
          <w:szCs w:val="24"/>
        </w:rPr>
      </w:pPr>
      <w:r w:rsidRPr="0072173E">
        <w:rPr>
          <w:rFonts w:ascii="Times New Roman" w:hAnsi="Times New Roman" w:cs="Times New Roman"/>
          <w:sz w:val="24"/>
          <w:szCs w:val="24"/>
        </w:rPr>
        <w:t xml:space="preserve">ME- methanol extract, EAF- ethyl acetate fraction, </w:t>
      </w:r>
      <w:proofErr w:type="spellStart"/>
      <w:r w:rsidRPr="0072173E">
        <w:rPr>
          <w:rFonts w:ascii="Times New Roman" w:hAnsi="Times New Roman" w:cs="Times New Roman"/>
          <w:sz w:val="24"/>
          <w:szCs w:val="24"/>
        </w:rPr>
        <w:t>nBF</w:t>
      </w:r>
      <w:proofErr w:type="spellEnd"/>
      <w:r w:rsidRPr="0072173E">
        <w:rPr>
          <w:rFonts w:ascii="Times New Roman" w:hAnsi="Times New Roman" w:cs="Times New Roman"/>
          <w:sz w:val="24"/>
          <w:szCs w:val="24"/>
        </w:rPr>
        <w:t xml:space="preserve">- n-butanol fraction, WF- water fraction, GAE-gallic acid equivalent, QE- quercetin equivalent, CE- catechin equivalent. Mean </w:t>
      </w:r>
      <w:r w:rsidRPr="0072173E">
        <w:rPr>
          <w:rFonts w:ascii="Times New Roman" w:hAnsi="Times New Roman" w:cs="Times New Roman"/>
          <w:color w:val="000000" w:themeColor="text1"/>
          <w:kern w:val="24"/>
          <w:sz w:val="24"/>
          <w:szCs w:val="24"/>
        </w:rPr>
        <w:t xml:space="preserve">± SD. </w:t>
      </w:r>
      <w:r w:rsidRPr="0072173E">
        <w:rPr>
          <w:rFonts w:ascii="Times New Roman" w:hAnsi="Times New Roman" w:cs="Times New Roman"/>
          <w:sz w:val="24"/>
          <w:szCs w:val="24"/>
        </w:rPr>
        <w:t>The mean in the same column with the same superscript are not significantly different (p&gt;0.05) as separated by Bonferroni’s multiple comparison test.</w:t>
      </w:r>
    </w:p>
    <w:p w14:paraId="0B51D7A1" w14:textId="6189D755" w:rsidR="0072173E" w:rsidRDefault="0072173E" w:rsidP="0072173E">
      <w:pPr>
        <w:spacing w:line="480" w:lineRule="auto"/>
        <w:jc w:val="both"/>
        <w:rPr>
          <w:rFonts w:ascii="Times New Roman" w:hAnsi="Times New Roman" w:cs="Times New Roman"/>
          <w:sz w:val="24"/>
          <w:szCs w:val="24"/>
        </w:rPr>
      </w:pPr>
      <w:r>
        <w:rPr>
          <w:rFonts w:ascii="Times New Roman" w:hAnsi="Times New Roman" w:cs="Times New Roman"/>
          <w:b/>
          <w:bCs/>
          <w:sz w:val="24"/>
          <w:szCs w:val="24"/>
        </w:rPr>
        <w:t>Table S3</w:t>
      </w:r>
      <w:r>
        <w:rPr>
          <w:rFonts w:ascii="Times New Roman" w:hAnsi="Times New Roman" w:cs="Times New Roman"/>
          <w:sz w:val="24"/>
          <w:szCs w:val="24"/>
        </w:rPr>
        <w:t xml:space="preserve"> Phytochemical constituents identified in the ethyl acetate fraction (EAF) of </w:t>
      </w:r>
      <w:r>
        <w:rPr>
          <w:rFonts w:ascii="Times New Roman" w:hAnsi="Times New Roman" w:cs="Times New Roman"/>
          <w:i/>
          <w:iCs/>
          <w:sz w:val="24"/>
          <w:szCs w:val="24"/>
        </w:rPr>
        <w:t>M. balbisiana</w:t>
      </w:r>
      <w:r>
        <w:rPr>
          <w:rFonts w:ascii="Times New Roman" w:hAnsi="Times New Roman" w:cs="Times New Roman"/>
          <w:sz w:val="24"/>
          <w:szCs w:val="24"/>
        </w:rPr>
        <w:t xml:space="preserve"> seed extract using GC-MS/MS</w:t>
      </w:r>
    </w:p>
    <w:tbl>
      <w:tblPr>
        <w:tblStyle w:val="TableGrid"/>
        <w:tblW w:w="9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
        <w:gridCol w:w="1198"/>
        <w:gridCol w:w="852"/>
        <w:gridCol w:w="2695"/>
        <w:gridCol w:w="1135"/>
        <w:gridCol w:w="1135"/>
        <w:gridCol w:w="1135"/>
        <w:gridCol w:w="1277"/>
      </w:tblGrid>
      <w:tr w:rsidR="0072173E" w14:paraId="22E99AA5" w14:textId="77777777" w:rsidTr="00454909">
        <w:trPr>
          <w:trHeight w:val="822"/>
          <w:jc w:val="center"/>
        </w:trPr>
        <w:tc>
          <w:tcPr>
            <w:tcW w:w="504" w:type="dxa"/>
            <w:tcBorders>
              <w:top w:val="single" w:sz="4" w:space="0" w:color="auto"/>
              <w:left w:val="nil"/>
              <w:bottom w:val="single" w:sz="4" w:space="0" w:color="auto"/>
              <w:right w:val="nil"/>
            </w:tcBorders>
            <w:shd w:val="clear" w:color="auto" w:fill="F2F2F2" w:themeFill="background1" w:themeFillShade="F2"/>
            <w:hideMark/>
          </w:tcPr>
          <w:p w14:paraId="5DC9FE9F"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Sl. no</w:t>
            </w:r>
          </w:p>
        </w:tc>
        <w:tc>
          <w:tcPr>
            <w:tcW w:w="1197" w:type="dxa"/>
            <w:tcBorders>
              <w:top w:val="single" w:sz="4" w:space="0" w:color="auto"/>
              <w:left w:val="nil"/>
              <w:bottom w:val="single" w:sz="4" w:space="0" w:color="auto"/>
              <w:right w:val="nil"/>
            </w:tcBorders>
            <w:shd w:val="clear" w:color="auto" w:fill="F2F2F2" w:themeFill="background1" w:themeFillShade="F2"/>
            <w:hideMark/>
          </w:tcPr>
          <w:p w14:paraId="293A1060"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Retention time</w:t>
            </w:r>
          </w:p>
        </w:tc>
        <w:tc>
          <w:tcPr>
            <w:tcW w:w="851" w:type="dxa"/>
            <w:tcBorders>
              <w:top w:val="single" w:sz="4" w:space="0" w:color="auto"/>
              <w:left w:val="nil"/>
              <w:bottom w:val="single" w:sz="4" w:space="0" w:color="auto"/>
              <w:right w:val="nil"/>
            </w:tcBorders>
            <w:shd w:val="clear" w:color="auto" w:fill="F2F2F2" w:themeFill="background1" w:themeFillShade="F2"/>
            <w:hideMark/>
          </w:tcPr>
          <w:p w14:paraId="3392FAF5"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Peak area</w:t>
            </w:r>
          </w:p>
          <w:p w14:paraId="28B258CE"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693" w:type="dxa"/>
            <w:tcBorders>
              <w:top w:val="single" w:sz="4" w:space="0" w:color="auto"/>
              <w:left w:val="nil"/>
              <w:bottom w:val="single" w:sz="4" w:space="0" w:color="auto"/>
              <w:right w:val="nil"/>
            </w:tcBorders>
            <w:shd w:val="clear" w:color="auto" w:fill="F2F2F2" w:themeFill="background1" w:themeFillShade="F2"/>
            <w:hideMark/>
          </w:tcPr>
          <w:p w14:paraId="5D059B78"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Name of the compound</w:t>
            </w:r>
          </w:p>
        </w:tc>
        <w:tc>
          <w:tcPr>
            <w:tcW w:w="1134" w:type="dxa"/>
            <w:tcBorders>
              <w:top w:val="single" w:sz="4" w:space="0" w:color="auto"/>
              <w:left w:val="nil"/>
              <w:bottom w:val="single" w:sz="4" w:space="0" w:color="auto"/>
              <w:right w:val="nil"/>
            </w:tcBorders>
            <w:shd w:val="clear" w:color="auto" w:fill="F2F2F2" w:themeFill="background1" w:themeFillShade="F2"/>
            <w:hideMark/>
          </w:tcPr>
          <w:p w14:paraId="3B2A331F"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Similarity score</w:t>
            </w:r>
          </w:p>
        </w:tc>
        <w:tc>
          <w:tcPr>
            <w:tcW w:w="1134" w:type="dxa"/>
            <w:tcBorders>
              <w:top w:val="single" w:sz="4" w:space="0" w:color="auto"/>
              <w:left w:val="nil"/>
              <w:bottom w:val="single" w:sz="4" w:space="0" w:color="auto"/>
              <w:right w:val="nil"/>
            </w:tcBorders>
            <w:shd w:val="clear" w:color="auto" w:fill="F2F2F2" w:themeFill="background1" w:themeFillShade="F2"/>
            <w:hideMark/>
          </w:tcPr>
          <w:p w14:paraId="5CF7EEA6"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Molecular formula</w:t>
            </w:r>
          </w:p>
        </w:tc>
        <w:tc>
          <w:tcPr>
            <w:tcW w:w="1134" w:type="dxa"/>
            <w:tcBorders>
              <w:top w:val="single" w:sz="4" w:space="0" w:color="auto"/>
              <w:left w:val="nil"/>
              <w:bottom w:val="single" w:sz="4" w:space="0" w:color="auto"/>
              <w:right w:val="nil"/>
            </w:tcBorders>
            <w:shd w:val="clear" w:color="auto" w:fill="F2F2F2" w:themeFill="background1" w:themeFillShade="F2"/>
            <w:hideMark/>
          </w:tcPr>
          <w:p w14:paraId="2E8B2D99"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Molecular weight</w:t>
            </w:r>
          </w:p>
        </w:tc>
        <w:tc>
          <w:tcPr>
            <w:tcW w:w="1276" w:type="dxa"/>
            <w:tcBorders>
              <w:top w:val="single" w:sz="4" w:space="0" w:color="auto"/>
              <w:left w:val="nil"/>
              <w:bottom w:val="single" w:sz="4" w:space="0" w:color="auto"/>
              <w:right w:val="nil"/>
            </w:tcBorders>
            <w:shd w:val="clear" w:color="auto" w:fill="F2F2F2" w:themeFill="background1" w:themeFillShade="F2"/>
            <w:hideMark/>
          </w:tcPr>
          <w:p w14:paraId="2C611183"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CAS</w:t>
            </w:r>
          </w:p>
        </w:tc>
      </w:tr>
      <w:tr w:rsidR="0072173E" w14:paraId="3BD6FB45" w14:textId="77777777" w:rsidTr="00454909">
        <w:trPr>
          <w:trHeight w:val="548"/>
          <w:jc w:val="center"/>
        </w:trPr>
        <w:tc>
          <w:tcPr>
            <w:tcW w:w="504" w:type="dxa"/>
            <w:tcBorders>
              <w:top w:val="single" w:sz="4" w:space="0" w:color="auto"/>
              <w:left w:val="nil"/>
              <w:bottom w:val="nil"/>
              <w:right w:val="nil"/>
            </w:tcBorders>
            <w:hideMark/>
          </w:tcPr>
          <w:p w14:paraId="76DE6D6D"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97" w:type="dxa"/>
            <w:tcBorders>
              <w:top w:val="single" w:sz="4" w:space="0" w:color="auto"/>
              <w:left w:val="nil"/>
              <w:bottom w:val="nil"/>
              <w:right w:val="nil"/>
            </w:tcBorders>
            <w:hideMark/>
          </w:tcPr>
          <w:p w14:paraId="4E18E55C"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10.41</w:t>
            </w:r>
          </w:p>
        </w:tc>
        <w:tc>
          <w:tcPr>
            <w:tcW w:w="851" w:type="dxa"/>
            <w:tcBorders>
              <w:top w:val="single" w:sz="4" w:space="0" w:color="auto"/>
              <w:left w:val="nil"/>
              <w:bottom w:val="nil"/>
              <w:right w:val="nil"/>
            </w:tcBorders>
            <w:hideMark/>
          </w:tcPr>
          <w:p w14:paraId="2C23D084"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0.32</w:t>
            </w:r>
          </w:p>
        </w:tc>
        <w:tc>
          <w:tcPr>
            <w:tcW w:w="2693" w:type="dxa"/>
            <w:tcBorders>
              <w:top w:val="single" w:sz="4" w:space="0" w:color="auto"/>
              <w:left w:val="nil"/>
              <w:bottom w:val="nil"/>
              <w:right w:val="nil"/>
            </w:tcBorders>
            <w:hideMark/>
          </w:tcPr>
          <w:p w14:paraId="7503267A" w14:textId="77777777" w:rsidR="0072173E" w:rsidRDefault="0072173E" w:rsidP="0072173E">
            <w:pPr>
              <w:spacing w:line="360" w:lineRule="auto"/>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lang w:eastAsia="en-IN"/>
              </w:rPr>
              <w:t>Cyclohexyldimethoxymethylsilane</w:t>
            </w:r>
            <w:proofErr w:type="spellEnd"/>
          </w:p>
        </w:tc>
        <w:tc>
          <w:tcPr>
            <w:tcW w:w="1134" w:type="dxa"/>
            <w:tcBorders>
              <w:top w:val="single" w:sz="4" w:space="0" w:color="auto"/>
              <w:left w:val="nil"/>
              <w:bottom w:val="nil"/>
              <w:right w:val="nil"/>
            </w:tcBorders>
            <w:hideMark/>
          </w:tcPr>
          <w:p w14:paraId="14E7FDF3" w14:textId="77777777" w:rsidR="0072173E" w:rsidRDefault="0072173E" w:rsidP="0072173E">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c>
          <w:tcPr>
            <w:tcW w:w="1134" w:type="dxa"/>
            <w:tcBorders>
              <w:top w:val="single" w:sz="4" w:space="0" w:color="auto"/>
              <w:left w:val="nil"/>
              <w:bottom w:val="nil"/>
              <w:right w:val="nil"/>
            </w:tcBorders>
            <w:hideMark/>
          </w:tcPr>
          <w:p w14:paraId="23060ED9" w14:textId="77777777" w:rsidR="0072173E" w:rsidRDefault="0072173E" w:rsidP="0072173E">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vertAlign w:val="subscript"/>
              </w:rPr>
              <w:t>9</w:t>
            </w:r>
            <w:r>
              <w:rPr>
                <w:rFonts w:ascii="Times New Roman" w:hAnsi="Times New Roman" w:cs="Times New Roman"/>
                <w:color w:val="000000"/>
                <w:sz w:val="24"/>
                <w:szCs w:val="24"/>
              </w:rPr>
              <w:t>H</w:t>
            </w:r>
            <w:r>
              <w:rPr>
                <w:rFonts w:ascii="Times New Roman" w:hAnsi="Times New Roman" w:cs="Times New Roman"/>
                <w:color w:val="000000"/>
                <w:sz w:val="24"/>
                <w:szCs w:val="24"/>
                <w:vertAlign w:val="subscript"/>
              </w:rPr>
              <w:t>20</w:t>
            </w:r>
            <w:r>
              <w:rPr>
                <w:rFonts w:ascii="Times New Roman" w:hAnsi="Times New Roman" w:cs="Times New Roman"/>
                <w:color w:val="000000"/>
                <w:sz w:val="24"/>
                <w:szCs w:val="24"/>
              </w:rPr>
              <w:t>O</w:t>
            </w:r>
            <w:r>
              <w:rPr>
                <w:rFonts w:ascii="Times New Roman" w:hAnsi="Times New Roman" w:cs="Times New Roman"/>
                <w:color w:val="000000"/>
                <w:sz w:val="24"/>
                <w:szCs w:val="24"/>
                <w:vertAlign w:val="subscript"/>
              </w:rPr>
              <w:t>2</w:t>
            </w:r>
          </w:p>
        </w:tc>
        <w:tc>
          <w:tcPr>
            <w:tcW w:w="1134" w:type="dxa"/>
            <w:tcBorders>
              <w:top w:val="single" w:sz="4" w:space="0" w:color="auto"/>
              <w:left w:val="nil"/>
              <w:bottom w:val="nil"/>
              <w:right w:val="nil"/>
            </w:tcBorders>
            <w:hideMark/>
          </w:tcPr>
          <w:p w14:paraId="3A745DD2"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188.34</w:t>
            </w:r>
          </w:p>
        </w:tc>
        <w:tc>
          <w:tcPr>
            <w:tcW w:w="1276" w:type="dxa"/>
            <w:tcBorders>
              <w:top w:val="single" w:sz="4" w:space="0" w:color="auto"/>
              <w:left w:val="nil"/>
              <w:bottom w:val="nil"/>
              <w:right w:val="nil"/>
            </w:tcBorders>
            <w:hideMark/>
          </w:tcPr>
          <w:p w14:paraId="1D40039A"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17865-32-6</w:t>
            </w:r>
          </w:p>
        </w:tc>
      </w:tr>
      <w:tr w:rsidR="0072173E" w14:paraId="534B9271" w14:textId="77777777" w:rsidTr="00454909">
        <w:trPr>
          <w:trHeight w:val="274"/>
          <w:jc w:val="center"/>
        </w:trPr>
        <w:tc>
          <w:tcPr>
            <w:tcW w:w="504" w:type="dxa"/>
            <w:hideMark/>
          </w:tcPr>
          <w:p w14:paraId="4172551E"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97" w:type="dxa"/>
            <w:hideMark/>
          </w:tcPr>
          <w:p w14:paraId="5A382B93"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11.92</w:t>
            </w:r>
          </w:p>
        </w:tc>
        <w:tc>
          <w:tcPr>
            <w:tcW w:w="851" w:type="dxa"/>
            <w:hideMark/>
          </w:tcPr>
          <w:p w14:paraId="37EC91C7"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0.78</w:t>
            </w:r>
          </w:p>
        </w:tc>
        <w:tc>
          <w:tcPr>
            <w:tcW w:w="2693" w:type="dxa"/>
            <w:hideMark/>
          </w:tcPr>
          <w:p w14:paraId="09A13DF0" w14:textId="77777777" w:rsidR="0072173E" w:rsidRDefault="0072173E" w:rsidP="0072173E">
            <w:pPr>
              <w:spacing w:line="360" w:lineRule="auto"/>
              <w:rPr>
                <w:rFonts w:ascii="Times New Roman" w:hAnsi="Times New Roman" w:cs="Times New Roman"/>
                <w:sz w:val="24"/>
                <w:szCs w:val="24"/>
              </w:rPr>
            </w:pPr>
            <w:bookmarkStart w:id="3" w:name="_Hlk124954394"/>
            <w:r>
              <w:rPr>
                <w:rFonts w:ascii="Times New Roman" w:eastAsia="Times New Roman" w:hAnsi="Times New Roman" w:cs="Times New Roman"/>
                <w:color w:val="000000"/>
                <w:sz w:val="24"/>
                <w:szCs w:val="24"/>
                <w:lang w:eastAsia="en-IN"/>
              </w:rPr>
              <w:t>Benzene, 1,3-bis(1,1-dimethylethyl)</w:t>
            </w:r>
            <w:bookmarkEnd w:id="3"/>
          </w:p>
        </w:tc>
        <w:tc>
          <w:tcPr>
            <w:tcW w:w="1134" w:type="dxa"/>
            <w:hideMark/>
          </w:tcPr>
          <w:p w14:paraId="09D1CDF9"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93</w:t>
            </w:r>
          </w:p>
        </w:tc>
        <w:tc>
          <w:tcPr>
            <w:tcW w:w="1134" w:type="dxa"/>
            <w:hideMark/>
          </w:tcPr>
          <w:p w14:paraId="50D77C42"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14</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22</w:t>
            </w:r>
          </w:p>
        </w:tc>
        <w:tc>
          <w:tcPr>
            <w:tcW w:w="1134" w:type="dxa"/>
            <w:hideMark/>
          </w:tcPr>
          <w:p w14:paraId="75C6CFA8"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190.32</w:t>
            </w:r>
          </w:p>
        </w:tc>
        <w:tc>
          <w:tcPr>
            <w:tcW w:w="1276" w:type="dxa"/>
            <w:hideMark/>
          </w:tcPr>
          <w:p w14:paraId="67195E82"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1014-60-4</w:t>
            </w:r>
          </w:p>
        </w:tc>
      </w:tr>
      <w:tr w:rsidR="0072173E" w14:paraId="3149FEBD" w14:textId="77777777" w:rsidTr="00454909">
        <w:trPr>
          <w:trHeight w:val="273"/>
          <w:jc w:val="center"/>
        </w:trPr>
        <w:tc>
          <w:tcPr>
            <w:tcW w:w="504" w:type="dxa"/>
            <w:hideMark/>
          </w:tcPr>
          <w:p w14:paraId="153DE480"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97" w:type="dxa"/>
            <w:hideMark/>
          </w:tcPr>
          <w:p w14:paraId="0273C81D"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15.57</w:t>
            </w:r>
          </w:p>
        </w:tc>
        <w:tc>
          <w:tcPr>
            <w:tcW w:w="851" w:type="dxa"/>
            <w:hideMark/>
          </w:tcPr>
          <w:p w14:paraId="2ED0AA32"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693" w:type="dxa"/>
            <w:hideMark/>
          </w:tcPr>
          <w:p w14:paraId="161E19B5"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2,4-Di-tert-butylphenol</w:t>
            </w:r>
          </w:p>
        </w:tc>
        <w:tc>
          <w:tcPr>
            <w:tcW w:w="1134" w:type="dxa"/>
            <w:hideMark/>
          </w:tcPr>
          <w:p w14:paraId="1BCD018F"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93</w:t>
            </w:r>
          </w:p>
        </w:tc>
        <w:tc>
          <w:tcPr>
            <w:tcW w:w="1134" w:type="dxa"/>
            <w:hideMark/>
          </w:tcPr>
          <w:p w14:paraId="22C18565"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14</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22</w:t>
            </w:r>
            <w:r>
              <w:rPr>
                <w:rFonts w:ascii="Times New Roman" w:eastAsia="Times New Roman" w:hAnsi="Times New Roman" w:cs="Times New Roman"/>
                <w:color w:val="000000"/>
                <w:sz w:val="24"/>
                <w:szCs w:val="24"/>
                <w:lang w:eastAsia="en-IN"/>
              </w:rPr>
              <w:t>O</w:t>
            </w:r>
          </w:p>
        </w:tc>
        <w:tc>
          <w:tcPr>
            <w:tcW w:w="1134" w:type="dxa"/>
            <w:hideMark/>
          </w:tcPr>
          <w:p w14:paraId="7527413D"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206.32</w:t>
            </w:r>
          </w:p>
        </w:tc>
        <w:tc>
          <w:tcPr>
            <w:tcW w:w="1276" w:type="dxa"/>
            <w:hideMark/>
          </w:tcPr>
          <w:p w14:paraId="7DFEC149"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96-76-4</w:t>
            </w:r>
          </w:p>
        </w:tc>
      </w:tr>
      <w:tr w:rsidR="0072173E" w14:paraId="63E8020F" w14:textId="77777777" w:rsidTr="00454909">
        <w:trPr>
          <w:trHeight w:val="273"/>
          <w:jc w:val="center"/>
        </w:trPr>
        <w:tc>
          <w:tcPr>
            <w:tcW w:w="504" w:type="dxa"/>
            <w:hideMark/>
          </w:tcPr>
          <w:p w14:paraId="7EBE5DD1"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97" w:type="dxa"/>
            <w:hideMark/>
          </w:tcPr>
          <w:p w14:paraId="68220DDD"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16.50</w:t>
            </w:r>
          </w:p>
        </w:tc>
        <w:tc>
          <w:tcPr>
            <w:tcW w:w="851" w:type="dxa"/>
            <w:hideMark/>
          </w:tcPr>
          <w:p w14:paraId="7D7AC9B2"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0.38</w:t>
            </w:r>
          </w:p>
        </w:tc>
        <w:tc>
          <w:tcPr>
            <w:tcW w:w="2693" w:type="dxa"/>
            <w:hideMark/>
          </w:tcPr>
          <w:p w14:paraId="6A98BFE0" w14:textId="77777777" w:rsidR="0072173E" w:rsidRDefault="0072173E" w:rsidP="0072173E">
            <w:pPr>
              <w:spacing w:line="360" w:lineRule="auto"/>
              <w:rPr>
                <w:rFonts w:ascii="Times New Roman" w:hAnsi="Times New Roman" w:cs="Times New Roman"/>
                <w:sz w:val="24"/>
                <w:szCs w:val="24"/>
              </w:rPr>
            </w:pPr>
            <w:bookmarkStart w:id="4" w:name="_Hlk124954535"/>
            <w:r>
              <w:rPr>
                <w:rFonts w:ascii="Times New Roman" w:eastAsia="Times New Roman" w:hAnsi="Times New Roman" w:cs="Times New Roman"/>
                <w:color w:val="000000"/>
                <w:sz w:val="24"/>
                <w:szCs w:val="24"/>
                <w:lang w:eastAsia="en-IN"/>
              </w:rPr>
              <w:t>n-Tridecan-1-ol</w:t>
            </w:r>
            <w:bookmarkEnd w:id="4"/>
          </w:p>
        </w:tc>
        <w:tc>
          <w:tcPr>
            <w:tcW w:w="1134" w:type="dxa"/>
            <w:hideMark/>
          </w:tcPr>
          <w:p w14:paraId="0105EB4A"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91</w:t>
            </w:r>
          </w:p>
        </w:tc>
        <w:tc>
          <w:tcPr>
            <w:tcW w:w="1134" w:type="dxa"/>
            <w:hideMark/>
          </w:tcPr>
          <w:p w14:paraId="5B203379"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13</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28</w:t>
            </w:r>
            <w:r>
              <w:rPr>
                <w:rFonts w:ascii="Times New Roman" w:eastAsia="Times New Roman" w:hAnsi="Times New Roman" w:cs="Times New Roman"/>
                <w:color w:val="000000"/>
                <w:sz w:val="24"/>
                <w:szCs w:val="24"/>
                <w:lang w:eastAsia="en-IN"/>
              </w:rPr>
              <w:t>O</w:t>
            </w:r>
          </w:p>
        </w:tc>
        <w:tc>
          <w:tcPr>
            <w:tcW w:w="1134" w:type="dxa"/>
            <w:hideMark/>
          </w:tcPr>
          <w:p w14:paraId="7D638EA2"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200.36</w:t>
            </w:r>
          </w:p>
        </w:tc>
        <w:tc>
          <w:tcPr>
            <w:tcW w:w="1276" w:type="dxa"/>
            <w:hideMark/>
          </w:tcPr>
          <w:p w14:paraId="6F63D4CF"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112-70-9</w:t>
            </w:r>
          </w:p>
        </w:tc>
      </w:tr>
      <w:tr w:rsidR="0072173E" w14:paraId="7DE5B32C" w14:textId="77777777" w:rsidTr="00454909">
        <w:trPr>
          <w:trHeight w:val="273"/>
          <w:jc w:val="center"/>
        </w:trPr>
        <w:tc>
          <w:tcPr>
            <w:tcW w:w="504" w:type="dxa"/>
            <w:hideMark/>
          </w:tcPr>
          <w:p w14:paraId="56A3D2D6" w14:textId="77777777" w:rsidR="0072173E" w:rsidRDefault="0072173E" w:rsidP="0072173E">
            <w:pPr>
              <w:spacing w:line="360" w:lineRule="auto"/>
              <w:jc w:val="center"/>
              <w:rPr>
                <w:rFonts w:ascii="Times New Roman" w:hAnsi="Times New Roman" w:cs="Times New Roman"/>
                <w:sz w:val="24"/>
                <w:szCs w:val="24"/>
              </w:rPr>
            </w:pPr>
            <w:bookmarkStart w:id="5" w:name="_Hlk124950051"/>
            <w:r>
              <w:rPr>
                <w:rFonts w:ascii="Times New Roman" w:hAnsi="Times New Roman" w:cs="Times New Roman"/>
                <w:sz w:val="24"/>
                <w:szCs w:val="24"/>
              </w:rPr>
              <w:lastRenderedPageBreak/>
              <w:t>5</w:t>
            </w:r>
          </w:p>
        </w:tc>
        <w:tc>
          <w:tcPr>
            <w:tcW w:w="1197" w:type="dxa"/>
            <w:hideMark/>
          </w:tcPr>
          <w:p w14:paraId="65DC5054"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18.86</w:t>
            </w:r>
          </w:p>
        </w:tc>
        <w:tc>
          <w:tcPr>
            <w:tcW w:w="851" w:type="dxa"/>
            <w:hideMark/>
          </w:tcPr>
          <w:p w14:paraId="500298A1"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0.79</w:t>
            </w:r>
          </w:p>
        </w:tc>
        <w:tc>
          <w:tcPr>
            <w:tcW w:w="2693" w:type="dxa"/>
            <w:hideMark/>
          </w:tcPr>
          <w:p w14:paraId="0EA64AD5"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1-Nonadecene</w:t>
            </w:r>
          </w:p>
        </w:tc>
        <w:tc>
          <w:tcPr>
            <w:tcW w:w="1134" w:type="dxa"/>
            <w:hideMark/>
          </w:tcPr>
          <w:p w14:paraId="1C9187E7"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95</w:t>
            </w:r>
          </w:p>
        </w:tc>
        <w:tc>
          <w:tcPr>
            <w:tcW w:w="1134" w:type="dxa"/>
            <w:hideMark/>
          </w:tcPr>
          <w:p w14:paraId="16175714"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19</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38</w:t>
            </w:r>
          </w:p>
        </w:tc>
        <w:tc>
          <w:tcPr>
            <w:tcW w:w="1134" w:type="dxa"/>
            <w:hideMark/>
          </w:tcPr>
          <w:p w14:paraId="1874498C"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266.5</w:t>
            </w:r>
          </w:p>
        </w:tc>
        <w:tc>
          <w:tcPr>
            <w:tcW w:w="1276" w:type="dxa"/>
            <w:hideMark/>
          </w:tcPr>
          <w:p w14:paraId="40364AF0"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18435-45-5</w:t>
            </w:r>
          </w:p>
        </w:tc>
        <w:bookmarkEnd w:id="5"/>
      </w:tr>
      <w:tr w:rsidR="0072173E" w14:paraId="55389067" w14:textId="77777777" w:rsidTr="00454909">
        <w:trPr>
          <w:trHeight w:val="548"/>
          <w:jc w:val="center"/>
        </w:trPr>
        <w:tc>
          <w:tcPr>
            <w:tcW w:w="504" w:type="dxa"/>
            <w:hideMark/>
          </w:tcPr>
          <w:p w14:paraId="7017A4F4"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97" w:type="dxa"/>
            <w:hideMark/>
          </w:tcPr>
          <w:p w14:paraId="56201C26"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20.32</w:t>
            </w:r>
          </w:p>
        </w:tc>
        <w:tc>
          <w:tcPr>
            <w:tcW w:w="851" w:type="dxa"/>
            <w:hideMark/>
          </w:tcPr>
          <w:p w14:paraId="28E4D338"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12.89</w:t>
            </w:r>
          </w:p>
        </w:tc>
        <w:tc>
          <w:tcPr>
            <w:tcW w:w="2693" w:type="dxa"/>
            <w:hideMark/>
          </w:tcPr>
          <w:p w14:paraId="6D87D705" w14:textId="77777777" w:rsidR="0072173E" w:rsidRDefault="0072173E" w:rsidP="0072173E">
            <w:pPr>
              <w:spacing w:line="360" w:lineRule="auto"/>
              <w:rPr>
                <w:rFonts w:ascii="Times New Roman" w:hAnsi="Times New Roman" w:cs="Times New Roman"/>
                <w:sz w:val="24"/>
                <w:szCs w:val="24"/>
              </w:rPr>
            </w:pPr>
            <w:bookmarkStart w:id="6" w:name="_Hlk124947861"/>
            <w:proofErr w:type="spellStart"/>
            <w:r>
              <w:rPr>
                <w:rFonts w:ascii="Times New Roman" w:eastAsia="Times New Roman" w:hAnsi="Times New Roman" w:cs="Times New Roman"/>
                <w:color w:val="000000"/>
                <w:sz w:val="24"/>
                <w:szCs w:val="24"/>
                <w:lang w:eastAsia="en-IN"/>
              </w:rPr>
              <w:t>Hexadecanoic</w:t>
            </w:r>
            <w:proofErr w:type="spellEnd"/>
            <w:r>
              <w:rPr>
                <w:rFonts w:ascii="Times New Roman" w:eastAsia="Times New Roman" w:hAnsi="Times New Roman" w:cs="Times New Roman"/>
                <w:color w:val="000000"/>
                <w:sz w:val="24"/>
                <w:szCs w:val="24"/>
                <w:lang w:eastAsia="en-IN"/>
              </w:rPr>
              <w:t xml:space="preserve"> acid methyl ester</w:t>
            </w:r>
            <w:bookmarkEnd w:id="6"/>
          </w:p>
        </w:tc>
        <w:tc>
          <w:tcPr>
            <w:tcW w:w="1134" w:type="dxa"/>
            <w:hideMark/>
          </w:tcPr>
          <w:p w14:paraId="0F50C631"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96</w:t>
            </w:r>
          </w:p>
        </w:tc>
        <w:tc>
          <w:tcPr>
            <w:tcW w:w="1134" w:type="dxa"/>
            <w:hideMark/>
          </w:tcPr>
          <w:p w14:paraId="28D00484"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17</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34</w:t>
            </w:r>
            <w:r>
              <w:rPr>
                <w:rFonts w:ascii="Times New Roman" w:eastAsia="Times New Roman" w:hAnsi="Times New Roman" w:cs="Times New Roman"/>
                <w:color w:val="000000"/>
                <w:sz w:val="24"/>
                <w:szCs w:val="24"/>
                <w:lang w:eastAsia="en-IN"/>
              </w:rPr>
              <w:t>O</w:t>
            </w:r>
            <w:r>
              <w:rPr>
                <w:rFonts w:ascii="Times New Roman" w:eastAsia="Times New Roman" w:hAnsi="Times New Roman" w:cs="Times New Roman"/>
                <w:color w:val="000000"/>
                <w:sz w:val="24"/>
                <w:szCs w:val="24"/>
                <w:vertAlign w:val="subscript"/>
                <w:lang w:eastAsia="en-IN"/>
              </w:rPr>
              <w:t>2</w:t>
            </w:r>
          </w:p>
        </w:tc>
        <w:tc>
          <w:tcPr>
            <w:tcW w:w="1134" w:type="dxa"/>
            <w:hideMark/>
          </w:tcPr>
          <w:p w14:paraId="4F4A1711"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270.45</w:t>
            </w:r>
          </w:p>
        </w:tc>
        <w:tc>
          <w:tcPr>
            <w:tcW w:w="1276" w:type="dxa"/>
            <w:hideMark/>
          </w:tcPr>
          <w:p w14:paraId="6863BC38"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112-39-0</w:t>
            </w:r>
          </w:p>
        </w:tc>
      </w:tr>
      <w:tr w:rsidR="0072173E" w14:paraId="074E0116" w14:textId="77777777" w:rsidTr="00454909">
        <w:trPr>
          <w:trHeight w:val="273"/>
          <w:jc w:val="center"/>
        </w:trPr>
        <w:tc>
          <w:tcPr>
            <w:tcW w:w="504" w:type="dxa"/>
            <w:hideMark/>
          </w:tcPr>
          <w:p w14:paraId="76089402"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197" w:type="dxa"/>
            <w:hideMark/>
          </w:tcPr>
          <w:p w14:paraId="422313B4"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20.69</w:t>
            </w:r>
          </w:p>
        </w:tc>
        <w:tc>
          <w:tcPr>
            <w:tcW w:w="851" w:type="dxa"/>
            <w:hideMark/>
          </w:tcPr>
          <w:p w14:paraId="56B7A759"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1.73</w:t>
            </w:r>
          </w:p>
        </w:tc>
        <w:tc>
          <w:tcPr>
            <w:tcW w:w="2693" w:type="dxa"/>
            <w:hideMark/>
          </w:tcPr>
          <w:p w14:paraId="5E9BDBB2" w14:textId="77777777" w:rsidR="0072173E" w:rsidRDefault="0072173E" w:rsidP="0072173E">
            <w:pPr>
              <w:spacing w:line="360" w:lineRule="auto"/>
              <w:rPr>
                <w:rFonts w:ascii="Times New Roman" w:hAnsi="Times New Roman" w:cs="Times New Roman"/>
                <w:sz w:val="24"/>
                <w:szCs w:val="24"/>
              </w:rPr>
            </w:pPr>
            <w:bookmarkStart w:id="7" w:name="_Hlk124953872"/>
            <w:r>
              <w:rPr>
                <w:rFonts w:ascii="Times New Roman" w:eastAsia="Times New Roman" w:hAnsi="Times New Roman" w:cs="Times New Roman"/>
                <w:color w:val="000000"/>
                <w:sz w:val="24"/>
                <w:szCs w:val="24"/>
                <w:lang w:eastAsia="en-IN"/>
              </w:rPr>
              <w:t>n-</w:t>
            </w:r>
            <w:proofErr w:type="spellStart"/>
            <w:r>
              <w:rPr>
                <w:rFonts w:ascii="Times New Roman" w:eastAsia="Times New Roman" w:hAnsi="Times New Roman" w:cs="Times New Roman"/>
                <w:color w:val="000000"/>
                <w:sz w:val="24"/>
                <w:szCs w:val="24"/>
                <w:lang w:eastAsia="en-IN"/>
              </w:rPr>
              <w:t>Hexadecanoic</w:t>
            </w:r>
            <w:proofErr w:type="spellEnd"/>
            <w:r>
              <w:rPr>
                <w:rFonts w:ascii="Times New Roman" w:eastAsia="Times New Roman" w:hAnsi="Times New Roman" w:cs="Times New Roman"/>
                <w:color w:val="000000"/>
                <w:sz w:val="24"/>
                <w:szCs w:val="24"/>
                <w:lang w:eastAsia="en-IN"/>
              </w:rPr>
              <w:t xml:space="preserve"> acid</w:t>
            </w:r>
            <w:bookmarkEnd w:id="7"/>
          </w:p>
        </w:tc>
        <w:tc>
          <w:tcPr>
            <w:tcW w:w="1134" w:type="dxa"/>
            <w:hideMark/>
          </w:tcPr>
          <w:p w14:paraId="1C4817C1"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90</w:t>
            </w:r>
          </w:p>
        </w:tc>
        <w:tc>
          <w:tcPr>
            <w:tcW w:w="1134" w:type="dxa"/>
            <w:hideMark/>
          </w:tcPr>
          <w:p w14:paraId="14C403A9"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16</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32</w:t>
            </w:r>
            <w:r>
              <w:rPr>
                <w:rFonts w:ascii="Times New Roman" w:eastAsia="Times New Roman" w:hAnsi="Times New Roman" w:cs="Times New Roman"/>
                <w:color w:val="000000"/>
                <w:sz w:val="24"/>
                <w:szCs w:val="24"/>
                <w:lang w:eastAsia="en-IN"/>
              </w:rPr>
              <w:t>O</w:t>
            </w:r>
            <w:r>
              <w:rPr>
                <w:rFonts w:ascii="Times New Roman" w:eastAsia="Times New Roman" w:hAnsi="Times New Roman" w:cs="Times New Roman"/>
                <w:color w:val="000000"/>
                <w:sz w:val="24"/>
                <w:szCs w:val="24"/>
                <w:vertAlign w:val="subscript"/>
                <w:lang w:eastAsia="en-IN"/>
              </w:rPr>
              <w:t>2</w:t>
            </w:r>
          </w:p>
        </w:tc>
        <w:tc>
          <w:tcPr>
            <w:tcW w:w="1134" w:type="dxa"/>
            <w:hideMark/>
          </w:tcPr>
          <w:p w14:paraId="3ECD14E1"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256.42</w:t>
            </w:r>
          </w:p>
        </w:tc>
        <w:tc>
          <w:tcPr>
            <w:tcW w:w="1276" w:type="dxa"/>
            <w:hideMark/>
          </w:tcPr>
          <w:p w14:paraId="5CA6D534"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57-10-3</w:t>
            </w:r>
          </w:p>
        </w:tc>
      </w:tr>
      <w:tr w:rsidR="0072173E" w14:paraId="11B16341" w14:textId="77777777" w:rsidTr="00454909">
        <w:trPr>
          <w:trHeight w:val="273"/>
          <w:jc w:val="center"/>
        </w:trPr>
        <w:tc>
          <w:tcPr>
            <w:tcW w:w="504" w:type="dxa"/>
            <w:hideMark/>
          </w:tcPr>
          <w:p w14:paraId="568C709F"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97" w:type="dxa"/>
            <w:hideMark/>
          </w:tcPr>
          <w:p w14:paraId="64C9767A"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20.81</w:t>
            </w:r>
          </w:p>
        </w:tc>
        <w:tc>
          <w:tcPr>
            <w:tcW w:w="851" w:type="dxa"/>
            <w:hideMark/>
          </w:tcPr>
          <w:p w14:paraId="1FD303AF"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3.23</w:t>
            </w:r>
          </w:p>
        </w:tc>
        <w:tc>
          <w:tcPr>
            <w:tcW w:w="2693" w:type="dxa"/>
            <w:hideMark/>
          </w:tcPr>
          <w:p w14:paraId="7D41107C"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 xml:space="preserve">Dibutyl </w:t>
            </w:r>
            <w:bookmarkStart w:id="8" w:name="_Hlk124955155"/>
            <w:r>
              <w:rPr>
                <w:rFonts w:ascii="Times New Roman" w:eastAsia="Times New Roman" w:hAnsi="Times New Roman" w:cs="Times New Roman"/>
                <w:color w:val="000000"/>
                <w:sz w:val="24"/>
                <w:szCs w:val="24"/>
                <w:lang w:eastAsia="en-IN"/>
              </w:rPr>
              <w:t>phthalate</w:t>
            </w:r>
            <w:bookmarkEnd w:id="8"/>
          </w:p>
        </w:tc>
        <w:tc>
          <w:tcPr>
            <w:tcW w:w="1134" w:type="dxa"/>
            <w:hideMark/>
          </w:tcPr>
          <w:p w14:paraId="442262ED"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97</w:t>
            </w:r>
          </w:p>
        </w:tc>
        <w:tc>
          <w:tcPr>
            <w:tcW w:w="1134" w:type="dxa"/>
            <w:hideMark/>
          </w:tcPr>
          <w:p w14:paraId="7639FDEE"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16</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22</w:t>
            </w:r>
            <w:r>
              <w:rPr>
                <w:rFonts w:ascii="Times New Roman" w:eastAsia="Times New Roman" w:hAnsi="Times New Roman" w:cs="Times New Roman"/>
                <w:color w:val="000000"/>
                <w:sz w:val="24"/>
                <w:szCs w:val="24"/>
                <w:lang w:eastAsia="en-IN"/>
              </w:rPr>
              <w:t>O</w:t>
            </w:r>
            <w:r>
              <w:rPr>
                <w:rFonts w:ascii="Times New Roman" w:eastAsia="Times New Roman" w:hAnsi="Times New Roman" w:cs="Times New Roman"/>
                <w:color w:val="000000"/>
                <w:sz w:val="24"/>
                <w:szCs w:val="24"/>
                <w:vertAlign w:val="subscript"/>
                <w:lang w:eastAsia="en-IN"/>
              </w:rPr>
              <w:t>4</w:t>
            </w:r>
          </w:p>
        </w:tc>
        <w:tc>
          <w:tcPr>
            <w:tcW w:w="1134" w:type="dxa"/>
            <w:hideMark/>
          </w:tcPr>
          <w:p w14:paraId="29CF7984"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278.34</w:t>
            </w:r>
          </w:p>
        </w:tc>
        <w:tc>
          <w:tcPr>
            <w:tcW w:w="1276" w:type="dxa"/>
            <w:hideMark/>
          </w:tcPr>
          <w:p w14:paraId="17757FB8"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84-74-2</w:t>
            </w:r>
          </w:p>
        </w:tc>
      </w:tr>
      <w:tr w:rsidR="0072173E" w14:paraId="5E28021D" w14:textId="77777777" w:rsidTr="00454909">
        <w:trPr>
          <w:trHeight w:val="548"/>
          <w:jc w:val="center"/>
        </w:trPr>
        <w:tc>
          <w:tcPr>
            <w:tcW w:w="504" w:type="dxa"/>
            <w:hideMark/>
          </w:tcPr>
          <w:p w14:paraId="5D396AEF"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97" w:type="dxa"/>
            <w:hideMark/>
          </w:tcPr>
          <w:p w14:paraId="7EC8471C"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22.06</w:t>
            </w:r>
          </w:p>
        </w:tc>
        <w:tc>
          <w:tcPr>
            <w:tcW w:w="851" w:type="dxa"/>
            <w:hideMark/>
          </w:tcPr>
          <w:p w14:paraId="645CF9C7"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4.41</w:t>
            </w:r>
          </w:p>
        </w:tc>
        <w:tc>
          <w:tcPr>
            <w:tcW w:w="2693" w:type="dxa"/>
            <w:hideMark/>
          </w:tcPr>
          <w:p w14:paraId="5DE723D4" w14:textId="77777777" w:rsidR="0072173E" w:rsidRDefault="0072173E" w:rsidP="0072173E">
            <w:pPr>
              <w:spacing w:line="360" w:lineRule="auto"/>
              <w:rPr>
                <w:rFonts w:ascii="Times New Roman" w:hAnsi="Times New Roman" w:cs="Times New Roman"/>
                <w:sz w:val="24"/>
                <w:szCs w:val="24"/>
              </w:rPr>
            </w:pPr>
            <w:bookmarkStart w:id="9" w:name="_Hlk124951859"/>
            <w:r>
              <w:rPr>
                <w:rFonts w:ascii="Times New Roman" w:eastAsia="Times New Roman" w:hAnsi="Times New Roman" w:cs="Times New Roman"/>
                <w:color w:val="000000"/>
                <w:sz w:val="24"/>
                <w:szCs w:val="24"/>
                <w:lang w:eastAsia="en-IN"/>
              </w:rPr>
              <w:t>9,12-Octadecadienoic acid (</w:t>
            </w:r>
            <w:proofErr w:type="gramStart"/>
            <w:r>
              <w:rPr>
                <w:rFonts w:ascii="Times New Roman" w:eastAsia="Times New Roman" w:hAnsi="Times New Roman" w:cs="Times New Roman"/>
                <w:color w:val="000000"/>
                <w:sz w:val="24"/>
                <w:szCs w:val="24"/>
                <w:lang w:eastAsia="en-IN"/>
              </w:rPr>
              <w:t>Z,Z</w:t>
            </w:r>
            <w:proofErr w:type="gramEnd"/>
            <w:r>
              <w:rPr>
                <w:rFonts w:ascii="Times New Roman" w:eastAsia="Times New Roman" w:hAnsi="Times New Roman" w:cs="Times New Roman"/>
                <w:color w:val="000000"/>
                <w:sz w:val="24"/>
                <w:szCs w:val="24"/>
                <w:lang w:eastAsia="en-IN"/>
              </w:rPr>
              <w:t>)- methyl ester</w:t>
            </w:r>
            <w:bookmarkEnd w:id="9"/>
          </w:p>
        </w:tc>
        <w:tc>
          <w:tcPr>
            <w:tcW w:w="1134" w:type="dxa"/>
            <w:hideMark/>
          </w:tcPr>
          <w:p w14:paraId="0756625F"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92</w:t>
            </w:r>
          </w:p>
        </w:tc>
        <w:tc>
          <w:tcPr>
            <w:tcW w:w="1134" w:type="dxa"/>
            <w:hideMark/>
          </w:tcPr>
          <w:p w14:paraId="18088EA3"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19</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34</w:t>
            </w:r>
            <w:r>
              <w:rPr>
                <w:rFonts w:ascii="Times New Roman" w:eastAsia="Times New Roman" w:hAnsi="Times New Roman" w:cs="Times New Roman"/>
                <w:color w:val="000000"/>
                <w:sz w:val="24"/>
                <w:szCs w:val="24"/>
                <w:lang w:eastAsia="en-IN"/>
              </w:rPr>
              <w:t>O</w:t>
            </w:r>
            <w:r>
              <w:rPr>
                <w:rFonts w:ascii="Times New Roman" w:eastAsia="Times New Roman" w:hAnsi="Times New Roman" w:cs="Times New Roman"/>
                <w:color w:val="000000"/>
                <w:sz w:val="24"/>
                <w:szCs w:val="24"/>
                <w:vertAlign w:val="subscript"/>
                <w:lang w:eastAsia="en-IN"/>
              </w:rPr>
              <w:t>2</w:t>
            </w:r>
          </w:p>
        </w:tc>
        <w:tc>
          <w:tcPr>
            <w:tcW w:w="1134" w:type="dxa"/>
            <w:hideMark/>
          </w:tcPr>
          <w:p w14:paraId="1B54B891"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294.47</w:t>
            </w:r>
          </w:p>
        </w:tc>
        <w:tc>
          <w:tcPr>
            <w:tcW w:w="1276" w:type="dxa"/>
            <w:hideMark/>
          </w:tcPr>
          <w:p w14:paraId="1C3952BE"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112-63-0</w:t>
            </w:r>
          </w:p>
        </w:tc>
      </w:tr>
      <w:tr w:rsidR="0072173E" w14:paraId="57F8C1C5" w14:textId="77777777" w:rsidTr="00454909">
        <w:trPr>
          <w:trHeight w:val="548"/>
          <w:jc w:val="center"/>
        </w:trPr>
        <w:tc>
          <w:tcPr>
            <w:tcW w:w="504" w:type="dxa"/>
            <w:hideMark/>
          </w:tcPr>
          <w:p w14:paraId="3FE5EA20"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97" w:type="dxa"/>
            <w:hideMark/>
          </w:tcPr>
          <w:p w14:paraId="7253B46D"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22.10</w:t>
            </w:r>
          </w:p>
        </w:tc>
        <w:tc>
          <w:tcPr>
            <w:tcW w:w="851" w:type="dxa"/>
            <w:hideMark/>
          </w:tcPr>
          <w:p w14:paraId="103D9B88"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4.93</w:t>
            </w:r>
          </w:p>
        </w:tc>
        <w:tc>
          <w:tcPr>
            <w:tcW w:w="2693" w:type="dxa"/>
            <w:hideMark/>
          </w:tcPr>
          <w:p w14:paraId="26847378" w14:textId="77777777" w:rsidR="0072173E" w:rsidRDefault="0072173E" w:rsidP="0072173E">
            <w:pPr>
              <w:spacing w:line="360" w:lineRule="auto"/>
              <w:rPr>
                <w:rFonts w:ascii="Times New Roman" w:hAnsi="Times New Roman" w:cs="Times New Roman"/>
                <w:sz w:val="24"/>
                <w:szCs w:val="24"/>
              </w:rPr>
            </w:pPr>
            <w:bookmarkStart w:id="10" w:name="_Hlk124954560"/>
            <w:r>
              <w:rPr>
                <w:rFonts w:ascii="Times New Roman" w:eastAsia="Times New Roman" w:hAnsi="Times New Roman" w:cs="Times New Roman"/>
                <w:color w:val="000000"/>
                <w:sz w:val="24"/>
                <w:szCs w:val="24"/>
                <w:lang w:eastAsia="en-IN"/>
              </w:rPr>
              <w:t>9-Octadecenoic acid methyl ester, (E)-</w:t>
            </w:r>
            <w:bookmarkEnd w:id="10"/>
          </w:p>
        </w:tc>
        <w:tc>
          <w:tcPr>
            <w:tcW w:w="1134" w:type="dxa"/>
            <w:hideMark/>
          </w:tcPr>
          <w:p w14:paraId="424E8BE0"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92</w:t>
            </w:r>
          </w:p>
        </w:tc>
        <w:tc>
          <w:tcPr>
            <w:tcW w:w="1134" w:type="dxa"/>
            <w:hideMark/>
          </w:tcPr>
          <w:p w14:paraId="5A58DC93"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19</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36</w:t>
            </w:r>
            <w:r>
              <w:rPr>
                <w:rFonts w:ascii="Times New Roman" w:eastAsia="Times New Roman" w:hAnsi="Times New Roman" w:cs="Times New Roman"/>
                <w:color w:val="000000"/>
                <w:sz w:val="24"/>
                <w:szCs w:val="24"/>
                <w:lang w:eastAsia="en-IN"/>
              </w:rPr>
              <w:t>O</w:t>
            </w:r>
            <w:r>
              <w:rPr>
                <w:rFonts w:ascii="Times New Roman" w:eastAsia="Times New Roman" w:hAnsi="Times New Roman" w:cs="Times New Roman"/>
                <w:color w:val="000000"/>
                <w:sz w:val="24"/>
                <w:szCs w:val="24"/>
                <w:vertAlign w:val="subscript"/>
                <w:lang w:eastAsia="en-IN"/>
              </w:rPr>
              <w:t>2</w:t>
            </w:r>
          </w:p>
        </w:tc>
        <w:tc>
          <w:tcPr>
            <w:tcW w:w="1134" w:type="dxa"/>
            <w:hideMark/>
          </w:tcPr>
          <w:p w14:paraId="1E12E931"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296.49</w:t>
            </w:r>
          </w:p>
        </w:tc>
        <w:tc>
          <w:tcPr>
            <w:tcW w:w="1276" w:type="dxa"/>
            <w:hideMark/>
          </w:tcPr>
          <w:p w14:paraId="5688C4F5"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1937-62-8</w:t>
            </w:r>
          </w:p>
        </w:tc>
      </w:tr>
      <w:tr w:rsidR="0072173E" w14:paraId="10F13590" w14:textId="77777777" w:rsidTr="00454909">
        <w:trPr>
          <w:trHeight w:val="273"/>
          <w:jc w:val="center"/>
        </w:trPr>
        <w:tc>
          <w:tcPr>
            <w:tcW w:w="504" w:type="dxa"/>
            <w:hideMark/>
          </w:tcPr>
          <w:p w14:paraId="7D2E8971"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97" w:type="dxa"/>
            <w:hideMark/>
          </w:tcPr>
          <w:p w14:paraId="7D5B9CF2"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22.33</w:t>
            </w:r>
          </w:p>
        </w:tc>
        <w:tc>
          <w:tcPr>
            <w:tcW w:w="851" w:type="dxa"/>
            <w:hideMark/>
          </w:tcPr>
          <w:p w14:paraId="3EA0FB82"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4.85</w:t>
            </w:r>
          </w:p>
        </w:tc>
        <w:tc>
          <w:tcPr>
            <w:tcW w:w="2693" w:type="dxa"/>
            <w:hideMark/>
          </w:tcPr>
          <w:p w14:paraId="40DD6CFD"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Methyl stearate</w:t>
            </w:r>
          </w:p>
        </w:tc>
        <w:tc>
          <w:tcPr>
            <w:tcW w:w="1134" w:type="dxa"/>
            <w:hideMark/>
          </w:tcPr>
          <w:p w14:paraId="09AAF9AF"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96</w:t>
            </w:r>
          </w:p>
        </w:tc>
        <w:tc>
          <w:tcPr>
            <w:tcW w:w="1134" w:type="dxa"/>
            <w:hideMark/>
          </w:tcPr>
          <w:p w14:paraId="7F3964E5"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19</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38</w:t>
            </w:r>
            <w:r>
              <w:rPr>
                <w:rFonts w:ascii="Times New Roman" w:eastAsia="Times New Roman" w:hAnsi="Times New Roman" w:cs="Times New Roman"/>
                <w:color w:val="000000"/>
                <w:sz w:val="24"/>
                <w:szCs w:val="24"/>
                <w:lang w:eastAsia="en-IN"/>
              </w:rPr>
              <w:t>O</w:t>
            </w:r>
            <w:r>
              <w:rPr>
                <w:rFonts w:ascii="Times New Roman" w:eastAsia="Times New Roman" w:hAnsi="Times New Roman" w:cs="Times New Roman"/>
                <w:color w:val="000000"/>
                <w:sz w:val="24"/>
                <w:szCs w:val="24"/>
                <w:vertAlign w:val="subscript"/>
                <w:lang w:eastAsia="en-IN"/>
              </w:rPr>
              <w:t>2</w:t>
            </w:r>
          </w:p>
        </w:tc>
        <w:tc>
          <w:tcPr>
            <w:tcW w:w="1134" w:type="dxa"/>
            <w:hideMark/>
          </w:tcPr>
          <w:p w14:paraId="57E0997B"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298.5</w:t>
            </w:r>
          </w:p>
        </w:tc>
        <w:tc>
          <w:tcPr>
            <w:tcW w:w="1276" w:type="dxa"/>
            <w:hideMark/>
          </w:tcPr>
          <w:p w14:paraId="5E6CD9ED"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112-61-8</w:t>
            </w:r>
          </w:p>
        </w:tc>
      </w:tr>
      <w:tr w:rsidR="0072173E" w14:paraId="2DE5EB69" w14:textId="77777777" w:rsidTr="00454909">
        <w:trPr>
          <w:trHeight w:val="273"/>
          <w:jc w:val="center"/>
        </w:trPr>
        <w:tc>
          <w:tcPr>
            <w:tcW w:w="504" w:type="dxa"/>
            <w:hideMark/>
          </w:tcPr>
          <w:p w14:paraId="10A08E56"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97" w:type="dxa"/>
            <w:hideMark/>
          </w:tcPr>
          <w:p w14:paraId="7A81357B"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22.94</w:t>
            </w:r>
          </w:p>
        </w:tc>
        <w:tc>
          <w:tcPr>
            <w:tcW w:w="851" w:type="dxa"/>
            <w:hideMark/>
          </w:tcPr>
          <w:p w14:paraId="49EDB162"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0.73</w:t>
            </w:r>
          </w:p>
        </w:tc>
        <w:tc>
          <w:tcPr>
            <w:tcW w:w="2693" w:type="dxa"/>
            <w:hideMark/>
          </w:tcPr>
          <w:p w14:paraId="3EBAE6A0"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Behenic alcohol</w:t>
            </w:r>
          </w:p>
        </w:tc>
        <w:tc>
          <w:tcPr>
            <w:tcW w:w="1134" w:type="dxa"/>
            <w:hideMark/>
          </w:tcPr>
          <w:p w14:paraId="232E62CA"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92</w:t>
            </w:r>
          </w:p>
        </w:tc>
        <w:tc>
          <w:tcPr>
            <w:tcW w:w="1134" w:type="dxa"/>
            <w:hideMark/>
          </w:tcPr>
          <w:p w14:paraId="4590B0FB"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22</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46</w:t>
            </w:r>
            <w:r>
              <w:rPr>
                <w:rFonts w:ascii="Times New Roman" w:eastAsia="Times New Roman" w:hAnsi="Times New Roman" w:cs="Times New Roman"/>
                <w:color w:val="000000"/>
                <w:sz w:val="24"/>
                <w:szCs w:val="24"/>
                <w:lang w:eastAsia="en-IN"/>
              </w:rPr>
              <w:t>O</w:t>
            </w:r>
          </w:p>
        </w:tc>
        <w:tc>
          <w:tcPr>
            <w:tcW w:w="1134" w:type="dxa"/>
            <w:hideMark/>
          </w:tcPr>
          <w:p w14:paraId="5AE25F9A"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326.6</w:t>
            </w:r>
          </w:p>
        </w:tc>
        <w:tc>
          <w:tcPr>
            <w:tcW w:w="1276" w:type="dxa"/>
            <w:hideMark/>
          </w:tcPr>
          <w:p w14:paraId="397A8FA8"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661-19-8</w:t>
            </w:r>
          </w:p>
        </w:tc>
      </w:tr>
      <w:tr w:rsidR="0072173E" w14:paraId="65E596CE" w14:textId="77777777" w:rsidTr="00454909">
        <w:trPr>
          <w:trHeight w:val="273"/>
          <w:jc w:val="center"/>
        </w:trPr>
        <w:tc>
          <w:tcPr>
            <w:tcW w:w="504" w:type="dxa"/>
            <w:hideMark/>
          </w:tcPr>
          <w:p w14:paraId="6884EAA4"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97" w:type="dxa"/>
            <w:hideMark/>
          </w:tcPr>
          <w:p w14:paraId="4E2A8B11"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27.97</w:t>
            </w:r>
          </w:p>
        </w:tc>
        <w:tc>
          <w:tcPr>
            <w:tcW w:w="851" w:type="dxa"/>
            <w:hideMark/>
          </w:tcPr>
          <w:p w14:paraId="5125DDD2"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4.56</w:t>
            </w:r>
          </w:p>
        </w:tc>
        <w:tc>
          <w:tcPr>
            <w:tcW w:w="2693" w:type="dxa"/>
            <w:hideMark/>
          </w:tcPr>
          <w:p w14:paraId="34BBA88B"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13-Docosenamide, (Z)-</w:t>
            </w:r>
          </w:p>
        </w:tc>
        <w:tc>
          <w:tcPr>
            <w:tcW w:w="1134" w:type="dxa"/>
            <w:hideMark/>
          </w:tcPr>
          <w:p w14:paraId="1E3D9B83" w14:textId="77777777" w:rsidR="0072173E" w:rsidRDefault="0072173E" w:rsidP="0072173E">
            <w:pPr>
              <w:spacing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91</w:t>
            </w:r>
          </w:p>
        </w:tc>
        <w:tc>
          <w:tcPr>
            <w:tcW w:w="1134" w:type="dxa"/>
            <w:hideMark/>
          </w:tcPr>
          <w:p w14:paraId="3C83C137"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C</w:t>
            </w:r>
            <w:r>
              <w:rPr>
                <w:rFonts w:ascii="Times New Roman" w:eastAsia="Times New Roman" w:hAnsi="Times New Roman" w:cs="Times New Roman"/>
                <w:color w:val="000000"/>
                <w:sz w:val="24"/>
                <w:szCs w:val="24"/>
                <w:vertAlign w:val="subscript"/>
                <w:lang w:eastAsia="en-IN"/>
              </w:rPr>
              <w:t>22</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43</w:t>
            </w:r>
            <w:r>
              <w:rPr>
                <w:rFonts w:ascii="Times New Roman" w:eastAsia="Times New Roman" w:hAnsi="Times New Roman" w:cs="Times New Roman"/>
                <w:color w:val="000000"/>
                <w:sz w:val="24"/>
                <w:szCs w:val="24"/>
                <w:lang w:eastAsia="en-IN"/>
              </w:rPr>
              <w:t>NO</w:t>
            </w:r>
          </w:p>
        </w:tc>
        <w:tc>
          <w:tcPr>
            <w:tcW w:w="1134" w:type="dxa"/>
            <w:hideMark/>
          </w:tcPr>
          <w:p w14:paraId="25981F8B"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337.58</w:t>
            </w:r>
          </w:p>
        </w:tc>
        <w:tc>
          <w:tcPr>
            <w:tcW w:w="1276" w:type="dxa"/>
            <w:hideMark/>
          </w:tcPr>
          <w:p w14:paraId="57FED2B0"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112-84-5</w:t>
            </w:r>
          </w:p>
        </w:tc>
      </w:tr>
      <w:tr w:rsidR="0072173E" w14:paraId="174FB59A" w14:textId="77777777" w:rsidTr="00454909">
        <w:trPr>
          <w:trHeight w:val="273"/>
          <w:jc w:val="center"/>
        </w:trPr>
        <w:tc>
          <w:tcPr>
            <w:tcW w:w="504" w:type="dxa"/>
            <w:tcBorders>
              <w:top w:val="nil"/>
              <w:left w:val="nil"/>
              <w:bottom w:val="single" w:sz="4" w:space="0" w:color="auto"/>
              <w:right w:val="nil"/>
            </w:tcBorders>
            <w:hideMark/>
          </w:tcPr>
          <w:p w14:paraId="33D75A1E"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97" w:type="dxa"/>
            <w:tcBorders>
              <w:top w:val="nil"/>
              <w:left w:val="nil"/>
              <w:bottom w:val="single" w:sz="4" w:space="0" w:color="auto"/>
              <w:right w:val="nil"/>
            </w:tcBorders>
            <w:hideMark/>
          </w:tcPr>
          <w:p w14:paraId="67A8FF59"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34.06</w:t>
            </w:r>
          </w:p>
        </w:tc>
        <w:tc>
          <w:tcPr>
            <w:tcW w:w="851" w:type="dxa"/>
            <w:tcBorders>
              <w:top w:val="nil"/>
              <w:left w:val="nil"/>
              <w:bottom w:val="single" w:sz="4" w:space="0" w:color="auto"/>
              <w:right w:val="nil"/>
            </w:tcBorders>
            <w:hideMark/>
          </w:tcPr>
          <w:p w14:paraId="5958D9FD"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3.39</w:t>
            </w:r>
          </w:p>
        </w:tc>
        <w:tc>
          <w:tcPr>
            <w:tcW w:w="2693" w:type="dxa"/>
            <w:tcBorders>
              <w:top w:val="nil"/>
              <w:left w:val="nil"/>
              <w:bottom w:val="single" w:sz="4" w:space="0" w:color="auto"/>
              <w:right w:val="nil"/>
            </w:tcBorders>
            <w:hideMark/>
          </w:tcPr>
          <w:p w14:paraId="40AFA4E3" w14:textId="77777777" w:rsidR="0072173E" w:rsidRDefault="0072173E" w:rsidP="0072173E">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γ-Sitosterol</w:t>
            </w:r>
          </w:p>
        </w:tc>
        <w:tc>
          <w:tcPr>
            <w:tcW w:w="1134" w:type="dxa"/>
            <w:tcBorders>
              <w:top w:val="nil"/>
              <w:left w:val="nil"/>
              <w:bottom w:val="single" w:sz="4" w:space="0" w:color="auto"/>
              <w:right w:val="nil"/>
            </w:tcBorders>
            <w:hideMark/>
          </w:tcPr>
          <w:p w14:paraId="2D557A79"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134" w:type="dxa"/>
            <w:tcBorders>
              <w:top w:val="nil"/>
              <w:left w:val="nil"/>
              <w:bottom w:val="single" w:sz="4" w:space="0" w:color="auto"/>
              <w:right w:val="nil"/>
            </w:tcBorders>
            <w:hideMark/>
          </w:tcPr>
          <w:p w14:paraId="43483DE9"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eastAsia="Times New Roman" w:hAnsi="Times New Roman" w:cs="Times New Roman"/>
                <w:color w:val="000000"/>
                <w:sz w:val="24"/>
                <w:szCs w:val="24"/>
                <w:vertAlign w:val="subscript"/>
                <w:lang w:eastAsia="en-IN"/>
              </w:rPr>
              <w:t>29</w:t>
            </w:r>
            <w:r>
              <w:rPr>
                <w:rFonts w:ascii="Times New Roman" w:eastAsia="Times New Roman" w:hAnsi="Times New Roman" w:cs="Times New Roman"/>
                <w:color w:val="000000"/>
                <w:sz w:val="24"/>
                <w:szCs w:val="24"/>
                <w:lang w:eastAsia="en-IN"/>
              </w:rPr>
              <w:t>H</w:t>
            </w:r>
            <w:r>
              <w:rPr>
                <w:rFonts w:ascii="Times New Roman" w:eastAsia="Times New Roman" w:hAnsi="Times New Roman" w:cs="Times New Roman"/>
                <w:color w:val="000000"/>
                <w:sz w:val="24"/>
                <w:szCs w:val="24"/>
                <w:vertAlign w:val="subscript"/>
                <w:lang w:eastAsia="en-IN"/>
              </w:rPr>
              <w:t>50</w:t>
            </w:r>
            <w:r>
              <w:rPr>
                <w:rFonts w:ascii="Times New Roman" w:eastAsia="Times New Roman" w:hAnsi="Times New Roman" w:cs="Times New Roman"/>
                <w:color w:val="000000"/>
                <w:sz w:val="24"/>
                <w:szCs w:val="24"/>
                <w:lang w:eastAsia="en-IN"/>
              </w:rPr>
              <w:t>O</w:t>
            </w:r>
          </w:p>
        </w:tc>
        <w:tc>
          <w:tcPr>
            <w:tcW w:w="1134" w:type="dxa"/>
            <w:tcBorders>
              <w:top w:val="nil"/>
              <w:left w:val="nil"/>
              <w:bottom w:val="single" w:sz="4" w:space="0" w:color="auto"/>
              <w:right w:val="nil"/>
            </w:tcBorders>
            <w:hideMark/>
          </w:tcPr>
          <w:p w14:paraId="457BF833" w14:textId="77777777" w:rsidR="0072173E" w:rsidRDefault="0072173E" w:rsidP="0072173E">
            <w:pPr>
              <w:spacing w:line="360" w:lineRule="auto"/>
              <w:jc w:val="center"/>
              <w:rPr>
                <w:rFonts w:ascii="Times New Roman" w:hAnsi="Times New Roman" w:cs="Times New Roman"/>
                <w:sz w:val="24"/>
                <w:szCs w:val="24"/>
              </w:rPr>
            </w:pPr>
            <w:r>
              <w:rPr>
                <w:rFonts w:ascii="Times New Roman" w:hAnsi="Times New Roman" w:cs="Times New Roman"/>
                <w:sz w:val="24"/>
                <w:szCs w:val="24"/>
              </w:rPr>
              <w:t>414.7</w:t>
            </w:r>
          </w:p>
        </w:tc>
        <w:tc>
          <w:tcPr>
            <w:tcW w:w="1276" w:type="dxa"/>
            <w:tcBorders>
              <w:top w:val="nil"/>
              <w:left w:val="nil"/>
              <w:bottom w:val="single" w:sz="4" w:space="0" w:color="auto"/>
              <w:right w:val="nil"/>
            </w:tcBorders>
            <w:hideMark/>
          </w:tcPr>
          <w:p w14:paraId="3FED8D3A" w14:textId="77777777" w:rsidR="0072173E" w:rsidRDefault="0072173E" w:rsidP="0072173E">
            <w:pPr>
              <w:spacing w:line="36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83-47-6</w:t>
            </w:r>
          </w:p>
        </w:tc>
      </w:tr>
    </w:tbl>
    <w:p w14:paraId="67F68C04" w14:textId="77777777" w:rsidR="0072173E" w:rsidRPr="0072173E" w:rsidRDefault="0072173E" w:rsidP="00C545F9">
      <w:pPr>
        <w:spacing w:line="480" w:lineRule="auto"/>
        <w:rPr>
          <w:rFonts w:ascii="Times New Roman" w:hAnsi="Times New Roman" w:cs="Times New Roman"/>
          <w:sz w:val="24"/>
          <w:szCs w:val="24"/>
        </w:rPr>
      </w:pPr>
      <w:r w:rsidRPr="0072173E">
        <w:rPr>
          <w:rFonts w:ascii="Times New Roman" w:hAnsi="Times New Roman" w:cs="Times New Roman"/>
          <w:sz w:val="24"/>
          <w:szCs w:val="24"/>
        </w:rPr>
        <w:t>CAS- Chemical abstract service</w:t>
      </w:r>
    </w:p>
    <w:p w14:paraId="49A51D96" w14:textId="51B8E74B" w:rsidR="00ED7739" w:rsidRPr="00651EED" w:rsidRDefault="00ED7739" w:rsidP="00C545F9">
      <w:pPr>
        <w:spacing w:line="480" w:lineRule="auto"/>
        <w:jc w:val="both"/>
        <w:rPr>
          <w:rFonts w:ascii="Times New Roman" w:hAnsi="Times New Roman" w:cs="Times New Roman"/>
          <w:sz w:val="24"/>
          <w:szCs w:val="24"/>
        </w:rPr>
      </w:pPr>
      <w:r w:rsidRPr="00651EED">
        <w:rPr>
          <w:rFonts w:ascii="Times New Roman" w:hAnsi="Times New Roman" w:cs="Times New Roman"/>
          <w:b/>
          <w:bCs/>
          <w:sz w:val="24"/>
          <w:szCs w:val="24"/>
        </w:rPr>
        <w:t>Table S</w:t>
      </w:r>
      <w:r w:rsidR="0072173E">
        <w:rPr>
          <w:rFonts w:ascii="Times New Roman" w:hAnsi="Times New Roman" w:cs="Times New Roman"/>
          <w:b/>
          <w:bCs/>
          <w:sz w:val="24"/>
          <w:szCs w:val="24"/>
        </w:rPr>
        <w:t>4</w:t>
      </w:r>
      <w:r w:rsidRPr="00651EED">
        <w:rPr>
          <w:rFonts w:ascii="Times New Roman" w:hAnsi="Times New Roman" w:cs="Times New Roman"/>
          <w:sz w:val="24"/>
          <w:szCs w:val="24"/>
        </w:rPr>
        <w:t xml:space="preserve"> </w:t>
      </w:r>
      <w:bookmarkStart w:id="11" w:name="_Hlk129111414"/>
      <w:r w:rsidRPr="00651EED">
        <w:rPr>
          <w:rFonts w:ascii="Times New Roman" w:hAnsi="Times New Roman" w:cs="Times New Roman"/>
          <w:sz w:val="24"/>
          <w:szCs w:val="24"/>
        </w:rPr>
        <w:t xml:space="preserve">Pearson’s </w:t>
      </w:r>
      <w:bookmarkStart w:id="12" w:name="_Hlk129110692"/>
      <w:r w:rsidRPr="00651EED">
        <w:rPr>
          <w:rFonts w:ascii="Times New Roman" w:hAnsi="Times New Roman" w:cs="Times New Roman"/>
          <w:sz w:val="24"/>
          <w:szCs w:val="24"/>
        </w:rPr>
        <w:t xml:space="preserve">Correlation analysis </w:t>
      </w:r>
      <w:bookmarkEnd w:id="11"/>
      <w:r w:rsidRPr="00651EED">
        <w:rPr>
          <w:rFonts w:ascii="Times New Roman" w:hAnsi="Times New Roman" w:cs="Times New Roman"/>
          <w:sz w:val="24"/>
          <w:szCs w:val="24"/>
        </w:rPr>
        <w:t xml:space="preserve">between phytochemical content </w:t>
      </w:r>
      <w:bookmarkEnd w:id="12"/>
      <w:r w:rsidRPr="00651EED">
        <w:rPr>
          <w:rFonts w:ascii="Times New Roman" w:hAnsi="Times New Roman" w:cs="Times New Roman"/>
          <w:sz w:val="24"/>
          <w:szCs w:val="24"/>
        </w:rPr>
        <w:t>and IC</w:t>
      </w:r>
      <w:r w:rsidRPr="00651EED">
        <w:rPr>
          <w:rFonts w:ascii="Times New Roman" w:hAnsi="Times New Roman" w:cs="Times New Roman"/>
          <w:sz w:val="24"/>
          <w:szCs w:val="24"/>
          <w:vertAlign w:val="subscript"/>
        </w:rPr>
        <w:t>50</w:t>
      </w:r>
      <w:r w:rsidRPr="00651EED">
        <w:rPr>
          <w:rFonts w:ascii="Times New Roman" w:hAnsi="Times New Roman" w:cs="Times New Roman"/>
          <w:sz w:val="24"/>
          <w:szCs w:val="24"/>
        </w:rPr>
        <w:t xml:space="preserve"> values of antioxidant, antiglycation </w:t>
      </w:r>
      <w:bookmarkStart w:id="13" w:name="_Hlk129111354"/>
      <w:r w:rsidRPr="00651EED">
        <w:rPr>
          <w:rFonts w:ascii="Times New Roman" w:hAnsi="Times New Roman" w:cs="Times New Roman"/>
          <w:sz w:val="24"/>
          <w:szCs w:val="24"/>
        </w:rPr>
        <w:t>and α-amylase and α-glucosidase inhibition assays</w:t>
      </w:r>
      <w:bookmarkEnd w:id="1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079"/>
        <w:gridCol w:w="1079"/>
        <w:gridCol w:w="1079"/>
        <w:gridCol w:w="1079"/>
        <w:gridCol w:w="1079"/>
        <w:gridCol w:w="1079"/>
      </w:tblGrid>
      <w:tr w:rsidR="00ED7739" w:rsidRPr="00651EED" w14:paraId="6BE59191" w14:textId="77777777" w:rsidTr="00360D5B">
        <w:tc>
          <w:tcPr>
            <w:tcW w:w="2552" w:type="dxa"/>
            <w:vMerge w:val="restart"/>
            <w:tcBorders>
              <w:top w:val="single" w:sz="4" w:space="0" w:color="auto"/>
              <w:bottom w:val="nil"/>
            </w:tcBorders>
          </w:tcPr>
          <w:p w14:paraId="5E6CDDA1"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Assays (</w:t>
            </w:r>
            <w:r w:rsidRPr="00651EED">
              <w:rPr>
                <w:rFonts w:ascii="Times New Roman" w:hAnsi="Times New Roman" w:cs="Times New Roman"/>
                <w:color w:val="000000" w:themeColor="text1"/>
                <w:sz w:val="24"/>
                <w:szCs w:val="24"/>
              </w:rPr>
              <w:t>IC</w:t>
            </w:r>
            <w:r w:rsidRPr="00651EED">
              <w:rPr>
                <w:rFonts w:ascii="Times New Roman" w:hAnsi="Times New Roman" w:cs="Times New Roman"/>
                <w:color w:val="000000" w:themeColor="text1"/>
                <w:sz w:val="24"/>
                <w:szCs w:val="24"/>
                <w:vertAlign w:val="subscript"/>
              </w:rPr>
              <w:t>50</w:t>
            </w:r>
            <w:r w:rsidRPr="00651EED">
              <w:rPr>
                <w:rFonts w:ascii="Times New Roman" w:hAnsi="Times New Roman" w:cs="Times New Roman"/>
                <w:color w:val="000000" w:themeColor="text1"/>
                <w:sz w:val="24"/>
                <w:szCs w:val="24"/>
              </w:rPr>
              <w:t xml:space="preserve"> </w:t>
            </w:r>
            <w:proofErr w:type="spellStart"/>
            <w:r w:rsidRPr="00651EED">
              <w:rPr>
                <w:rFonts w:ascii="Times New Roman" w:hAnsi="Times New Roman" w:cs="Times New Roman"/>
                <w:color w:val="000000" w:themeColor="text1"/>
                <w:sz w:val="24"/>
                <w:szCs w:val="24"/>
              </w:rPr>
              <w:t>μg</w:t>
            </w:r>
            <w:proofErr w:type="spellEnd"/>
            <w:r w:rsidRPr="00651EED">
              <w:rPr>
                <w:rFonts w:ascii="Times New Roman" w:hAnsi="Times New Roman" w:cs="Times New Roman"/>
                <w:color w:val="000000" w:themeColor="text1"/>
                <w:sz w:val="24"/>
                <w:szCs w:val="24"/>
              </w:rPr>
              <w:t>/ml)</w:t>
            </w:r>
          </w:p>
        </w:tc>
        <w:tc>
          <w:tcPr>
            <w:tcW w:w="2158" w:type="dxa"/>
            <w:gridSpan w:val="2"/>
            <w:tcBorders>
              <w:top w:val="single" w:sz="4" w:space="0" w:color="auto"/>
              <w:bottom w:val="nil"/>
            </w:tcBorders>
          </w:tcPr>
          <w:p w14:paraId="117F5709"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Phenolics</w:t>
            </w:r>
          </w:p>
        </w:tc>
        <w:tc>
          <w:tcPr>
            <w:tcW w:w="2158" w:type="dxa"/>
            <w:gridSpan w:val="2"/>
            <w:tcBorders>
              <w:top w:val="single" w:sz="4" w:space="0" w:color="auto"/>
              <w:bottom w:val="nil"/>
            </w:tcBorders>
          </w:tcPr>
          <w:p w14:paraId="5D3ABD2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Flavonoids</w:t>
            </w:r>
          </w:p>
        </w:tc>
        <w:tc>
          <w:tcPr>
            <w:tcW w:w="2158" w:type="dxa"/>
            <w:gridSpan w:val="2"/>
            <w:tcBorders>
              <w:top w:val="single" w:sz="4" w:space="0" w:color="auto"/>
              <w:bottom w:val="nil"/>
            </w:tcBorders>
          </w:tcPr>
          <w:p w14:paraId="31783713"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Tannins</w:t>
            </w:r>
          </w:p>
        </w:tc>
      </w:tr>
      <w:tr w:rsidR="00ED7739" w:rsidRPr="00651EED" w14:paraId="381FE3DA" w14:textId="77777777" w:rsidTr="00360D5B">
        <w:tc>
          <w:tcPr>
            <w:tcW w:w="2552" w:type="dxa"/>
            <w:vMerge/>
            <w:tcBorders>
              <w:top w:val="nil"/>
              <w:bottom w:val="single" w:sz="4" w:space="0" w:color="auto"/>
            </w:tcBorders>
          </w:tcPr>
          <w:p w14:paraId="610E5452" w14:textId="77777777" w:rsidR="00ED7739" w:rsidRPr="00651EED" w:rsidRDefault="00ED7739" w:rsidP="00360D5B">
            <w:pPr>
              <w:jc w:val="center"/>
              <w:rPr>
                <w:rFonts w:ascii="Times New Roman" w:hAnsi="Times New Roman" w:cs="Times New Roman"/>
                <w:sz w:val="24"/>
                <w:szCs w:val="24"/>
              </w:rPr>
            </w:pPr>
          </w:p>
        </w:tc>
        <w:tc>
          <w:tcPr>
            <w:tcW w:w="1079" w:type="dxa"/>
            <w:tcBorders>
              <w:top w:val="nil"/>
              <w:bottom w:val="single" w:sz="4" w:space="0" w:color="auto"/>
            </w:tcBorders>
          </w:tcPr>
          <w:p w14:paraId="7DC5B650"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r</w:t>
            </w:r>
          </w:p>
        </w:tc>
        <w:tc>
          <w:tcPr>
            <w:tcW w:w="1079" w:type="dxa"/>
            <w:tcBorders>
              <w:top w:val="nil"/>
              <w:bottom w:val="single" w:sz="4" w:space="0" w:color="auto"/>
            </w:tcBorders>
          </w:tcPr>
          <w:p w14:paraId="24F003D0"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R</w:t>
            </w:r>
            <w:r w:rsidRPr="00651EED">
              <w:rPr>
                <w:rFonts w:ascii="Times New Roman" w:hAnsi="Times New Roman" w:cs="Times New Roman"/>
                <w:sz w:val="24"/>
                <w:szCs w:val="24"/>
                <w:vertAlign w:val="superscript"/>
              </w:rPr>
              <w:t>2</w:t>
            </w:r>
          </w:p>
        </w:tc>
        <w:tc>
          <w:tcPr>
            <w:tcW w:w="1079" w:type="dxa"/>
            <w:tcBorders>
              <w:top w:val="nil"/>
              <w:bottom w:val="single" w:sz="4" w:space="0" w:color="auto"/>
            </w:tcBorders>
          </w:tcPr>
          <w:p w14:paraId="26CF1A01"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r</w:t>
            </w:r>
          </w:p>
        </w:tc>
        <w:tc>
          <w:tcPr>
            <w:tcW w:w="1079" w:type="dxa"/>
            <w:tcBorders>
              <w:top w:val="nil"/>
              <w:bottom w:val="single" w:sz="4" w:space="0" w:color="auto"/>
            </w:tcBorders>
          </w:tcPr>
          <w:p w14:paraId="7225713A"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R</w:t>
            </w:r>
            <w:r w:rsidRPr="00651EED">
              <w:rPr>
                <w:rFonts w:ascii="Times New Roman" w:hAnsi="Times New Roman" w:cs="Times New Roman"/>
                <w:sz w:val="24"/>
                <w:szCs w:val="24"/>
                <w:vertAlign w:val="superscript"/>
              </w:rPr>
              <w:t>2</w:t>
            </w:r>
          </w:p>
        </w:tc>
        <w:tc>
          <w:tcPr>
            <w:tcW w:w="1079" w:type="dxa"/>
            <w:tcBorders>
              <w:top w:val="nil"/>
              <w:bottom w:val="single" w:sz="4" w:space="0" w:color="auto"/>
            </w:tcBorders>
          </w:tcPr>
          <w:p w14:paraId="2175A83F"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r</w:t>
            </w:r>
          </w:p>
        </w:tc>
        <w:tc>
          <w:tcPr>
            <w:tcW w:w="1079" w:type="dxa"/>
            <w:tcBorders>
              <w:top w:val="nil"/>
              <w:bottom w:val="single" w:sz="4" w:space="0" w:color="auto"/>
            </w:tcBorders>
          </w:tcPr>
          <w:p w14:paraId="39C43B33"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R</w:t>
            </w:r>
            <w:r w:rsidRPr="00651EED">
              <w:rPr>
                <w:rFonts w:ascii="Times New Roman" w:hAnsi="Times New Roman" w:cs="Times New Roman"/>
                <w:sz w:val="24"/>
                <w:szCs w:val="24"/>
                <w:vertAlign w:val="superscript"/>
              </w:rPr>
              <w:t>2</w:t>
            </w:r>
          </w:p>
        </w:tc>
      </w:tr>
      <w:tr w:rsidR="00ED7739" w:rsidRPr="00651EED" w14:paraId="7BFE5C37" w14:textId="77777777" w:rsidTr="00360D5B">
        <w:trPr>
          <w:trHeight w:val="552"/>
        </w:trPr>
        <w:tc>
          <w:tcPr>
            <w:tcW w:w="2552" w:type="dxa"/>
            <w:tcBorders>
              <w:top w:val="single" w:sz="4" w:space="0" w:color="auto"/>
            </w:tcBorders>
          </w:tcPr>
          <w:p w14:paraId="3A74F13F" w14:textId="77777777" w:rsidR="00ED7739" w:rsidRPr="00651EED" w:rsidRDefault="00ED7739" w:rsidP="00360D5B">
            <w:pPr>
              <w:rPr>
                <w:rFonts w:ascii="Times New Roman" w:hAnsi="Times New Roman" w:cs="Times New Roman"/>
                <w:sz w:val="24"/>
                <w:szCs w:val="24"/>
              </w:rPr>
            </w:pPr>
            <w:r w:rsidRPr="00651EED">
              <w:rPr>
                <w:rFonts w:ascii="Times New Roman" w:hAnsi="Times New Roman" w:cs="Times New Roman"/>
                <w:sz w:val="24"/>
                <w:szCs w:val="24"/>
              </w:rPr>
              <w:t>DPPH</w:t>
            </w:r>
          </w:p>
        </w:tc>
        <w:tc>
          <w:tcPr>
            <w:tcW w:w="1079" w:type="dxa"/>
            <w:tcBorders>
              <w:top w:val="single" w:sz="4" w:space="0" w:color="auto"/>
            </w:tcBorders>
          </w:tcPr>
          <w:p w14:paraId="3357C991"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-0.987</w:t>
            </w:r>
            <w:r w:rsidRPr="00651EED">
              <w:rPr>
                <w:rFonts w:ascii="Times New Roman" w:hAnsi="Times New Roman" w:cs="Times New Roman"/>
                <w:sz w:val="24"/>
                <w:szCs w:val="24"/>
                <w:vertAlign w:val="superscript"/>
              </w:rPr>
              <w:t>*</w:t>
            </w:r>
          </w:p>
        </w:tc>
        <w:tc>
          <w:tcPr>
            <w:tcW w:w="1079" w:type="dxa"/>
            <w:tcBorders>
              <w:top w:val="single" w:sz="4" w:space="0" w:color="auto"/>
            </w:tcBorders>
          </w:tcPr>
          <w:p w14:paraId="49DC84AF"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0.975</w:t>
            </w:r>
            <w:r w:rsidRPr="00651EED">
              <w:rPr>
                <w:rFonts w:ascii="Times New Roman" w:hAnsi="Times New Roman" w:cs="Times New Roman"/>
                <w:sz w:val="24"/>
                <w:szCs w:val="24"/>
                <w:vertAlign w:val="superscript"/>
              </w:rPr>
              <w:t>*</w:t>
            </w:r>
          </w:p>
        </w:tc>
        <w:tc>
          <w:tcPr>
            <w:tcW w:w="1079" w:type="dxa"/>
            <w:tcBorders>
              <w:top w:val="single" w:sz="4" w:space="0" w:color="auto"/>
            </w:tcBorders>
          </w:tcPr>
          <w:p w14:paraId="2BDB1294"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-0.896</w:t>
            </w:r>
          </w:p>
        </w:tc>
        <w:tc>
          <w:tcPr>
            <w:tcW w:w="1079" w:type="dxa"/>
            <w:tcBorders>
              <w:top w:val="single" w:sz="4" w:space="0" w:color="auto"/>
            </w:tcBorders>
          </w:tcPr>
          <w:p w14:paraId="0E648BEA"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0.803</w:t>
            </w:r>
          </w:p>
        </w:tc>
        <w:tc>
          <w:tcPr>
            <w:tcW w:w="1079" w:type="dxa"/>
            <w:tcBorders>
              <w:top w:val="single" w:sz="4" w:space="0" w:color="auto"/>
            </w:tcBorders>
          </w:tcPr>
          <w:p w14:paraId="425842CF"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-0.967</w:t>
            </w:r>
            <w:r w:rsidRPr="00651EED">
              <w:rPr>
                <w:rFonts w:ascii="Times New Roman" w:hAnsi="Times New Roman" w:cs="Times New Roman"/>
                <w:sz w:val="24"/>
                <w:szCs w:val="24"/>
                <w:vertAlign w:val="superscript"/>
              </w:rPr>
              <w:t>*</w:t>
            </w:r>
          </w:p>
        </w:tc>
        <w:tc>
          <w:tcPr>
            <w:tcW w:w="1079" w:type="dxa"/>
            <w:tcBorders>
              <w:top w:val="single" w:sz="4" w:space="0" w:color="auto"/>
            </w:tcBorders>
          </w:tcPr>
          <w:p w14:paraId="4F07DEE2"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0.935</w:t>
            </w:r>
            <w:r w:rsidRPr="00651EED">
              <w:rPr>
                <w:rFonts w:ascii="Times New Roman" w:hAnsi="Times New Roman" w:cs="Times New Roman"/>
                <w:sz w:val="24"/>
                <w:szCs w:val="24"/>
                <w:vertAlign w:val="superscript"/>
              </w:rPr>
              <w:t>*</w:t>
            </w:r>
          </w:p>
        </w:tc>
      </w:tr>
      <w:tr w:rsidR="00ED7739" w:rsidRPr="00651EED" w14:paraId="2ACC62CD" w14:textId="77777777" w:rsidTr="00360D5B">
        <w:trPr>
          <w:trHeight w:val="552"/>
        </w:trPr>
        <w:tc>
          <w:tcPr>
            <w:tcW w:w="2552" w:type="dxa"/>
          </w:tcPr>
          <w:p w14:paraId="68249B32" w14:textId="77777777" w:rsidR="00ED7739" w:rsidRPr="00651EED" w:rsidRDefault="00ED7739" w:rsidP="00360D5B">
            <w:pPr>
              <w:rPr>
                <w:rFonts w:ascii="Times New Roman" w:hAnsi="Times New Roman" w:cs="Times New Roman"/>
                <w:sz w:val="24"/>
                <w:szCs w:val="24"/>
              </w:rPr>
            </w:pPr>
            <w:r w:rsidRPr="00651EED">
              <w:rPr>
                <w:rFonts w:ascii="Times New Roman" w:hAnsi="Times New Roman" w:cs="Times New Roman"/>
                <w:sz w:val="24"/>
                <w:szCs w:val="24"/>
              </w:rPr>
              <w:t>ABTS</w:t>
            </w:r>
          </w:p>
        </w:tc>
        <w:tc>
          <w:tcPr>
            <w:tcW w:w="1079" w:type="dxa"/>
          </w:tcPr>
          <w:p w14:paraId="5F62B8AF"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-0.992</w:t>
            </w:r>
            <w:r w:rsidRPr="00651EED">
              <w:rPr>
                <w:rFonts w:ascii="Times New Roman" w:hAnsi="Times New Roman" w:cs="Times New Roman"/>
                <w:sz w:val="24"/>
                <w:szCs w:val="24"/>
                <w:vertAlign w:val="superscript"/>
              </w:rPr>
              <w:t>**</w:t>
            </w:r>
          </w:p>
        </w:tc>
        <w:tc>
          <w:tcPr>
            <w:tcW w:w="1079" w:type="dxa"/>
          </w:tcPr>
          <w:p w14:paraId="69540483"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0.985</w:t>
            </w:r>
            <w:r w:rsidRPr="00651EED">
              <w:rPr>
                <w:rFonts w:ascii="Times New Roman" w:hAnsi="Times New Roman" w:cs="Times New Roman"/>
                <w:sz w:val="24"/>
                <w:szCs w:val="24"/>
                <w:vertAlign w:val="superscript"/>
              </w:rPr>
              <w:t>**</w:t>
            </w:r>
          </w:p>
        </w:tc>
        <w:tc>
          <w:tcPr>
            <w:tcW w:w="1079" w:type="dxa"/>
          </w:tcPr>
          <w:p w14:paraId="573E07DB"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-0.912</w:t>
            </w:r>
          </w:p>
        </w:tc>
        <w:tc>
          <w:tcPr>
            <w:tcW w:w="1079" w:type="dxa"/>
          </w:tcPr>
          <w:p w14:paraId="01C0367A"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0.832</w:t>
            </w:r>
          </w:p>
        </w:tc>
        <w:tc>
          <w:tcPr>
            <w:tcW w:w="1079" w:type="dxa"/>
          </w:tcPr>
          <w:p w14:paraId="45F69899"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-0.971</w:t>
            </w:r>
            <w:r w:rsidRPr="00651EED">
              <w:rPr>
                <w:rFonts w:ascii="Times New Roman" w:hAnsi="Times New Roman" w:cs="Times New Roman"/>
                <w:sz w:val="24"/>
                <w:szCs w:val="24"/>
                <w:vertAlign w:val="superscript"/>
              </w:rPr>
              <w:t>*</w:t>
            </w:r>
          </w:p>
        </w:tc>
        <w:tc>
          <w:tcPr>
            <w:tcW w:w="1079" w:type="dxa"/>
          </w:tcPr>
          <w:p w14:paraId="2048FADB"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0.943</w:t>
            </w:r>
            <w:r w:rsidRPr="00651EED">
              <w:rPr>
                <w:rFonts w:ascii="Times New Roman" w:hAnsi="Times New Roman" w:cs="Times New Roman"/>
                <w:sz w:val="24"/>
                <w:szCs w:val="24"/>
                <w:vertAlign w:val="superscript"/>
              </w:rPr>
              <w:t>*</w:t>
            </w:r>
          </w:p>
        </w:tc>
      </w:tr>
      <w:tr w:rsidR="00ED7739" w:rsidRPr="00651EED" w14:paraId="237C2D90" w14:textId="77777777" w:rsidTr="00360D5B">
        <w:trPr>
          <w:trHeight w:val="552"/>
        </w:trPr>
        <w:tc>
          <w:tcPr>
            <w:tcW w:w="2552" w:type="dxa"/>
          </w:tcPr>
          <w:p w14:paraId="7DF711A2" w14:textId="77777777" w:rsidR="00ED7739" w:rsidRPr="00651EED" w:rsidRDefault="00ED7739" w:rsidP="00360D5B">
            <w:pPr>
              <w:rPr>
                <w:rFonts w:ascii="Times New Roman" w:hAnsi="Times New Roman" w:cs="Times New Roman"/>
                <w:sz w:val="24"/>
                <w:szCs w:val="24"/>
              </w:rPr>
            </w:pPr>
            <w:r w:rsidRPr="00651EED">
              <w:rPr>
                <w:rFonts w:ascii="Times New Roman" w:hAnsi="Times New Roman" w:cs="Times New Roman"/>
                <w:sz w:val="24"/>
                <w:szCs w:val="24"/>
              </w:rPr>
              <w:t>Ferric reducing antioxidant power</w:t>
            </w:r>
          </w:p>
        </w:tc>
        <w:tc>
          <w:tcPr>
            <w:tcW w:w="1079" w:type="dxa"/>
          </w:tcPr>
          <w:p w14:paraId="0A6C78C7"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-0.987</w:t>
            </w:r>
            <w:r w:rsidRPr="00651EED">
              <w:rPr>
                <w:rFonts w:ascii="Times New Roman" w:hAnsi="Times New Roman" w:cs="Times New Roman"/>
                <w:sz w:val="24"/>
                <w:szCs w:val="24"/>
                <w:vertAlign w:val="superscript"/>
              </w:rPr>
              <w:t>*</w:t>
            </w:r>
          </w:p>
        </w:tc>
        <w:tc>
          <w:tcPr>
            <w:tcW w:w="1079" w:type="dxa"/>
          </w:tcPr>
          <w:p w14:paraId="7E6226C2"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0.975</w:t>
            </w:r>
            <w:r w:rsidRPr="00651EED">
              <w:rPr>
                <w:rFonts w:ascii="Times New Roman" w:hAnsi="Times New Roman" w:cs="Times New Roman"/>
                <w:sz w:val="24"/>
                <w:szCs w:val="24"/>
                <w:vertAlign w:val="superscript"/>
              </w:rPr>
              <w:t>*</w:t>
            </w:r>
          </w:p>
        </w:tc>
        <w:tc>
          <w:tcPr>
            <w:tcW w:w="1079" w:type="dxa"/>
          </w:tcPr>
          <w:p w14:paraId="1675D0B9"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-0.916</w:t>
            </w:r>
          </w:p>
        </w:tc>
        <w:tc>
          <w:tcPr>
            <w:tcW w:w="1079" w:type="dxa"/>
          </w:tcPr>
          <w:p w14:paraId="40D50094"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0.839</w:t>
            </w:r>
          </w:p>
        </w:tc>
        <w:tc>
          <w:tcPr>
            <w:tcW w:w="1079" w:type="dxa"/>
          </w:tcPr>
          <w:p w14:paraId="46841085"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-0.979</w:t>
            </w:r>
            <w:r w:rsidRPr="00651EED">
              <w:rPr>
                <w:rFonts w:ascii="Times New Roman" w:hAnsi="Times New Roman" w:cs="Times New Roman"/>
                <w:sz w:val="24"/>
                <w:szCs w:val="24"/>
                <w:vertAlign w:val="superscript"/>
              </w:rPr>
              <w:t>*</w:t>
            </w:r>
          </w:p>
        </w:tc>
        <w:tc>
          <w:tcPr>
            <w:tcW w:w="1079" w:type="dxa"/>
          </w:tcPr>
          <w:p w14:paraId="537AA797"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0.960</w:t>
            </w:r>
            <w:r w:rsidRPr="00651EED">
              <w:rPr>
                <w:rFonts w:ascii="Times New Roman" w:hAnsi="Times New Roman" w:cs="Times New Roman"/>
                <w:sz w:val="24"/>
                <w:szCs w:val="24"/>
                <w:vertAlign w:val="superscript"/>
              </w:rPr>
              <w:t>*</w:t>
            </w:r>
          </w:p>
        </w:tc>
      </w:tr>
      <w:tr w:rsidR="00ED7739" w:rsidRPr="00651EED" w14:paraId="3A27E867" w14:textId="77777777" w:rsidTr="00360D5B">
        <w:trPr>
          <w:trHeight w:val="552"/>
        </w:trPr>
        <w:tc>
          <w:tcPr>
            <w:tcW w:w="2552" w:type="dxa"/>
          </w:tcPr>
          <w:p w14:paraId="6DECC1C1" w14:textId="77777777" w:rsidR="00ED7739" w:rsidRPr="00651EED" w:rsidRDefault="00ED7739" w:rsidP="00360D5B">
            <w:pPr>
              <w:rPr>
                <w:rFonts w:ascii="Times New Roman" w:hAnsi="Times New Roman" w:cs="Times New Roman"/>
                <w:sz w:val="24"/>
                <w:szCs w:val="24"/>
              </w:rPr>
            </w:pPr>
            <w:proofErr w:type="spellStart"/>
            <w:r w:rsidRPr="00651EED">
              <w:rPr>
                <w:rFonts w:ascii="Times New Roman" w:hAnsi="Times New Roman" w:cs="Times New Roman"/>
                <w:sz w:val="24"/>
                <w:szCs w:val="24"/>
              </w:rPr>
              <w:t>Phosphomolybdenum</w:t>
            </w:r>
            <w:proofErr w:type="spellEnd"/>
            <w:r w:rsidRPr="00651EED">
              <w:rPr>
                <w:rFonts w:ascii="Times New Roman" w:hAnsi="Times New Roman" w:cs="Times New Roman"/>
                <w:sz w:val="24"/>
                <w:szCs w:val="24"/>
              </w:rPr>
              <w:t xml:space="preserve"> assay</w:t>
            </w:r>
          </w:p>
        </w:tc>
        <w:tc>
          <w:tcPr>
            <w:tcW w:w="1079" w:type="dxa"/>
          </w:tcPr>
          <w:p w14:paraId="2ED1FE27"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-0.971</w:t>
            </w:r>
            <w:r w:rsidRPr="00651EED">
              <w:rPr>
                <w:rFonts w:ascii="Times New Roman" w:hAnsi="Times New Roman" w:cs="Times New Roman"/>
                <w:sz w:val="24"/>
                <w:szCs w:val="24"/>
                <w:vertAlign w:val="superscript"/>
              </w:rPr>
              <w:t>*</w:t>
            </w:r>
          </w:p>
        </w:tc>
        <w:tc>
          <w:tcPr>
            <w:tcW w:w="1079" w:type="dxa"/>
          </w:tcPr>
          <w:p w14:paraId="490FED84"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0.942</w:t>
            </w:r>
            <w:r w:rsidRPr="00651EED">
              <w:rPr>
                <w:rFonts w:ascii="Times New Roman" w:hAnsi="Times New Roman" w:cs="Times New Roman"/>
                <w:sz w:val="24"/>
                <w:szCs w:val="24"/>
                <w:vertAlign w:val="superscript"/>
              </w:rPr>
              <w:t>*</w:t>
            </w:r>
          </w:p>
        </w:tc>
        <w:tc>
          <w:tcPr>
            <w:tcW w:w="1079" w:type="dxa"/>
          </w:tcPr>
          <w:p w14:paraId="0317C882"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-0.933</w:t>
            </w:r>
          </w:p>
        </w:tc>
        <w:tc>
          <w:tcPr>
            <w:tcW w:w="1079" w:type="dxa"/>
          </w:tcPr>
          <w:p w14:paraId="4273D7C0"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0.871</w:t>
            </w:r>
          </w:p>
        </w:tc>
        <w:tc>
          <w:tcPr>
            <w:tcW w:w="1079" w:type="dxa"/>
          </w:tcPr>
          <w:p w14:paraId="7128C740"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-0.995</w:t>
            </w:r>
            <w:r w:rsidRPr="00651EED">
              <w:rPr>
                <w:rFonts w:ascii="Times New Roman" w:hAnsi="Times New Roman" w:cs="Times New Roman"/>
                <w:sz w:val="24"/>
                <w:szCs w:val="24"/>
                <w:vertAlign w:val="superscript"/>
              </w:rPr>
              <w:t>**</w:t>
            </w:r>
          </w:p>
        </w:tc>
        <w:tc>
          <w:tcPr>
            <w:tcW w:w="1079" w:type="dxa"/>
          </w:tcPr>
          <w:p w14:paraId="4470E5AD"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0.991</w:t>
            </w:r>
            <w:r w:rsidRPr="00651EED">
              <w:rPr>
                <w:rFonts w:ascii="Times New Roman" w:hAnsi="Times New Roman" w:cs="Times New Roman"/>
                <w:sz w:val="24"/>
                <w:szCs w:val="24"/>
                <w:vertAlign w:val="superscript"/>
              </w:rPr>
              <w:t>**</w:t>
            </w:r>
          </w:p>
        </w:tc>
      </w:tr>
      <w:tr w:rsidR="00ED7739" w:rsidRPr="00651EED" w14:paraId="3F9F3B8F" w14:textId="77777777" w:rsidTr="00360D5B">
        <w:trPr>
          <w:trHeight w:val="552"/>
        </w:trPr>
        <w:tc>
          <w:tcPr>
            <w:tcW w:w="2552" w:type="dxa"/>
          </w:tcPr>
          <w:p w14:paraId="280B86FE" w14:textId="77777777" w:rsidR="00ED7739" w:rsidRPr="00651EED" w:rsidRDefault="00ED7739" w:rsidP="00360D5B">
            <w:pPr>
              <w:rPr>
                <w:rFonts w:ascii="Times New Roman" w:hAnsi="Times New Roman" w:cs="Times New Roman"/>
                <w:sz w:val="24"/>
                <w:szCs w:val="24"/>
              </w:rPr>
            </w:pPr>
            <w:r w:rsidRPr="00651EED">
              <w:rPr>
                <w:rFonts w:ascii="Times New Roman" w:hAnsi="Times New Roman" w:cs="Times New Roman"/>
                <w:sz w:val="24"/>
                <w:szCs w:val="24"/>
              </w:rPr>
              <w:t>BSA-Fructose</w:t>
            </w:r>
          </w:p>
        </w:tc>
        <w:tc>
          <w:tcPr>
            <w:tcW w:w="1079" w:type="dxa"/>
          </w:tcPr>
          <w:p w14:paraId="5D46945D"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-0.995</w:t>
            </w:r>
            <w:r w:rsidRPr="00651EED">
              <w:rPr>
                <w:rFonts w:ascii="Times New Roman" w:hAnsi="Times New Roman" w:cs="Times New Roman"/>
                <w:sz w:val="24"/>
                <w:szCs w:val="24"/>
                <w:vertAlign w:val="superscript"/>
              </w:rPr>
              <w:t>**</w:t>
            </w:r>
          </w:p>
        </w:tc>
        <w:tc>
          <w:tcPr>
            <w:tcW w:w="1079" w:type="dxa"/>
          </w:tcPr>
          <w:p w14:paraId="77B6A8A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0.990</w:t>
            </w:r>
            <w:r w:rsidRPr="00651EED">
              <w:rPr>
                <w:rFonts w:ascii="Times New Roman" w:hAnsi="Times New Roman" w:cs="Times New Roman"/>
                <w:sz w:val="24"/>
                <w:szCs w:val="24"/>
                <w:vertAlign w:val="superscript"/>
              </w:rPr>
              <w:t>**</w:t>
            </w:r>
          </w:p>
        </w:tc>
        <w:tc>
          <w:tcPr>
            <w:tcW w:w="1079" w:type="dxa"/>
          </w:tcPr>
          <w:p w14:paraId="3571B61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-0.957</w:t>
            </w:r>
            <w:r w:rsidRPr="00651EED">
              <w:rPr>
                <w:rFonts w:ascii="Times New Roman" w:hAnsi="Times New Roman" w:cs="Times New Roman"/>
                <w:sz w:val="24"/>
                <w:szCs w:val="24"/>
                <w:vertAlign w:val="superscript"/>
              </w:rPr>
              <w:t>*</w:t>
            </w:r>
          </w:p>
        </w:tc>
        <w:tc>
          <w:tcPr>
            <w:tcW w:w="1079" w:type="dxa"/>
          </w:tcPr>
          <w:p w14:paraId="6664321A"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0.916</w:t>
            </w:r>
            <w:r w:rsidRPr="00651EED">
              <w:rPr>
                <w:rFonts w:ascii="Times New Roman" w:hAnsi="Times New Roman" w:cs="Times New Roman"/>
                <w:sz w:val="24"/>
                <w:szCs w:val="24"/>
                <w:vertAlign w:val="superscript"/>
              </w:rPr>
              <w:t>*</w:t>
            </w:r>
          </w:p>
        </w:tc>
        <w:tc>
          <w:tcPr>
            <w:tcW w:w="1079" w:type="dxa"/>
          </w:tcPr>
          <w:p w14:paraId="2CE2F8C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-0.980</w:t>
            </w:r>
            <w:r w:rsidRPr="00651EED">
              <w:rPr>
                <w:rFonts w:ascii="Times New Roman" w:hAnsi="Times New Roman" w:cs="Times New Roman"/>
                <w:sz w:val="24"/>
                <w:szCs w:val="24"/>
                <w:vertAlign w:val="superscript"/>
              </w:rPr>
              <w:t>*</w:t>
            </w:r>
          </w:p>
        </w:tc>
        <w:tc>
          <w:tcPr>
            <w:tcW w:w="1079" w:type="dxa"/>
          </w:tcPr>
          <w:p w14:paraId="1A6F6C6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0.960</w:t>
            </w:r>
            <w:r w:rsidRPr="00651EED">
              <w:rPr>
                <w:rFonts w:ascii="Times New Roman" w:hAnsi="Times New Roman" w:cs="Times New Roman"/>
                <w:sz w:val="24"/>
                <w:szCs w:val="24"/>
                <w:vertAlign w:val="superscript"/>
              </w:rPr>
              <w:t>*</w:t>
            </w:r>
          </w:p>
        </w:tc>
      </w:tr>
      <w:tr w:rsidR="00ED7739" w:rsidRPr="00651EED" w14:paraId="0E023D0D" w14:textId="77777777" w:rsidTr="00360D5B">
        <w:trPr>
          <w:trHeight w:val="552"/>
        </w:trPr>
        <w:tc>
          <w:tcPr>
            <w:tcW w:w="2552" w:type="dxa"/>
          </w:tcPr>
          <w:p w14:paraId="5ABCABFF" w14:textId="77777777" w:rsidR="00ED7739" w:rsidRPr="00651EED" w:rsidRDefault="00ED7739" w:rsidP="00360D5B">
            <w:pPr>
              <w:rPr>
                <w:rFonts w:ascii="Times New Roman" w:hAnsi="Times New Roman" w:cs="Times New Roman"/>
                <w:sz w:val="24"/>
                <w:szCs w:val="24"/>
              </w:rPr>
            </w:pPr>
            <w:r w:rsidRPr="00651EED">
              <w:rPr>
                <w:rFonts w:ascii="Times New Roman" w:hAnsi="Times New Roman" w:cs="Times New Roman"/>
                <w:sz w:val="24"/>
                <w:szCs w:val="24"/>
              </w:rPr>
              <w:t>BSA-methylglyoxal</w:t>
            </w:r>
          </w:p>
        </w:tc>
        <w:tc>
          <w:tcPr>
            <w:tcW w:w="1079" w:type="dxa"/>
          </w:tcPr>
          <w:p w14:paraId="131F47AE"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-0.804</w:t>
            </w:r>
          </w:p>
        </w:tc>
        <w:tc>
          <w:tcPr>
            <w:tcW w:w="1079" w:type="dxa"/>
          </w:tcPr>
          <w:p w14:paraId="320DA339"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0.647</w:t>
            </w:r>
          </w:p>
        </w:tc>
        <w:tc>
          <w:tcPr>
            <w:tcW w:w="1079" w:type="dxa"/>
          </w:tcPr>
          <w:p w14:paraId="503B8059"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-0.960</w:t>
            </w:r>
            <w:r w:rsidRPr="00651EED">
              <w:rPr>
                <w:rFonts w:ascii="Times New Roman" w:hAnsi="Times New Roman" w:cs="Times New Roman"/>
                <w:sz w:val="24"/>
                <w:szCs w:val="24"/>
                <w:vertAlign w:val="superscript"/>
              </w:rPr>
              <w:t>*</w:t>
            </w:r>
          </w:p>
        </w:tc>
        <w:tc>
          <w:tcPr>
            <w:tcW w:w="1079" w:type="dxa"/>
          </w:tcPr>
          <w:p w14:paraId="15B7AA7B"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0.921</w:t>
            </w:r>
            <w:r w:rsidRPr="00651EED">
              <w:rPr>
                <w:rFonts w:ascii="Times New Roman" w:hAnsi="Times New Roman" w:cs="Times New Roman"/>
                <w:sz w:val="24"/>
                <w:szCs w:val="24"/>
                <w:vertAlign w:val="superscript"/>
              </w:rPr>
              <w:t>*</w:t>
            </w:r>
          </w:p>
        </w:tc>
        <w:tc>
          <w:tcPr>
            <w:tcW w:w="1079" w:type="dxa"/>
          </w:tcPr>
          <w:p w14:paraId="4213E37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-0.904</w:t>
            </w:r>
          </w:p>
        </w:tc>
        <w:tc>
          <w:tcPr>
            <w:tcW w:w="1079" w:type="dxa"/>
          </w:tcPr>
          <w:p w14:paraId="100AEBB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0.817</w:t>
            </w:r>
          </w:p>
        </w:tc>
      </w:tr>
      <w:tr w:rsidR="00ED7739" w:rsidRPr="00651EED" w14:paraId="3EEE6957" w14:textId="77777777" w:rsidTr="00360D5B">
        <w:trPr>
          <w:trHeight w:val="552"/>
        </w:trPr>
        <w:tc>
          <w:tcPr>
            <w:tcW w:w="2552" w:type="dxa"/>
          </w:tcPr>
          <w:p w14:paraId="06ECE694" w14:textId="77777777" w:rsidR="00ED7739" w:rsidRPr="00651EED" w:rsidRDefault="00ED7739" w:rsidP="00360D5B">
            <w:pPr>
              <w:rPr>
                <w:rFonts w:ascii="Times New Roman" w:hAnsi="Times New Roman" w:cs="Times New Roman"/>
                <w:sz w:val="24"/>
                <w:szCs w:val="24"/>
              </w:rPr>
            </w:pPr>
            <w:r w:rsidRPr="00651EED">
              <w:rPr>
                <w:rFonts w:ascii="Times New Roman" w:hAnsi="Times New Roman" w:cs="Times New Roman"/>
                <w:sz w:val="24"/>
                <w:szCs w:val="24"/>
              </w:rPr>
              <w:t>Arginine-methylglyoxal</w:t>
            </w:r>
          </w:p>
        </w:tc>
        <w:tc>
          <w:tcPr>
            <w:tcW w:w="1079" w:type="dxa"/>
          </w:tcPr>
          <w:p w14:paraId="495680D9"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-0.968</w:t>
            </w:r>
            <w:r w:rsidRPr="00651EED">
              <w:rPr>
                <w:rFonts w:ascii="Times New Roman" w:hAnsi="Times New Roman" w:cs="Times New Roman"/>
                <w:sz w:val="24"/>
                <w:szCs w:val="24"/>
                <w:vertAlign w:val="superscript"/>
              </w:rPr>
              <w:t>*</w:t>
            </w:r>
          </w:p>
        </w:tc>
        <w:tc>
          <w:tcPr>
            <w:tcW w:w="1079" w:type="dxa"/>
          </w:tcPr>
          <w:p w14:paraId="1699F0CE"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0.938</w:t>
            </w:r>
            <w:r w:rsidRPr="00651EED">
              <w:rPr>
                <w:rFonts w:ascii="Times New Roman" w:hAnsi="Times New Roman" w:cs="Times New Roman"/>
                <w:sz w:val="24"/>
                <w:szCs w:val="24"/>
                <w:vertAlign w:val="superscript"/>
              </w:rPr>
              <w:t>*</w:t>
            </w:r>
          </w:p>
        </w:tc>
        <w:tc>
          <w:tcPr>
            <w:tcW w:w="1079" w:type="dxa"/>
          </w:tcPr>
          <w:p w14:paraId="2AB7DED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-0.938</w:t>
            </w:r>
          </w:p>
        </w:tc>
        <w:tc>
          <w:tcPr>
            <w:tcW w:w="1079" w:type="dxa"/>
          </w:tcPr>
          <w:p w14:paraId="6AED7775"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0.881</w:t>
            </w:r>
          </w:p>
        </w:tc>
        <w:tc>
          <w:tcPr>
            <w:tcW w:w="1079" w:type="dxa"/>
          </w:tcPr>
          <w:p w14:paraId="330CC608" w14:textId="77777777" w:rsidR="00ED7739" w:rsidRPr="00651EED" w:rsidRDefault="00ED7739" w:rsidP="00360D5B">
            <w:pPr>
              <w:jc w:val="center"/>
              <w:rPr>
                <w:rFonts w:ascii="Times New Roman" w:hAnsi="Times New Roman" w:cs="Times New Roman"/>
                <w:sz w:val="24"/>
                <w:szCs w:val="24"/>
                <w:vertAlign w:val="superscript"/>
              </w:rPr>
            </w:pPr>
            <w:r w:rsidRPr="00651EED">
              <w:rPr>
                <w:rFonts w:ascii="Times New Roman" w:hAnsi="Times New Roman" w:cs="Times New Roman"/>
                <w:sz w:val="24"/>
                <w:szCs w:val="24"/>
              </w:rPr>
              <w:t>-0.904</w:t>
            </w:r>
            <w:r w:rsidRPr="00651EED">
              <w:rPr>
                <w:rFonts w:ascii="Times New Roman" w:hAnsi="Times New Roman" w:cs="Times New Roman"/>
                <w:sz w:val="24"/>
                <w:szCs w:val="24"/>
                <w:vertAlign w:val="superscript"/>
              </w:rPr>
              <w:t>**</w:t>
            </w:r>
          </w:p>
        </w:tc>
        <w:tc>
          <w:tcPr>
            <w:tcW w:w="1079" w:type="dxa"/>
          </w:tcPr>
          <w:p w14:paraId="0C15E492"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0.994</w:t>
            </w:r>
            <w:r w:rsidRPr="00651EED">
              <w:rPr>
                <w:rFonts w:ascii="Times New Roman" w:hAnsi="Times New Roman" w:cs="Times New Roman"/>
                <w:sz w:val="24"/>
                <w:szCs w:val="24"/>
                <w:vertAlign w:val="superscript"/>
              </w:rPr>
              <w:t>**</w:t>
            </w:r>
          </w:p>
        </w:tc>
      </w:tr>
      <w:tr w:rsidR="00ED7739" w:rsidRPr="00651EED" w14:paraId="080BBF38" w14:textId="77777777" w:rsidTr="00360D5B">
        <w:trPr>
          <w:trHeight w:val="552"/>
        </w:trPr>
        <w:tc>
          <w:tcPr>
            <w:tcW w:w="2552" w:type="dxa"/>
          </w:tcPr>
          <w:p w14:paraId="5B4C0033" w14:textId="77777777" w:rsidR="00ED7739" w:rsidRPr="00651EED" w:rsidRDefault="00ED7739" w:rsidP="00360D5B">
            <w:pPr>
              <w:rPr>
                <w:rFonts w:ascii="Times New Roman" w:hAnsi="Times New Roman" w:cs="Times New Roman"/>
                <w:sz w:val="24"/>
                <w:szCs w:val="24"/>
              </w:rPr>
            </w:pPr>
            <w:r w:rsidRPr="00651EED">
              <w:rPr>
                <w:rFonts w:ascii="Times New Roman" w:hAnsi="Times New Roman" w:cs="Times New Roman"/>
                <w:sz w:val="24"/>
                <w:szCs w:val="24"/>
              </w:rPr>
              <w:t>α-amylase inhibition assay</w:t>
            </w:r>
          </w:p>
        </w:tc>
        <w:tc>
          <w:tcPr>
            <w:tcW w:w="1079" w:type="dxa"/>
          </w:tcPr>
          <w:p w14:paraId="0DB09D51"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0.438</w:t>
            </w:r>
          </w:p>
        </w:tc>
        <w:tc>
          <w:tcPr>
            <w:tcW w:w="1079" w:type="dxa"/>
          </w:tcPr>
          <w:p w14:paraId="4B8FD869"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0.192</w:t>
            </w:r>
          </w:p>
        </w:tc>
        <w:tc>
          <w:tcPr>
            <w:tcW w:w="1079" w:type="dxa"/>
          </w:tcPr>
          <w:p w14:paraId="686DFF85"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0.725</w:t>
            </w:r>
          </w:p>
        </w:tc>
        <w:tc>
          <w:tcPr>
            <w:tcW w:w="1079" w:type="dxa"/>
          </w:tcPr>
          <w:p w14:paraId="5EF0872D"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0.526</w:t>
            </w:r>
          </w:p>
        </w:tc>
        <w:tc>
          <w:tcPr>
            <w:tcW w:w="1079" w:type="dxa"/>
          </w:tcPr>
          <w:p w14:paraId="4C7EBED6"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0.628</w:t>
            </w:r>
          </w:p>
        </w:tc>
        <w:tc>
          <w:tcPr>
            <w:tcW w:w="1079" w:type="dxa"/>
          </w:tcPr>
          <w:p w14:paraId="356BEA64"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0.394</w:t>
            </w:r>
          </w:p>
        </w:tc>
      </w:tr>
      <w:tr w:rsidR="00ED7739" w:rsidRPr="00651EED" w14:paraId="15447EAF" w14:textId="77777777" w:rsidTr="00360D5B">
        <w:trPr>
          <w:trHeight w:val="552"/>
        </w:trPr>
        <w:tc>
          <w:tcPr>
            <w:tcW w:w="2552" w:type="dxa"/>
          </w:tcPr>
          <w:p w14:paraId="45B3865C" w14:textId="77777777" w:rsidR="00ED7739" w:rsidRPr="00651EED" w:rsidRDefault="00ED7739" w:rsidP="00360D5B">
            <w:pPr>
              <w:rPr>
                <w:rFonts w:ascii="Times New Roman" w:hAnsi="Times New Roman" w:cs="Times New Roman"/>
                <w:sz w:val="24"/>
                <w:szCs w:val="24"/>
              </w:rPr>
            </w:pPr>
            <w:r w:rsidRPr="00651EED">
              <w:rPr>
                <w:rFonts w:ascii="Times New Roman" w:hAnsi="Times New Roman" w:cs="Times New Roman"/>
                <w:sz w:val="24"/>
                <w:szCs w:val="24"/>
              </w:rPr>
              <w:t>α-glucosidase inhibition assay</w:t>
            </w:r>
          </w:p>
        </w:tc>
        <w:tc>
          <w:tcPr>
            <w:tcW w:w="1079" w:type="dxa"/>
          </w:tcPr>
          <w:p w14:paraId="1336480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-0.485</w:t>
            </w:r>
          </w:p>
        </w:tc>
        <w:tc>
          <w:tcPr>
            <w:tcW w:w="1079" w:type="dxa"/>
          </w:tcPr>
          <w:p w14:paraId="2476B8EC"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0.235</w:t>
            </w:r>
          </w:p>
        </w:tc>
        <w:tc>
          <w:tcPr>
            <w:tcW w:w="1079" w:type="dxa"/>
          </w:tcPr>
          <w:p w14:paraId="79A0F0ED"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-0.138</w:t>
            </w:r>
          </w:p>
        </w:tc>
        <w:tc>
          <w:tcPr>
            <w:tcW w:w="1079" w:type="dxa"/>
          </w:tcPr>
          <w:p w14:paraId="2E47A0F8"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0.019</w:t>
            </w:r>
          </w:p>
        </w:tc>
        <w:tc>
          <w:tcPr>
            <w:tcW w:w="1079" w:type="dxa"/>
          </w:tcPr>
          <w:p w14:paraId="0CF72117"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-0.271</w:t>
            </w:r>
          </w:p>
        </w:tc>
        <w:tc>
          <w:tcPr>
            <w:tcW w:w="1079" w:type="dxa"/>
          </w:tcPr>
          <w:p w14:paraId="7FBD1E68" w14:textId="77777777" w:rsidR="00ED7739" w:rsidRPr="00651EED" w:rsidRDefault="00ED7739" w:rsidP="00360D5B">
            <w:pPr>
              <w:jc w:val="center"/>
              <w:rPr>
                <w:rFonts w:ascii="Times New Roman" w:hAnsi="Times New Roman" w:cs="Times New Roman"/>
                <w:sz w:val="24"/>
                <w:szCs w:val="24"/>
              </w:rPr>
            </w:pPr>
            <w:r w:rsidRPr="00651EED">
              <w:rPr>
                <w:rFonts w:ascii="Times New Roman" w:hAnsi="Times New Roman" w:cs="Times New Roman"/>
                <w:sz w:val="24"/>
                <w:szCs w:val="24"/>
              </w:rPr>
              <w:t>0.074</w:t>
            </w:r>
          </w:p>
        </w:tc>
      </w:tr>
    </w:tbl>
    <w:p w14:paraId="7FBCBFA2" w14:textId="77777777" w:rsidR="00ED7739" w:rsidRPr="0072173E" w:rsidRDefault="00ED7739" w:rsidP="0072173E">
      <w:pPr>
        <w:pStyle w:val="NoSpacing"/>
        <w:rPr>
          <w:rFonts w:ascii="Times New Roman" w:hAnsi="Times New Roman" w:cs="Times New Roman"/>
          <w:sz w:val="24"/>
          <w:szCs w:val="24"/>
        </w:rPr>
      </w:pPr>
      <w:r w:rsidRPr="0072173E">
        <w:rPr>
          <w:rFonts w:ascii="Times New Roman" w:hAnsi="Times New Roman" w:cs="Times New Roman"/>
          <w:sz w:val="24"/>
          <w:szCs w:val="24"/>
        </w:rPr>
        <w:lastRenderedPageBreak/>
        <w:t>BSA- Bovine serum albumin, r- Pearson correlation coefficient</w:t>
      </w:r>
    </w:p>
    <w:p w14:paraId="6CF61005" w14:textId="040B54B3" w:rsidR="00ED7739" w:rsidRPr="004B66E6" w:rsidRDefault="00ED7739" w:rsidP="004B66E6">
      <w:pPr>
        <w:pStyle w:val="NoSpacing"/>
        <w:rPr>
          <w:rFonts w:ascii="Times New Roman" w:hAnsi="Times New Roman" w:cs="Times New Roman"/>
          <w:sz w:val="24"/>
          <w:szCs w:val="24"/>
        </w:rPr>
      </w:pPr>
      <w:r w:rsidRPr="0072173E">
        <w:rPr>
          <w:rFonts w:ascii="Times New Roman" w:hAnsi="Times New Roman" w:cs="Times New Roman"/>
          <w:sz w:val="24"/>
          <w:szCs w:val="24"/>
          <w:vertAlign w:val="superscript"/>
        </w:rPr>
        <w:t xml:space="preserve">** </w:t>
      </w:r>
      <w:r w:rsidRPr="0072173E">
        <w:rPr>
          <w:rFonts w:ascii="Times New Roman" w:hAnsi="Times New Roman" w:cs="Times New Roman"/>
          <w:sz w:val="24"/>
          <w:szCs w:val="24"/>
        </w:rPr>
        <w:t xml:space="preserve">Correlation significant at 0.01 level, </w:t>
      </w:r>
      <w:r w:rsidRPr="0072173E">
        <w:rPr>
          <w:rFonts w:ascii="Times New Roman" w:hAnsi="Times New Roman" w:cs="Times New Roman"/>
          <w:sz w:val="24"/>
          <w:szCs w:val="24"/>
          <w:vertAlign w:val="superscript"/>
        </w:rPr>
        <w:t>*</w:t>
      </w:r>
      <w:r w:rsidRPr="0072173E">
        <w:rPr>
          <w:rFonts w:ascii="Times New Roman" w:hAnsi="Times New Roman" w:cs="Times New Roman"/>
          <w:sz w:val="24"/>
          <w:szCs w:val="24"/>
        </w:rPr>
        <w:t xml:space="preserve"> Correlation significant at 0.05 level</w:t>
      </w:r>
    </w:p>
    <w:sectPr w:rsidR="00ED7739" w:rsidRPr="004B66E6" w:rsidSect="00E42FF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2NzU3MDSxMLMwMzJT0lEKTi0uzszPAykwrwUArRpCLywAAAA="/>
  </w:docVars>
  <w:rsids>
    <w:rsidRoot w:val="00E42FF5"/>
    <w:rsid w:val="00002DE2"/>
    <w:rsid w:val="000A6FCA"/>
    <w:rsid w:val="001E3A12"/>
    <w:rsid w:val="00234676"/>
    <w:rsid w:val="002A5640"/>
    <w:rsid w:val="0030665F"/>
    <w:rsid w:val="0036232B"/>
    <w:rsid w:val="004B66E6"/>
    <w:rsid w:val="00604172"/>
    <w:rsid w:val="00651EED"/>
    <w:rsid w:val="006D2AC9"/>
    <w:rsid w:val="0072173E"/>
    <w:rsid w:val="0074468F"/>
    <w:rsid w:val="007B268E"/>
    <w:rsid w:val="007C0697"/>
    <w:rsid w:val="007E0200"/>
    <w:rsid w:val="008D13C4"/>
    <w:rsid w:val="00900372"/>
    <w:rsid w:val="00927F47"/>
    <w:rsid w:val="0097402E"/>
    <w:rsid w:val="009D3139"/>
    <w:rsid w:val="00C545F9"/>
    <w:rsid w:val="00CD49A3"/>
    <w:rsid w:val="00D361DD"/>
    <w:rsid w:val="00E42FF5"/>
    <w:rsid w:val="00ED7739"/>
    <w:rsid w:val="00F8515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9E6AD"/>
  <w15:chartTrackingRefBased/>
  <w15:docId w15:val="{2C725C2D-6718-4B79-8893-28CD5FEE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F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42FF5"/>
    <w:pPr>
      <w:spacing w:line="48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E42FF5"/>
    <w:rPr>
      <w:rFonts w:ascii="Times New Roman" w:hAnsi="Times New Roman" w:cs="Times New Roman"/>
      <w:sz w:val="24"/>
      <w:szCs w:val="24"/>
    </w:rPr>
  </w:style>
  <w:style w:type="character" w:styleId="LineNumber">
    <w:name w:val="line number"/>
    <w:basedOn w:val="DefaultParagraphFont"/>
    <w:uiPriority w:val="99"/>
    <w:semiHidden/>
    <w:unhideWhenUsed/>
    <w:rsid w:val="00E42FF5"/>
  </w:style>
  <w:style w:type="character" w:styleId="Hyperlink">
    <w:name w:val="Hyperlink"/>
    <w:basedOn w:val="DefaultParagraphFont"/>
    <w:uiPriority w:val="99"/>
    <w:unhideWhenUsed/>
    <w:rsid w:val="00CD49A3"/>
    <w:rPr>
      <w:color w:val="0000FF"/>
      <w:u w:val="single"/>
    </w:rPr>
  </w:style>
  <w:style w:type="character" w:styleId="PlaceholderText">
    <w:name w:val="Placeholder Text"/>
    <w:basedOn w:val="DefaultParagraphFont"/>
    <w:uiPriority w:val="99"/>
    <w:semiHidden/>
    <w:rsid w:val="00900372"/>
    <w:rPr>
      <w:color w:val="808080"/>
    </w:rPr>
  </w:style>
  <w:style w:type="character" w:styleId="UnresolvedMention">
    <w:name w:val="Unresolved Mention"/>
    <w:basedOn w:val="DefaultParagraphFont"/>
    <w:uiPriority w:val="99"/>
    <w:semiHidden/>
    <w:unhideWhenUsed/>
    <w:rsid w:val="001E3A12"/>
    <w:rPr>
      <w:color w:val="605E5C"/>
      <w:shd w:val="clear" w:color="auto" w:fill="E1DFDD"/>
    </w:rPr>
  </w:style>
  <w:style w:type="table" w:styleId="TableGrid">
    <w:name w:val="Table Grid"/>
    <w:basedOn w:val="TableNormal"/>
    <w:uiPriority w:val="59"/>
    <w:rsid w:val="00ED7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17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76143">
      <w:bodyDiv w:val="1"/>
      <w:marLeft w:val="0"/>
      <w:marRight w:val="0"/>
      <w:marTop w:val="0"/>
      <w:marBottom w:val="0"/>
      <w:divBdr>
        <w:top w:val="none" w:sz="0" w:space="0" w:color="auto"/>
        <w:left w:val="none" w:sz="0" w:space="0" w:color="auto"/>
        <w:bottom w:val="none" w:sz="0" w:space="0" w:color="auto"/>
        <w:right w:val="none" w:sz="0" w:space="0" w:color="auto"/>
      </w:divBdr>
    </w:div>
    <w:div w:id="1795909202">
      <w:bodyDiv w:val="1"/>
      <w:marLeft w:val="0"/>
      <w:marRight w:val="0"/>
      <w:marTop w:val="0"/>
      <w:marBottom w:val="0"/>
      <w:divBdr>
        <w:top w:val="none" w:sz="0" w:space="0" w:color="auto"/>
        <w:left w:val="none" w:sz="0" w:space="0" w:color="auto"/>
        <w:bottom w:val="none" w:sz="0" w:space="0" w:color="auto"/>
        <w:right w:val="none" w:sz="0" w:space="0" w:color="auto"/>
      </w:divBdr>
      <w:divsChild>
        <w:div w:id="1684669308">
          <w:marLeft w:val="640"/>
          <w:marRight w:val="0"/>
          <w:marTop w:val="0"/>
          <w:marBottom w:val="0"/>
          <w:divBdr>
            <w:top w:val="none" w:sz="0" w:space="0" w:color="auto"/>
            <w:left w:val="none" w:sz="0" w:space="0" w:color="auto"/>
            <w:bottom w:val="none" w:sz="0" w:space="0" w:color="auto"/>
            <w:right w:val="none" w:sz="0" w:space="0" w:color="auto"/>
          </w:divBdr>
        </w:div>
        <w:div w:id="1125781489">
          <w:marLeft w:val="640"/>
          <w:marRight w:val="0"/>
          <w:marTop w:val="0"/>
          <w:marBottom w:val="0"/>
          <w:divBdr>
            <w:top w:val="none" w:sz="0" w:space="0" w:color="auto"/>
            <w:left w:val="none" w:sz="0" w:space="0" w:color="auto"/>
            <w:bottom w:val="none" w:sz="0" w:space="0" w:color="auto"/>
            <w:right w:val="none" w:sz="0" w:space="0" w:color="auto"/>
          </w:divBdr>
        </w:div>
        <w:div w:id="420378312">
          <w:marLeft w:val="640"/>
          <w:marRight w:val="0"/>
          <w:marTop w:val="0"/>
          <w:marBottom w:val="0"/>
          <w:divBdr>
            <w:top w:val="none" w:sz="0" w:space="0" w:color="auto"/>
            <w:left w:val="none" w:sz="0" w:space="0" w:color="auto"/>
            <w:bottom w:val="none" w:sz="0" w:space="0" w:color="auto"/>
            <w:right w:val="none" w:sz="0" w:space="0" w:color="auto"/>
          </w:divBdr>
        </w:div>
        <w:div w:id="1962374663">
          <w:marLeft w:val="640"/>
          <w:marRight w:val="0"/>
          <w:marTop w:val="0"/>
          <w:marBottom w:val="0"/>
          <w:divBdr>
            <w:top w:val="none" w:sz="0" w:space="0" w:color="auto"/>
            <w:left w:val="none" w:sz="0" w:space="0" w:color="auto"/>
            <w:bottom w:val="none" w:sz="0" w:space="0" w:color="auto"/>
            <w:right w:val="none" w:sz="0" w:space="0" w:color="auto"/>
          </w:divBdr>
        </w:div>
        <w:div w:id="143669702">
          <w:marLeft w:val="640"/>
          <w:marRight w:val="0"/>
          <w:marTop w:val="0"/>
          <w:marBottom w:val="0"/>
          <w:divBdr>
            <w:top w:val="none" w:sz="0" w:space="0" w:color="auto"/>
            <w:left w:val="none" w:sz="0" w:space="0" w:color="auto"/>
            <w:bottom w:val="none" w:sz="0" w:space="0" w:color="auto"/>
            <w:right w:val="none" w:sz="0" w:space="0" w:color="auto"/>
          </w:divBdr>
        </w:div>
      </w:divsChild>
    </w:div>
    <w:div w:id="189657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i.org/10.7324/JAPS.2015.50110" TargetMode="External"/><Relationship Id="rId11" Type="http://schemas.openxmlformats.org/officeDocument/2006/relationships/glossaryDocument" Target="glossary/document.xml"/><Relationship Id="rId5" Type="http://schemas.openxmlformats.org/officeDocument/2006/relationships/hyperlink" Target="mailto:rajlakshmi@iasst.gov.i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6E9E0AC-5564-4BA3-97DE-B18606A77B8D}"/>
      </w:docPartPr>
      <w:docPartBody>
        <w:p w:rsidR="005C1568" w:rsidRDefault="00685835">
          <w:r w:rsidRPr="003F797B">
            <w:rPr>
              <w:rStyle w:val="PlaceholderText"/>
            </w:rPr>
            <w:t>Click or tap here to enter text.</w:t>
          </w:r>
        </w:p>
      </w:docPartBody>
    </w:docPart>
    <w:docPart>
      <w:docPartPr>
        <w:name w:val="FC7F61AD6A64450A80845DDEC9446D22"/>
        <w:category>
          <w:name w:val="General"/>
          <w:gallery w:val="placeholder"/>
        </w:category>
        <w:types>
          <w:type w:val="bbPlcHdr"/>
        </w:types>
        <w:behaviors>
          <w:behavior w:val="content"/>
        </w:behaviors>
        <w:guid w:val="{C3EF27D6-D7AC-4341-BE33-2EE82A7EF4FE}"/>
      </w:docPartPr>
      <w:docPartBody>
        <w:p w:rsidR="00737A08" w:rsidRDefault="00BD4CA8" w:rsidP="00BD4CA8">
          <w:pPr>
            <w:pStyle w:val="FC7F61AD6A64450A80845DDEC9446D22"/>
          </w:pPr>
          <w:r w:rsidRPr="000879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5D"/>
    <w:rsid w:val="002C25C9"/>
    <w:rsid w:val="002D483B"/>
    <w:rsid w:val="003826FB"/>
    <w:rsid w:val="005C1568"/>
    <w:rsid w:val="00647E38"/>
    <w:rsid w:val="00685835"/>
    <w:rsid w:val="006A6028"/>
    <w:rsid w:val="00737A08"/>
    <w:rsid w:val="00986EF7"/>
    <w:rsid w:val="00A82F11"/>
    <w:rsid w:val="00B2795D"/>
    <w:rsid w:val="00B315DC"/>
    <w:rsid w:val="00BD4CA8"/>
    <w:rsid w:val="00CA1C8A"/>
    <w:rsid w:val="00CA2B23"/>
    <w:rsid w:val="00DA754B"/>
    <w:rsid w:val="00E54E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4CA8"/>
    <w:rPr>
      <w:color w:val="808080"/>
    </w:rPr>
  </w:style>
  <w:style w:type="paragraph" w:customStyle="1" w:styleId="FC7F61AD6A64450A80845DDEC9446D22">
    <w:name w:val="FC7F61AD6A64450A80845DDEC9446D22"/>
    <w:rsid w:val="00BD4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C01368-08C5-4E71-BABC-734A0F7EE684}">
  <we:reference id="wa104382081" version="1.55.1.0" store="en-US" storeType="OMEX"/>
  <we:alternateReferences>
    <we:reference id="wa104382081" version="1.55.1.0" store="en-US" storeType="OMEX"/>
  </we:alternateReferences>
  <we:properties>
    <we:property name="MENDELEY_CITATIONS" value="[{&quot;citationID&quot;:&quot;MENDELEY_CITATION_e2cb2582-e7a2-400c-af54-2895822a054d&quot;,&quot;properties&quot;:{&quot;noteIndex&quot;:0},&quot;isEdited&quot;:false,&quot;manualOverride&quot;:{&quot;isManuallyOverridden&quot;:false,&quot;citeprocText&quot;:&quot;[1]&quot;,&quot;manualOverrideText&quot;:&quot;&quot;},&quot;citationItems&quot;:[{&quot;id&quot;:&quot;07af211c-45b3-334c-9039-05365989a82f&quot;,&quot;itemData&quot;:{&quot;type&quot;:&quot;article-journal&quot;,&quot;id&quot;:&quot;07af211c-45b3-334c-9039-05365989a82f&quot;,&quot;title&quot;:&quot;Biochemical Methods - S. Sadasivam&quot;,&quot;author&quot;:[{&quot;family&quot;:&quot;Sadasivam&quot;,&quot;given&quot;:&quot;S&quot;,&quot;parse-names&quot;:false,&quot;dropping-particle&quot;:&quot;&quot;,&quot;non-dropping-particle&quot;:&quot;&quot;},{&quot;family&quot;:&quot;Manickam&quot;,&quot;given&quot;:&quot;A&quot;,&quot;parse-names&quot;:false,&quot;dropping-particle&quot;:&quot;&quot;,&quot;non-dropping-particle&quot;:&quot;&quot;}],&quot;container-title&quot;:&quot;Biochemical methods (2nd ed., pp.  107–109). New Age International Publishers (P) Ltd&quot;,&quot;issued&quot;:{&quot;date-parts&quot;:[[1996]]},&quot;container-title-short&quot;:&quot;&quot;},&quot;isTemporary&quot;:false}],&quot;citationTag&quot;:&quot;MENDELEY_CITATION_v3_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&quot;},{&quot;citationID&quot;:&quot;MENDELEY_CITATION_f5a31c3d-2e3f-4425-accd-abb99ab37810&quot;,&quot;properties&quot;:{&quot;noteIndex&quot;:0},&quot;isEdited&quot;:false,&quot;manualOverride&quot;:{&quot;isManuallyOverridden&quot;:false,&quot;citeprocText&quot;:&quot;[2]&quot;,&quot;manualOverrideText&quot;:&quot;&quot;},&quot;citationItems&quot;:[{&quot;id&quot;:&quot;d2a761c5-4fdc-3749-80ce-e25aec8e803b&quot;,&quot;itemData&quot;:{&quot;type&quot;:&quot;article-journal&quot;,&quot;id&quot;:&quot;d2a761c5-4fdc-3749-80ce-e25aec8e803b&quot;,&quot;title&quot;:&quot;Pharmacologically active chemical composite of Musa balbisiana ameliorates oxidative stress, mitochondrial cellular respiration, and thereby metabolic dysfunction&quot;,&quot;author&quot;:[{&quot;family&quot;:&quot;Sarma&quot;,&quot;given&quot;:&quot;Partha Pratim&quot;,&quot;parse-names&quot;:false,&quot;dropping-particle&quot;:&quot;&quot;,&quot;non-dropping-particle&quot;:&quot;&quot;},{&quot;family&quot;:&quot;Gurumayum&quot;,&quot;given&quot;:&quot;Nonibala&quot;,&quot;parse-names&quot;:false,&quot;dropping-particle&quot;:&quot;&quot;,&quot;non-dropping-particle&quot;:&quot;&quot;},{&quot;family&quot;:&quot;Samanta&quot;,&quot;given&quot;:&quot;Suman Kumar&quot;,&quot;parse-names&quot;:false,&quot;dropping-particle&quot;:&quot;&quot;,&quot;non-dropping-particle&quot;:&quot;&quot;},{&quot;family&quot;:&quot;Khound&quot;,&quot;given&quot;:&quot;Puspanjali&quot;,&quot;parse-names&quot;:false,&quot;dropping-particle&quot;:&quot;&quot;,&quot;non-dropping-particle&quot;:&quot;&quot;},{&quot;family&quot;:&quot;Kumari&quot;,&quot;given&quot;:&quot;Sima&quot;,&quot;parse-names&quot;:false,&quot;dropping-particle&quot;:&quot;&quot;,&quot;non-dropping-particle&quot;:&quot;&quot;},{&quot;family&quot;:&quot;Devi&quot;,&quot;given&quot;:&quot;Diptimayee&quot;,&quot;parse-names&quot;:false,&quot;dropping-particle&quot;:&quot;&quot;,&quot;non-dropping-particle&quot;:&quot;&quot;},{&quot;family&quot;:&quot;Barman&quot;,&quot;given&quot;:&quot;Jayanta&quot;,&quot;parse-names&quot;:false,&quot;dropping-particle&quot;:&quot;&quot;,&quot;non-dropping-particle&quot;:&quot;&quot;},{&quot;family&quot;:&quot;Banerjee&quot;,&quot;given&quot;:&quot;Sanjay Kumar&quot;,&quot;parse-names&quot;:false,&quot;dropping-particle&quot;:&quot;&quot;,&quot;non-dropping-particle&quot;:&quot;&quot;},{&quot;family&quot;:&quot;Devi&quot;,&quot;given&quot;:&quot;Rajlakshmi&quot;,&quot;parse-names&quot;:false,&quot;dropping-particle&quot;:&quot;&quot;,&quot;non-dropping-particle&quot;:&quot;&quot;}],&quot;container-title&quot;:&quot;Journal of Food Biochemistry&quot;,&quot;container-title-short&quot;:&quot;J Food Biochem&quot;,&quot;DOI&quot;:&quot;10.1111/jfbc.14347&quot;,&quot;ISSN&quot;:&quot;17454514&quot;,&quot;PMID&quot;:&quot;35906822&quot;,&quot;issued&quot;:{&quot;date-parts&quot;:[[2022,9,1]]},&quot;abstract&quot;:&quot;The ripe fruit pulp of different Musa species is known for its excellent source of nutrient contents. Musa balbisiana (MB) is one such variety of Musa species, mainly found in the southern part of Asia, especially in the North-eastern part of India, remains unexplored despite its continuous use by the local traditional healers. The present study focuses on identifying and quantifying the active chemicals present in the ripe fruit pulp of Musa balbisiana (RFPMB) to understand its combined efficacy and nutritional benefit to control human metabolic complications specially related to diabetes and cardiovascular disorder. Characterization and confirmation through targeted LC-MS and HPLC-PDA based assays followed by quantitative analysis led us to identify the major bioactive compounds in RFPMB as shikimic acid, p-hydroxybenzoic acid, vanillic acid, ferulic acid, sinapic acid, caffeic acid, syringic acid, chlorogenic acid, trans-cinnamic acid, and two essential fatty acids; linolenic acid and linoleic acid. The ripe fruit pulp is further analyzed to understand the nutritional and mineral content and found a substantial presence of calcium and potassium (15.74 ± 0.43 and 395.20 ± 9.5 mg/100 g of raw pulp, respectively) compared to other reported varieties. The active portion of RFPMB reduces the production of ROS, the expression of inflammatory marker genes TNF-α and TGF-β, and accelerates the mitochondrial oxygen consumption rate (OCR) by enhancing the basal respiration, maximal respiration, and ATP production capacity of the targeted cells. The present study concluded that, a particular phytopharmaceutical composition of RFPMB with 11-biomarker compounds might be an efficacious formulation for developing a value-added nutraceutical product in managing metabolic complications and its related oxidative stress. Practical applications: This study has provided the prior information regarding the potential nutraceutical and phytochemical advantages of Musa balbisiana (MB) fruit pulp over other reported banana varieties. The HPLC-based quantification will give a clear understanding of the food values in comparison of bioactive compounds present in the active fraction of RFPMB, which can be an effective phytopharmaceutical in combating metabolic disorders and oxidative stress. Overall this study will help to commercialize a value-added product from this variety of banana with proper scientific validation.&quot;,&quot;publisher&quot;:&quot;John Wiley and Sons Inc&quot;,&quot;issue&quot;:&quot;9&quot;,&quot;volume&quot;:&quot;46&quot;},&quot;isTemporary&quot;:false}],&quot;citationTag&quot;:&quot;MENDELEY_CITATION_v3_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&quot;},{&quot;citationID&quot;:&quot;MENDELEY_CITATION_f1fb0d89-48fa-43b4-be6d-89c16ba3d3dc&quot;,&quot;properties&quot;:{&quot;noteIndex&quot;:0},&quot;isEdited&quot;:false,&quot;manualOverride&quot;:{&quot;isManuallyOverridden&quot;:false,&quot;citeprocText&quot;:&quot;[3]&quot;,&quot;manualOverrideText&quot;:&quot;&quot;},&quot;citationItems&quot;:[{&quot;id&quot;:&quot;965e3795-74c0-33fe-871e-2a36c566160a&quot;,&quot;itemData&quot;:{&quot;type&quot;:&quot;article-journal&quot;,&quot;id&quot;:&quot;965e3795-74c0-33fe-871e-2a36c566160a&quot;,&quot;title&quot;:&quot;Cardioprotective potential of the antioxidant-rich bioactive fraction of Garcinia pedunculata Roxb. ex Buch.-Ham. against isoproterenol-induced myocardial infarction in Wistar rats&quot;,&quot;author&quot;:[{&quot;family&quot;:&quot;Bhattacharjee&quot;,&quot;given&quot;:&quot;Swarnali&quot;,&quot;parse-names&quot;:false,&quot;dropping-particle&quot;:&quot;&quot;,&quot;non-dropping-particle&quot;:&quot;&quot;},{&quot;family&quot;:&quot;Elancheran&quot;,&quot;given&quot;:&quot;R.&quot;,&quot;parse-names&quot;:false,&quot;dropping-particle&quot;:&quot;&quot;,&quot;non-dropping-particle&quot;:&quot;&quot;},{&quot;family&quot;:&quot;Dutta&quot;,&quot;given&quot;:&quot;Kasturi&quot;,&quot;parse-names&quot;:false,&quot;dropping-particle&quot;:&quot;&quot;,&quot;non-dropping-particle&quot;:&quot;&quot;},{&quot;family&quot;:&quot;Deb&quot;,&quot;given&quot;:&quot;Prashanta Kumar&quot;,&quot;parse-names&quot;:false,&quot;dropping-particle&quot;:&quot;&quot;,&quot;non-dropping-particle&quot;:&quot;&quot;},{&quot;family&quot;:&quot;Devi&quot;,&quot;given&quot;:&quot;Rajlakshmi&quot;,&quot;parse-names&quot;:false,&quot;dropping-particle&quot;:&quot;&quot;,&quot;non-dropping-particle&quot;:&quot;&quot;}],&quot;container-title&quot;:&quot;Frontiers in Pharmacology&quot;,&quot;container-title-short&quot;:&quot;Front Pharmacol&quot;,&quot;DOI&quot;:&quot;10.3389/fphar.2022.1009023&quot;,&quot;ISSN&quot;:&quot;16639812&quot;,&quot;issued&quot;:{&quot;date-parts&quot;:[[2022,10,4]]},&quot;abstract&quot;:&quot;This Study aimed to characterise the phenolic compounds in Garcinia pedunculata extract and assess their potential antioxidant activity as well as its cardioprotective potential in isoproterenol-induced cardiac hypertrophy in an experimental animal model. In vitro antioxidant properties were determined using DPPH, ABTS, FRAP, PMD assays. In vitro lipid peroxidation experiment was also performed with heart tissues. Cardioprotective and cardiotoxicity effects were determined using the cell line studies. The cardioprotective effect of GP was assessed in a rat model of isoproterenol-(ISO-) induced cardiac hypertrophy by subcutaneous administration. Heart weight/tail length ratio and cardiac hypertrophy indicators were reduced after oral administration of GP. Additionally, GP reduced oxidative stress and heart inflammation brought on by ISO. In H9c2 cells, the antihypertrophic and anti-inflammatory effects of the extract of GP were seen in the presence of ISO, which were further supported by the in vivo observations. This study makes a compelling case for the possibility that supplementing with dried GP fruit can prevent heart hypertrophy by reducing oxidative stress and inflammation.&quot;,&quot;publisher&quot;:&quot;Frontiers Media S.A.&quot;,&quot;volume&quot;:&quot;13&quot;},&quot;isTemporary&quot;:false}],&quot;citationTag&quot;:&quot;MENDELEY_CITATION_v3_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&quot;},{&quot;citationID&quot;:&quot;MENDELEY_CITATION_0a41a4ea-5dcf-40d4-a6b0-b09c4cdc3e6c&quot;,&quot;properties&quot;:{&quot;noteIndex&quot;:0},&quot;isEdited&quot;:false,&quot;manualOverride&quot;:{&quot;isManuallyOverridden&quot;:false,&quot;citeprocText&quot;:&quot;[4]&quot;,&quot;manualOverrideText&quot;:&quot;&quot;},&quot;citationItems&quot;:[{&quot;id&quot;:&quot;3f8f39d2-688d-3e08-81eb-09ac1458f917&quot;,&quot;itemData&quot;:{&quot;type&quot;:&quot;article-journal&quot;,&quot;id&quot;:&quot;3f8f39d2-688d-3e08-81eb-09ac1458f917&quot;,&quot;title&quot;:&quot;Phytochemicals from berries and grapes inhibited the formation of advanced glycation end-products by scavenging reactive carbonyls&quot;,&quot;author&quot;:[{&quot;family&quot;:&quot;Wang&quot;,&quot;given&quot;:&quot;Wei&quot;,&quot;parse-names&quot;:false,&quot;dropping-particle&quot;:&quot;&quot;,&quot;non-dropping-particle&quot;:&quot;&quot;},{&quot;family&quot;:&quot;Yagiz&quot;,&quot;given&quot;:&quot;Yavuz&quot;,&quot;parse-names&quot;:false,&quot;dropping-particle&quot;:&quot;&quot;,&quot;non-dropping-particle&quot;:&quot;&quot;},{&quot;family&quot;:&quot;Buran&quot;,&quot;given&quot;:&quot;Timothy J.&quot;,&quot;parse-names&quot;:false,&quot;dropping-particle&quot;:&quot;&quot;,&quot;non-dropping-particle&quot;:&quot;&quot;},{&quot;family&quot;:&quot;Nunes&quot;,&quot;given&quot;:&quot;Cecilia do Nascimento&quot;,&quot;parse-names&quot;:false,&quot;dropping-particle&quot;:&quot;&quot;,&quot;non-dropping-particle&quot;:&quot;&quot;},{&quot;family&quot;:&quot;Gu&quot;,&quot;given&quot;:&quot;Liwei&quot;,&quot;parse-names&quot;:false,&quot;dropping-particle&quot;:&quot;&quot;,&quot;non-dropping-particle&quot;:&quot;&quot;}],&quot;container-title&quot;:&quot;Food Research International&quot;,&quot;DOI&quot;:&quot;10.1016/j.foodres.2011.05.022&quot;,&quot;ISSN&quot;:&quot;09639969&quot;,&quot;issued&quot;:{&quot;date-parts&quot;:[[2011,11]]},&quot;page&quot;:&quot;2666-2673&quot;,&quot;abstract&quot;:&quot;Phenolic phytochemicals were extracted from blueberries, blackberries, strawberries, raspberries, cranberries, and Noble muscadine grapes. These extracts were purified to remove free sugars. Blueberry extract was separated into five fractions using a Sephadex LH-20 column. Berry extracts and fractions significantly inhibited AGEs generation in (bovine serum albumin) BSA-fructose, BSA-methylglyoxal, and arginine-methylglyoxal models, respectively. Their capacity to scavenge methylglyoxal suggested carbonyl scavenging as a major mechanism of protein glycation inhibition. Procyanidins were detected in all berry extracts and blueberry subfractions and were deduced to be one class of active compounds. (+)-Catechin, constituent unit of procyanidins, was used as a model compound to react with glyoxal and methylglyoxal. Five catechin-carbonyl adducts were detected and their structures were tentatively identified using HPLC-ESI-MSn. Results in this study suggested that sugar-free phytochemicals extracted from berries were effective carbonyl scavengers and protein glycation inhibitors. These phytochemicals could be beneficial to prevent AGE-related chronic diseases. © 2011 Elsevier Ltd.&quot;,&quot;issue&quot;:&quot;9&quot;,&quot;volume&quot;:&quot;44&quot;,&quot;container-title-short&quot;:&quot;&quot;},&quot;isTemporary&quot;:false}],&quot;citationTag&quot;:&quot;MENDELEY_CITATION_v3_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&quot;},{&quot;citationID&quot;:&quot;MENDELEY_CITATION_aed2b791-56a6-4d12-8607-b99d67a50824&quot;,&quot;properties&quot;:{&quot;noteIndex&quot;:0},&quot;isEdited&quot;:false,&quot;manualOverride&quot;:{&quot;isManuallyOverridden&quot;:false,&quot;citeprocText&quot;:&quot;[2]&quot;,&quot;manualOverrideText&quot;:&quot;&quot;},&quot;citationItems&quot;:[{&quot;id&quot;:&quot;d2a761c5-4fdc-3749-80ce-e25aec8e803b&quot;,&quot;itemData&quot;:{&quot;type&quot;:&quot;article-journal&quot;,&quot;id&quot;:&quot;d2a761c5-4fdc-3749-80ce-e25aec8e803b&quot;,&quot;title&quot;:&quot;Pharmacologically active chemical composite of Musa balbisiana ameliorates oxidative stress, mitochondrial cellular respiration, and thereby metabolic dysfunction&quot;,&quot;author&quot;:[{&quot;family&quot;:&quot;Sarma&quot;,&quot;given&quot;:&quot;Partha Pratim&quot;,&quot;parse-names&quot;:false,&quot;dropping-particle&quot;:&quot;&quot;,&quot;non-dropping-particle&quot;:&quot;&quot;},{&quot;family&quot;:&quot;Gurumayum&quot;,&quot;given&quot;:&quot;Nonibala&quot;,&quot;parse-names&quot;:false,&quot;dropping-particle&quot;:&quot;&quot;,&quot;non-dropping-particle&quot;:&quot;&quot;},{&quot;family&quot;:&quot;Samanta&quot;,&quot;given&quot;:&quot;Suman Kumar&quot;,&quot;parse-names&quot;:false,&quot;dropping-particle&quot;:&quot;&quot;,&quot;non-dropping-particle&quot;:&quot;&quot;},{&quot;family&quot;:&quot;Khound&quot;,&quot;given&quot;:&quot;Puspanjali&quot;,&quot;parse-names&quot;:false,&quot;dropping-particle&quot;:&quot;&quot;,&quot;non-dropping-particle&quot;:&quot;&quot;},{&quot;family&quot;:&quot;Kumari&quot;,&quot;given&quot;:&quot;Sima&quot;,&quot;parse-names&quot;:false,&quot;dropping-particle&quot;:&quot;&quot;,&quot;non-dropping-particle&quot;:&quot;&quot;},{&quot;family&quot;:&quot;Devi&quot;,&quot;given&quot;:&quot;Diptimayee&quot;,&quot;parse-names&quot;:false,&quot;dropping-particle&quot;:&quot;&quot;,&quot;non-dropping-particle&quot;:&quot;&quot;},{&quot;family&quot;:&quot;Barman&quot;,&quot;given&quot;:&quot;Jayanta&quot;,&quot;parse-names&quot;:false,&quot;dropping-particle&quot;:&quot;&quot;,&quot;non-dropping-particle&quot;:&quot;&quot;},{&quot;family&quot;:&quot;Banerjee&quot;,&quot;given&quot;:&quot;Sanjay Kumar&quot;,&quot;parse-names&quot;:false,&quot;dropping-particle&quot;:&quot;&quot;,&quot;non-dropping-particle&quot;:&quot;&quot;},{&quot;family&quot;:&quot;Devi&quot;,&quot;given&quot;:&quot;Rajlakshmi&quot;,&quot;parse-names&quot;:false,&quot;dropping-particle&quot;:&quot;&quot;,&quot;non-dropping-particle&quot;:&quot;&quot;}],&quot;container-title&quot;:&quot;Journal of Food Biochemistry&quot;,&quot;container-title-short&quot;:&quot;J Food Biochem&quot;,&quot;DOI&quot;:&quot;10.1111/jfbc.14347&quot;,&quot;ISSN&quot;:&quot;17454514&quot;,&quot;PMID&quot;:&quot;35906822&quot;,&quot;issued&quot;:{&quot;date-parts&quot;:[[2022,9,1]]},&quot;abstract&quot;:&quot;The ripe fruit pulp of different Musa species is known for its excellent source of nutrient contents. Musa balbisiana (MB) is one such variety of Musa species, mainly found in the southern part of Asia, especially in the North-eastern part of India, remains unexplored despite its continuous use by the local traditional healers. The present study focuses on identifying and quantifying the active chemicals present in the ripe fruit pulp of Musa balbisiana (RFPMB) to understand its combined efficacy and nutritional benefit to control human metabolic complications specially related to diabetes and cardiovascular disorder. Characterization and confirmation through targeted LC-MS and HPLC-PDA based assays followed by quantitative analysis led us to identify the major bioactive compounds in RFPMB as shikimic acid, p-hydroxybenzoic acid, vanillic acid, ferulic acid, sinapic acid, caffeic acid, syringic acid, chlorogenic acid, trans-cinnamic acid, and two essential fatty acids; linolenic acid and linoleic acid. The ripe fruit pulp is further analyzed to understand the nutritional and mineral content and found a substantial presence of calcium and potassium (15.74 ± 0.43 and 395.20 ± 9.5 mg/100 g of raw pulp, respectively) compared to other reported varieties. The active portion of RFPMB reduces the production of ROS, the expression of inflammatory marker genes TNF-α and TGF-β, and accelerates the mitochondrial oxygen consumption rate (OCR) by enhancing the basal respiration, maximal respiration, and ATP production capacity of the targeted cells. The present study concluded that, a particular phytopharmaceutical composition of RFPMB with 11-biomarker compounds might be an efficacious formulation for developing a value-added nutraceutical product in managing metabolic complications and its related oxidative stress. Practical applications: This study has provided the prior information regarding the potential nutraceutical and phytochemical advantages of Musa balbisiana (MB) fruit pulp over other reported banana varieties. The HPLC-based quantification will give a clear understanding of the food values in comparison of bioactive compounds present in the active fraction of RFPMB, which can be an effective phytopharmaceutical in combating metabolic disorders and oxidative stress. Overall this study will help to commercialize a value-added product from this variety of banana with proper scientific validation.&quot;,&quot;publisher&quot;:&quot;John Wiley and Sons Inc&quot;,&quot;issue&quot;:&quot;9&quot;,&quot;volume&quot;:&quot;46&quot;},&quot;isTemporary&quot;:false}],&quot;citationTag&quot;:&quot;MENDELEY_CITATION_v3_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&quot;},{&quot;citationID&quot;:&quot;MENDELEY_CITATION_009fbdbd-2d0c-4a7a-8a75-1e6b27f5adb0&quot;,&quot;properties&quot;:{&quot;noteIndex&quot;:0},&quot;isEdited&quot;:false,&quot;manualOverride&quot;:{&quot;isManuallyOverridden&quot;:false,&quot;citeprocText&quot;:&quot;[2]&quot;,&quot;manualOverrideText&quot;:&quot;&quot;},&quot;citationItems&quot;:[{&quot;id&quot;:&quot;d2a761c5-4fdc-3749-80ce-e25aec8e803b&quot;,&quot;itemData&quot;:{&quot;type&quot;:&quot;article-journal&quot;,&quot;id&quot;:&quot;d2a761c5-4fdc-3749-80ce-e25aec8e803b&quot;,&quot;title&quot;:&quot;Pharmacologically active chemical composite of Musa balbisiana ameliorates oxidative stress, mitochondrial cellular respiration, and thereby metabolic dysfunction&quot;,&quot;author&quot;:[{&quot;family&quot;:&quot;Sarma&quot;,&quot;given&quot;:&quot;Partha Pratim&quot;,&quot;parse-names&quot;:false,&quot;dropping-particle&quot;:&quot;&quot;,&quot;non-dropping-particle&quot;:&quot;&quot;},{&quot;family&quot;:&quot;Gurumayum&quot;,&quot;given&quot;:&quot;Nonibala&quot;,&quot;parse-names&quot;:false,&quot;dropping-particle&quot;:&quot;&quot;,&quot;non-dropping-particle&quot;:&quot;&quot;},{&quot;family&quot;:&quot;Samanta&quot;,&quot;given&quot;:&quot;Suman Kumar&quot;,&quot;parse-names&quot;:false,&quot;dropping-particle&quot;:&quot;&quot;,&quot;non-dropping-particle&quot;:&quot;&quot;},{&quot;family&quot;:&quot;Khound&quot;,&quot;given&quot;:&quot;Puspanjali&quot;,&quot;parse-names&quot;:false,&quot;dropping-particle&quot;:&quot;&quot;,&quot;non-dropping-particle&quot;:&quot;&quot;},{&quot;family&quot;:&quot;Kumari&quot;,&quot;given&quot;:&quot;Sima&quot;,&quot;parse-names&quot;:false,&quot;dropping-particle&quot;:&quot;&quot;,&quot;non-dropping-particle&quot;:&quot;&quot;},{&quot;family&quot;:&quot;Devi&quot;,&quot;given&quot;:&quot;Diptimayee&quot;,&quot;parse-names&quot;:false,&quot;dropping-particle&quot;:&quot;&quot;,&quot;non-dropping-particle&quot;:&quot;&quot;},{&quot;family&quot;:&quot;Barman&quot;,&quot;given&quot;:&quot;Jayanta&quot;,&quot;parse-names&quot;:false,&quot;dropping-particle&quot;:&quot;&quot;,&quot;non-dropping-particle&quot;:&quot;&quot;},{&quot;family&quot;:&quot;Banerjee&quot;,&quot;given&quot;:&quot;Sanjay Kumar&quot;,&quot;parse-names&quot;:false,&quot;dropping-particle&quot;:&quot;&quot;,&quot;non-dropping-particle&quot;:&quot;&quot;},{&quot;family&quot;:&quot;Devi&quot;,&quot;given&quot;:&quot;Rajlakshmi&quot;,&quot;parse-names&quot;:false,&quot;dropping-particle&quot;:&quot;&quot;,&quot;non-dropping-particle&quot;:&quot;&quot;}],&quot;container-title&quot;:&quot;Journal of Food Biochemistry&quot;,&quot;container-title-short&quot;:&quot;J Food Biochem&quot;,&quot;DOI&quot;:&quot;10.1111/jfbc.14347&quot;,&quot;ISSN&quot;:&quot;17454514&quot;,&quot;PMID&quot;:&quot;35906822&quot;,&quot;issued&quot;:{&quot;date-parts&quot;:[[2022,9,1]]},&quot;abstract&quot;:&quot;The ripe fruit pulp of different Musa species is known for its excellent source of nutrient contents. Musa balbisiana (MB) is one such variety of Musa species, mainly found in the southern part of Asia, especially in the North-eastern part of India, remains unexplored despite its continuous use by the local traditional healers. The present study focuses on identifying and quantifying the active chemicals present in the ripe fruit pulp of Musa balbisiana (RFPMB) to understand its combined efficacy and nutritional benefit to control human metabolic complications specially related to diabetes and cardiovascular disorder. Characterization and confirmation through targeted LC-MS and HPLC-PDA based assays followed by quantitative analysis led us to identify the major bioactive compounds in RFPMB as shikimic acid, p-hydroxybenzoic acid, vanillic acid, ferulic acid, sinapic acid, caffeic acid, syringic acid, chlorogenic acid, trans-cinnamic acid, and two essential fatty acids; linolenic acid and linoleic acid. The ripe fruit pulp is further analyzed to understand the nutritional and mineral content and found a substantial presence of calcium and potassium (15.74 ± 0.43 and 395.20 ± 9.5 mg/100 g of raw pulp, respectively) compared to other reported varieties. The active portion of RFPMB reduces the production of ROS, the expression of inflammatory marker genes TNF-α and TGF-β, and accelerates the mitochondrial oxygen consumption rate (OCR) by enhancing the basal respiration, maximal respiration, and ATP production capacity of the targeted cells. The present study concluded that, a particular phytopharmaceutical composition of RFPMB with 11-biomarker compounds might be an efficacious formulation for developing a value-added nutraceutical product in managing metabolic complications and its related oxidative stress. Practical applications: This study has provided the prior information regarding the potential nutraceutical and phytochemical advantages of Musa balbisiana (MB) fruit pulp over other reported banana varieties. The HPLC-based quantification will give a clear understanding of the food values in comparison of bioactive compounds present in the active fraction of RFPMB, which can be an effective phytopharmaceutical in combating metabolic disorders and oxidative stress. Overall this study will help to commercialize a value-added product from this variety of banana with proper scientific validation.&quot;,&quot;publisher&quot;:&quot;John Wiley and Sons Inc&quot;,&quot;issue&quot;:&quot;9&quot;,&quot;volume&quot;:&quot;46&quot;},&quot;isTemporary&quot;:false}],&quot;citationTag&quot;:&quot;MENDELEY_CITATION_v3_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&quot;},{&quot;citationID&quot;:&quot;MENDELEY_CITATION_e1245a88-2dc8-4913-9b40-a0351379f981&quot;,&quot;properties&quot;:{&quot;noteIndex&quot;:0},&quot;isEdited&quot;:false,&quot;manualOverride&quot;:{&quot;isManuallyOverridden&quot;:false,&quot;citeprocText&quot;:&quot;[5]&quot;,&quot;manualOverrideText&quot;:&quot;&quot;},&quot;citationItems&quot;:[{&quot;id&quot;:&quot;2c91c68c-7b63-3361-a36a-c44799379ac2&quot;,&quot;itemData&quot;:{&quot;type&quot;:&quot;article-journal&quot;,&quot;id&quot;:&quot;2c91c68c-7b63-3361-a36a-c44799379ac2&quot;,&quot;title&quot;:&quot;Total Phenolic, Total Flavonoid, Tannin Content, and Antioxidant Capacity of Halimium halimifolium (Cistaceae)&quot;,&quot;author&quot;:[{&quot;family&quot;:&quot;Rebaya&quot;,&quot;given&quot;:&quot;Ahlem&quot;,&quot;parse-names&quot;:false,&quot;dropping-particle&quot;:&quot;&quot;,&quot;non-dropping-particle&quot;:&quot;&quot;},{&quot;family&quot;:&quot;Belghith&quot;,&quot;given&quot;:&quot;Souad Igueld&quot;,&quot;parse-names&quot;:false,&quot;dropping-particle&quot;:&quot;&quot;,&quot;non-dropping-particle&quot;:&quot;&quot;},{&quot;family&quot;:&quot;Baghdikian&quot;,&quot;given&quot;:&quot;Béatrice&quot;,&quot;parse-names&quot;:false,&quot;dropping-particle&quot;:&quot;&quot;,&quot;non-dropping-particle&quot;:&quot;&quot;},{&quot;family&quot;:&quot;Leddet&quot;,&quot;given&quot;:&quot;Valérie Mahiou&quot;,&quot;parse-names&quot;:false,&quot;dropping-particle&quot;:&quot;&quot;,&quot;non-dropping-particle&quot;:&quot;&quot;},{&quot;family&quot;:&quot;Mabrouki&quot;,&quot;given&quot;:&quot;Fathi&quot;,&quot;parse-names&quot;:false,&quot;dropping-particle&quot;:&quot;&quot;,&quot;non-dropping-particle&quot;:&quot;&quot;},{&quot;family&quot;:&quot;Olivier&quot;,&quot;given&quot;:&quot;Evelyne&quot;,&quot;parse-names&quot;:false,&quot;dropping-particle&quot;:&quot;&quot;,&quot;non-dropping-particle&quot;:&quot;&quot;},{&quot;family&quot;:&quot;Cherif&quot;,&quot;given&quot;:&quot;Jamila Kalthoum&quot;,&quot;parse-names&quot;:false,&quot;dropping-particle&quot;:&quot;&quot;,&quot;non-dropping-particle&quot;:&quot;&quot;},{&quot;family&quot;:&quot;Ayadi&quot;,&quot;given&quot;:&quot;Malika Trabelsi&quot;,&quot;parse-names&quot;:false,&quot;dropping-particle&quot;:&quot;&quot;,&quot;non-dropping-particle&quot;:&quot;&quot;}],&quot;container-title&quot;:&quot;Journal of Applied Pharmaceutical Science&quot;,&quot;container-title-short&quot;:&quot;J Appl Pharm Sci&quot;,&quot;DOI&quot;:&quot;10.7324/JAPS.2015.50110&quot;,&quot;ISSN&quot;:&quot;22313354&quot;,&quot;issued&quot;:{&quot;date-parts&quot;:[[2015]]},&quot;page&quot;:&quot;052-057&quot;,&quot;abstract&quot;:&quot;This study was carried out to evaluate the phytochemical constituents and antioxidant potential of the leaves and flowers extracts of Halimium halimifolium in order to validate the medicinal potential of this herb. The antioxidant activity of alcoholic and aqueous extracts was evaluated using 2, 2-diphenyl-l-picrylhydrazyl (DPPH), 2, 2'-azinobis- (3-ethylbenzothiazoline-6-sulfonic acid) (ABTS) and ferric reducing antioxidant power (FRAP) assays. The total polyphenol, flavonoid and tannin content were determined according respectively to Folin-Ciocalteu method, Zhishen method and Broadhurst method. The leaves of H. halimifolium had greater antioxidant activity than flowers by DPPH and ABTS assays. The ethanol extract of the leaves exhibited the better antioxidant activity by DPPH assay (IC50 = 1.19 μg.mL-1), the n-butanol by ABTS assays (IC50 = 1.73μg.mL-1). As opposed to FRAP method the flowers had greater antioxidant activity as leaves. Ethyl acetate extract exhibited better antioxidant activity (IC50 = 15.5 mmol Fe2+.g-1). The obtained results showed that the extracting solvent significantly influenced the antioxidant property estimations of Halimium halimifolium. The ethanol is a recommended solvent for extracting antioxidants from this plant. The antioxidant activity determined by DPPH, ABTS and FRAP demonstrated a linear relationship with their polyphenols, flavonoids and tannins content.&quot;,&quot;publisher&quot;:&quot;Open Science Publishers LLP India.&quot;,&quot;issue&quot;:&quot;1&quot;,&quot;volume&quot;:&quot;5&quot;},&quot;isTemporary&quot;:false}],&quot;citationTag&quot;:&quot;MENDELEY_CITATION_v3_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&quot;}]"/>
    <we:property name="MENDELEY_CITATIONS_LOCALE_CODE" value="&quot;en-US&quot;"/>
    <we:property name="MENDELEY_CITATIONS_STYLE" value="{&quot;id&quot;:&quot;https://www.zotero.org/styles/plant-foods-for-human-nutrition&quot;,&quot;title&quot;:&quot;Plant Foods for Human Nutr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7C780-E15D-4E6F-85F9-F20337E4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2399</Words>
  <Characters>13678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HP_OWNER</dc:creator>
  <cp:keywords/>
  <dc:description/>
  <cp:lastModifiedBy>NONIBALA GURUMAYUM</cp:lastModifiedBy>
  <cp:revision>19</cp:revision>
  <dcterms:created xsi:type="dcterms:W3CDTF">2023-03-15T17:41:00Z</dcterms:created>
  <dcterms:modified xsi:type="dcterms:W3CDTF">2023-04-18T05:38:00Z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3c94baa0-04f7-459c-8fcc-991b77ff52c5</vt:lpwstr>
  </property>
</Properties>
</file>