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7514C" w14:textId="64798E40" w:rsidR="0076113F" w:rsidRPr="0023671D" w:rsidRDefault="0023671D" w:rsidP="0023671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671D">
        <w:rPr>
          <w:rFonts w:ascii="Times New Roman" w:hAnsi="Times New Roman" w:cs="Times New Roman"/>
          <w:b/>
          <w:bCs/>
          <w:sz w:val="28"/>
          <w:szCs w:val="28"/>
        </w:rPr>
        <w:t>Supplementary materials</w:t>
      </w:r>
    </w:p>
    <w:p w14:paraId="488C50E6" w14:textId="77777777" w:rsidR="0023671D" w:rsidRDefault="0023671D"/>
    <w:p w14:paraId="0567E554" w14:textId="7DEBC83B" w:rsidR="0023671D" w:rsidRDefault="00BB44D0" w:rsidP="0023671D">
      <w:pPr>
        <w:rPr>
          <w:rFonts w:ascii="Times New Roman" w:hAnsi="Times New Roman" w:cs="Times New Roman"/>
          <w:b/>
          <w:sz w:val="24"/>
        </w:rPr>
      </w:pPr>
      <w:bookmarkStart w:id="0" w:name="_Hlk129855806"/>
      <w:bookmarkEnd w:id="0"/>
      <w:r w:rsidRPr="00BB44D0">
        <w:rPr>
          <w:rFonts w:ascii="Times New Roman" w:hAnsi="Times New Roman" w:cs="Times New Roman"/>
          <w:b/>
          <w:sz w:val="24"/>
        </w:rPr>
        <w:t xml:space="preserve">Aluminum-induced changes in the net carbon fixation and carbon decomposition of a nitrogen-fixing cyanobacterium </w:t>
      </w:r>
      <w:proofErr w:type="spellStart"/>
      <w:r w:rsidRPr="00BB44D0">
        <w:rPr>
          <w:rFonts w:ascii="Times New Roman" w:hAnsi="Times New Roman" w:cs="Times New Roman"/>
          <w:b/>
          <w:i/>
          <w:iCs/>
          <w:sz w:val="24"/>
        </w:rPr>
        <w:t>Trichodesmium</w:t>
      </w:r>
      <w:proofErr w:type="spellEnd"/>
      <w:r w:rsidRPr="00BB44D0">
        <w:rPr>
          <w:rFonts w:ascii="Times New Roman" w:hAnsi="Times New Roman" w:cs="Times New Roman"/>
          <w:b/>
          <w:i/>
          <w:iCs/>
          <w:sz w:val="24"/>
        </w:rPr>
        <w:t xml:space="preserve"> </w:t>
      </w:r>
      <w:proofErr w:type="spellStart"/>
      <w:r w:rsidRPr="00BB44D0">
        <w:rPr>
          <w:rFonts w:ascii="Times New Roman" w:hAnsi="Times New Roman" w:cs="Times New Roman"/>
          <w:b/>
          <w:i/>
          <w:iCs/>
          <w:sz w:val="24"/>
        </w:rPr>
        <w:t>erythraeum</w:t>
      </w:r>
      <w:proofErr w:type="spellEnd"/>
    </w:p>
    <w:p w14:paraId="6F61C861" w14:textId="77777777" w:rsidR="00BB44D0" w:rsidRPr="00A23514" w:rsidRDefault="00BB44D0" w:rsidP="0023671D">
      <w:pPr>
        <w:rPr>
          <w:rFonts w:ascii="Times New Roman" w:hAnsi="Times New Roman" w:cs="Times New Roman"/>
          <w:bCs/>
          <w:sz w:val="24"/>
        </w:rPr>
      </w:pPr>
    </w:p>
    <w:p w14:paraId="7DD5754B" w14:textId="77777777" w:rsidR="0023671D" w:rsidRPr="00A23514" w:rsidRDefault="0023671D" w:rsidP="0023671D">
      <w:pPr>
        <w:rPr>
          <w:rFonts w:ascii="Times New Roman" w:hAnsi="Times New Roman" w:cs="Times New Roman"/>
          <w:bCs/>
          <w:sz w:val="24"/>
        </w:rPr>
      </w:pPr>
      <w:r w:rsidRPr="00A23514">
        <w:rPr>
          <w:rFonts w:ascii="Times New Roman" w:hAnsi="Times New Roman" w:cs="Times New Roman"/>
          <w:bCs/>
          <w:sz w:val="24"/>
        </w:rPr>
        <w:t>Linbin Zhou</w:t>
      </w:r>
      <w:r w:rsidRPr="00A23514">
        <w:rPr>
          <w:rFonts w:ascii="Times New Roman" w:hAnsi="Times New Roman" w:cs="Times New Roman"/>
          <w:bCs/>
          <w:sz w:val="24"/>
          <w:vertAlign w:val="superscript"/>
        </w:rPr>
        <w:t>1, 2, 4</w:t>
      </w:r>
      <w:r w:rsidRPr="00A23514">
        <w:rPr>
          <w:rFonts w:ascii="Times New Roman" w:hAnsi="Times New Roman" w:cs="Times New Roman"/>
          <w:bCs/>
          <w:sz w:val="24"/>
        </w:rPr>
        <w:t>, Fengjie Liu</w:t>
      </w:r>
      <w:r w:rsidRPr="00A23514">
        <w:rPr>
          <w:rFonts w:ascii="Times New Roman" w:hAnsi="Times New Roman" w:cs="Times New Roman"/>
          <w:bCs/>
          <w:sz w:val="24"/>
          <w:vertAlign w:val="superscript"/>
        </w:rPr>
        <w:t>2, 3</w:t>
      </w:r>
      <w:r w:rsidRPr="00A23514">
        <w:rPr>
          <w:rFonts w:ascii="Times New Roman" w:hAnsi="Times New Roman" w:cs="Times New Roman"/>
          <w:bCs/>
          <w:sz w:val="24"/>
        </w:rPr>
        <w:t>, Yehui Tan</w:t>
      </w:r>
      <w:r w:rsidRPr="00A23514">
        <w:rPr>
          <w:rFonts w:ascii="Times New Roman" w:hAnsi="Times New Roman" w:cs="Times New Roman"/>
          <w:bCs/>
          <w:sz w:val="24"/>
          <w:vertAlign w:val="superscript"/>
        </w:rPr>
        <w:t>1, 4</w:t>
      </w:r>
      <w:r w:rsidRPr="00A23514">
        <w:rPr>
          <w:rFonts w:ascii="Times New Roman" w:hAnsi="Times New Roman" w:cs="Times New Roman"/>
          <w:bCs/>
          <w:sz w:val="24"/>
        </w:rPr>
        <w:t>, Claude Fortin</w:t>
      </w:r>
      <w:r w:rsidRPr="00A23514">
        <w:rPr>
          <w:rFonts w:ascii="Times New Roman" w:hAnsi="Times New Roman" w:cs="Times New Roman"/>
          <w:bCs/>
          <w:sz w:val="24"/>
          <w:vertAlign w:val="superscript"/>
        </w:rPr>
        <w:t>2</w:t>
      </w:r>
      <w:r w:rsidRPr="00A23514">
        <w:rPr>
          <w:rFonts w:ascii="Times New Roman" w:hAnsi="Times New Roman" w:cs="Times New Roman"/>
          <w:bCs/>
          <w:sz w:val="24"/>
        </w:rPr>
        <w:t>, Liangmin Huang</w:t>
      </w:r>
      <w:r w:rsidRPr="00A23514">
        <w:rPr>
          <w:rFonts w:ascii="Times New Roman" w:hAnsi="Times New Roman" w:cs="Times New Roman"/>
          <w:bCs/>
          <w:sz w:val="24"/>
          <w:vertAlign w:val="superscript"/>
        </w:rPr>
        <w:t>1, 4</w:t>
      </w:r>
      <w:r w:rsidRPr="00A23514">
        <w:rPr>
          <w:rFonts w:ascii="Times New Roman" w:hAnsi="Times New Roman" w:cs="Times New Roman"/>
          <w:bCs/>
          <w:sz w:val="24"/>
        </w:rPr>
        <w:t>, Peter G.C. Campbell</w:t>
      </w:r>
      <w:r w:rsidRPr="00A23514">
        <w:rPr>
          <w:rFonts w:ascii="Times New Roman" w:hAnsi="Times New Roman" w:cs="Times New Roman"/>
          <w:bCs/>
          <w:sz w:val="24"/>
          <w:vertAlign w:val="superscript"/>
        </w:rPr>
        <w:t>2</w:t>
      </w:r>
    </w:p>
    <w:p w14:paraId="0101BDC7" w14:textId="77777777" w:rsidR="0023671D" w:rsidRPr="00A23514" w:rsidRDefault="0023671D" w:rsidP="0023671D">
      <w:pPr>
        <w:rPr>
          <w:rFonts w:ascii="Times New Roman" w:hAnsi="Times New Roman" w:cs="Times New Roman"/>
          <w:bCs/>
          <w:sz w:val="24"/>
        </w:rPr>
      </w:pPr>
    </w:p>
    <w:p w14:paraId="3ADA34C3" w14:textId="77777777" w:rsidR="0023671D" w:rsidRPr="004E6D32" w:rsidRDefault="0023671D" w:rsidP="0023671D">
      <w:pPr>
        <w:rPr>
          <w:rFonts w:ascii="Times New Roman" w:hAnsi="Times New Roman" w:cs="Times New Roman"/>
          <w:bCs/>
          <w:szCs w:val="20"/>
        </w:rPr>
      </w:pPr>
      <w:r w:rsidRPr="004E6D32">
        <w:rPr>
          <w:rFonts w:ascii="Times New Roman" w:hAnsi="Times New Roman" w:cs="Times New Roman"/>
          <w:bCs/>
          <w:szCs w:val="20"/>
          <w:vertAlign w:val="superscript"/>
        </w:rPr>
        <w:t>1</w:t>
      </w:r>
      <w:r w:rsidRPr="004E6D32">
        <w:rPr>
          <w:rFonts w:ascii="Times New Roman" w:hAnsi="Times New Roman" w:cs="Times New Roman"/>
          <w:bCs/>
          <w:szCs w:val="20"/>
        </w:rPr>
        <w:t xml:space="preserve">CAS Key Laboratory of Tropical Marine Bio-resources and Ecology, Guangdong Provincial Key Laboratory of Applied Marine Biology, South China Sea Institute of Oceanology, Chinese Academy of Sciences, Guangzhou, China </w:t>
      </w:r>
    </w:p>
    <w:p w14:paraId="602702E4" w14:textId="77777777" w:rsidR="0023671D" w:rsidRPr="00796296" w:rsidRDefault="0023671D" w:rsidP="0023671D">
      <w:pPr>
        <w:rPr>
          <w:rFonts w:ascii="Times New Roman" w:hAnsi="Times New Roman" w:cs="Times New Roman"/>
          <w:bCs/>
          <w:szCs w:val="20"/>
          <w:lang w:val="fr-CA"/>
        </w:rPr>
      </w:pPr>
      <w:r w:rsidRPr="00796296">
        <w:rPr>
          <w:rFonts w:ascii="Times New Roman" w:hAnsi="Times New Roman" w:cs="Times New Roman"/>
          <w:bCs/>
          <w:szCs w:val="20"/>
          <w:vertAlign w:val="superscript"/>
          <w:lang w:val="fr-CA"/>
        </w:rPr>
        <w:t>2</w:t>
      </w:r>
      <w:r w:rsidRPr="00796296">
        <w:rPr>
          <w:rFonts w:ascii="Times New Roman" w:hAnsi="Times New Roman" w:cs="Times New Roman"/>
          <w:bCs/>
          <w:szCs w:val="20"/>
          <w:lang w:val="fr-CA"/>
        </w:rPr>
        <w:t>Institut national de la recherche scientifique, Centre Eau Terre Environnement, Québec, Canada</w:t>
      </w:r>
    </w:p>
    <w:p w14:paraId="53A6D944" w14:textId="77777777" w:rsidR="0023671D" w:rsidRPr="004E6D32" w:rsidRDefault="0023671D" w:rsidP="0023671D">
      <w:pPr>
        <w:rPr>
          <w:rFonts w:ascii="Times New Roman" w:hAnsi="Times New Roman" w:cs="Times New Roman"/>
          <w:bCs/>
          <w:szCs w:val="20"/>
        </w:rPr>
      </w:pPr>
      <w:r w:rsidRPr="004E6D32">
        <w:rPr>
          <w:rFonts w:ascii="Times New Roman" w:hAnsi="Times New Roman" w:cs="Times New Roman"/>
          <w:bCs/>
          <w:szCs w:val="20"/>
          <w:vertAlign w:val="superscript"/>
        </w:rPr>
        <w:t>3</w:t>
      </w:r>
      <w:r w:rsidRPr="004E6D32">
        <w:rPr>
          <w:rFonts w:ascii="Times New Roman" w:hAnsi="Times New Roman" w:cs="Times New Roman"/>
          <w:bCs/>
          <w:szCs w:val="20"/>
        </w:rPr>
        <w:t>School of Environmental Sciences, University of Liverpool, Liverpool, L69 3GP, United Kingdom</w:t>
      </w:r>
    </w:p>
    <w:p w14:paraId="42E9E9E2" w14:textId="77777777" w:rsidR="0023671D" w:rsidRPr="004E6D32" w:rsidRDefault="0023671D" w:rsidP="0023671D">
      <w:pPr>
        <w:rPr>
          <w:rFonts w:ascii="Times New Roman" w:hAnsi="Times New Roman" w:cs="Times New Roman"/>
          <w:bCs/>
          <w:szCs w:val="20"/>
        </w:rPr>
      </w:pPr>
      <w:r w:rsidRPr="004E6D32">
        <w:rPr>
          <w:rFonts w:ascii="Times New Roman" w:hAnsi="Times New Roman" w:cs="Times New Roman"/>
          <w:bCs/>
          <w:szCs w:val="20"/>
          <w:vertAlign w:val="superscript"/>
        </w:rPr>
        <w:t>4</w:t>
      </w:r>
      <w:r w:rsidRPr="004E6D32">
        <w:rPr>
          <w:rFonts w:ascii="Times New Roman" w:hAnsi="Times New Roman" w:cs="Times New Roman"/>
          <w:bCs/>
          <w:szCs w:val="20"/>
        </w:rPr>
        <w:t>University of Chinese Academy of Sciences, Beijing, China</w:t>
      </w:r>
    </w:p>
    <w:p w14:paraId="399579D8" w14:textId="0C1D0C44" w:rsidR="0023671D" w:rsidRDefault="0023671D"/>
    <w:p w14:paraId="516C3EAE" w14:textId="40AD78F8" w:rsidR="0023671D" w:rsidRDefault="0023671D"/>
    <w:p w14:paraId="5A06A12D" w14:textId="4B622871" w:rsidR="0023671D" w:rsidRDefault="0023671D"/>
    <w:p w14:paraId="0FB662E0" w14:textId="62FBED76" w:rsidR="0023671D" w:rsidRPr="00CF4BFC" w:rsidRDefault="0023671D"/>
    <w:p w14:paraId="75D1A9A5" w14:textId="6F2CB015" w:rsidR="0023671D" w:rsidRDefault="0023671D"/>
    <w:p w14:paraId="206C081F" w14:textId="6B8055B7" w:rsidR="00B60EAB" w:rsidRDefault="00B60EAB"/>
    <w:p w14:paraId="3565401F" w14:textId="0859BBCF" w:rsidR="00B60EAB" w:rsidRDefault="00B60EAB"/>
    <w:p w14:paraId="75869FCE" w14:textId="48AD9719" w:rsidR="00B60EAB" w:rsidRDefault="00B60EAB"/>
    <w:p w14:paraId="468A7E43" w14:textId="4A1AA48F" w:rsidR="00B60EAB" w:rsidRDefault="00B60EAB"/>
    <w:p w14:paraId="7B27E214" w14:textId="44191B31" w:rsidR="00B60EAB" w:rsidRDefault="00B60EAB"/>
    <w:p w14:paraId="1234FF72" w14:textId="16386752" w:rsidR="00B60EAB" w:rsidRDefault="00B60EAB"/>
    <w:p w14:paraId="0CE08364" w14:textId="1C1D5B90" w:rsidR="00B60EAB" w:rsidRDefault="00B60EAB"/>
    <w:p w14:paraId="2D4E5AB0" w14:textId="31F9CE55" w:rsidR="00B60EAB" w:rsidRDefault="00B60EAB"/>
    <w:p w14:paraId="576D55CA" w14:textId="18810818" w:rsidR="00B60EAB" w:rsidRDefault="00B60EAB"/>
    <w:p w14:paraId="29202ECD" w14:textId="52B03D26" w:rsidR="00B60EAB" w:rsidRDefault="00B60EAB"/>
    <w:p w14:paraId="4E26AA01" w14:textId="3C54C1FA" w:rsidR="00B60EAB" w:rsidRDefault="00B60EAB"/>
    <w:p w14:paraId="1AA276F4" w14:textId="65BA2E07" w:rsidR="00B60EAB" w:rsidRDefault="00B60EAB"/>
    <w:p w14:paraId="3284B602" w14:textId="2847410C" w:rsidR="00B60EAB" w:rsidRDefault="00B60EAB"/>
    <w:p w14:paraId="5097266D" w14:textId="51A9FEDC" w:rsidR="00B60EAB" w:rsidRDefault="00B60EAB"/>
    <w:p w14:paraId="01A320E8" w14:textId="6A3215BB" w:rsidR="00B60EAB" w:rsidRDefault="00B60EAB"/>
    <w:p w14:paraId="1E78A2A5" w14:textId="15044E9D" w:rsidR="00B60EAB" w:rsidRDefault="00B60EAB"/>
    <w:p w14:paraId="61489920" w14:textId="39275464" w:rsidR="00B60EAB" w:rsidRDefault="00B60EAB"/>
    <w:p w14:paraId="34DD4C28" w14:textId="28BF6D7B" w:rsidR="00B60EAB" w:rsidRDefault="00B60EAB"/>
    <w:p w14:paraId="52D7BE15" w14:textId="39A40086" w:rsidR="00B60EAB" w:rsidRDefault="00B60EAB"/>
    <w:p w14:paraId="63B4E6CD" w14:textId="2E07234F" w:rsidR="00B60EAB" w:rsidRDefault="00B60EAB"/>
    <w:p w14:paraId="62E2698F" w14:textId="22F88751" w:rsidR="00B60EAB" w:rsidRDefault="00B60EAB"/>
    <w:p w14:paraId="336BE546" w14:textId="4D4786C5" w:rsidR="00B60EAB" w:rsidRDefault="00B60EAB"/>
    <w:p w14:paraId="4C0A1353" w14:textId="3994363D" w:rsidR="00B60EAB" w:rsidRDefault="00B60EAB"/>
    <w:p w14:paraId="05F188E5" w14:textId="1E1D7EA7" w:rsidR="00B60EAB" w:rsidRDefault="00B60EAB"/>
    <w:p w14:paraId="6C908EC1" w14:textId="00CA5C4C" w:rsidR="00B60EAB" w:rsidRDefault="005F0ADD">
      <w:r>
        <w:rPr>
          <w:noProof/>
        </w:rPr>
        <w:lastRenderedPageBreak/>
        <w:drawing>
          <wp:inline distT="0" distB="0" distL="0" distR="0" wp14:anchorId="13BC5C08" wp14:editId="604F43E7">
            <wp:extent cx="5274310" cy="40354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223AF" w14:textId="628BF4B6" w:rsidR="00B60EAB" w:rsidRDefault="00B60EAB"/>
    <w:p w14:paraId="488580F5" w14:textId="16C6E717" w:rsidR="00B60EAB" w:rsidRDefault="00B60EAB">
      <w:pPr>
        <w:rPr>
          <w:rFonts w:ascii="Times New Roman" w:hAnsi="Times New Roman" w:cs="Times New Roman"/>
          <w:sz w:val="24"/>
          <w:szCs w:val="28"/>
        </w:rPr>
      </w:pPr>
      <w:r w:rsidRPr="00B60EAB">
        <w:rPr>
          <w:rFonts w:ascii="Times New Roman" w:hAnsi="Times New Roman" w:cs="Times New Roman"/>
          <w:b/>
          <w:bCs/>
          <w:sz w:val="24"/>
          <w:szCs w:val="28"/>
        </w:rPr>
        <w:t>Figure S1</w:t>
      </w:r>
      <w:r w:rsidRPr="00B60EAB">
        <w:rPr>
          <w:rFonts w:ascii="Times New Roman" w:hAnsi="Times New Roman" w:cs="Times New Roman"/>
          <w:sz w:val="24"/>
          <w:szCs w:val="28"/>
        </w:rPr>
        <w:t xml:space="preserve"> </w:t>
      </w:r>
      <w:r w:rsidR="00C44720">
        <w:rPr>
          <w:rFonts w:ascii="Times New Roman" w:hAnsi="Times New Roman" w:cs="Times New Roman"/>
          <w:sz w:val="24"/>
          <w:szCs w:val="28"/>
        </w:rPr>
        <w:t>Change</w:t>
      </w:r>
      <w:r w:rsidRPr="00B60EAB">
        <w:rPr>
          <w:rFonts w:ascii="Times New Roman" w:hAnsi="Times New Roman" w:cs="Times New Roman"/>
          <w:sz w:val="24"/>
          <w:szCs w:val="28"/>
        </w:rPr>
        <w:t xml:space="preserve"> rates of particulate organic carbon</w:t>
      </w:r>
      <w:r>
        <w:rPr>
          <w:rFonts w:ascii="Times New Roman" w:hAnsi="Times New Roman" w:cs="Times New Roman"/>
          <w:sz w:val="24"/>
          <w:szCs w:val="28"/>
        </w:rPr>
        <w:t xml:space="preserve"> (POC)</w:t>
      </w:r>
      <w:r w:rsidRPr="00B60EAB">
        <w:rPr>
          <w:rFonts w:ascii="Times New Roman" w:hAnsi="Times New Roman" w:cs="Times New Roman"/>
          <w:sz w:val="24"/>
          <w:szCs w:val="28"/>
        </w:rPr>
        <w:t xml:space="preserve"> in </w:t>
      </w:r>
      <w:r w:rsidRPr="00B60EAB">
        <w:rPr>
          <w:rFonts w:ascii="Times New Roman" w:hAnsi="Times New Roman" w:cs="Times New Roman"/>
          <w:i/>
          <w:iCs/>
          <w:sz w:val="24"/>
          <w:szCs w:val="28"/>
        </w:rPr>
        <w:t>Trichodesmium</w:t>
      </w:r>
      <w:r w:rsidRPr="00B60EAB">
        <w:rPr>
          <w:rFonts w:ascii="Times New Roman" w:hAnsi="Times New Roman" w:cs="Times New Roman"/>
          <w:sz w:val="24"/>
          <w:szCs w:val="28"/>
        </w:rPr>
        <w:t xml:space="preserve"> cultures in Aquil-tricho media enriched with different concentrations of aluminum (Al). The error bars represent the standard deviations (n = 3). </w:t>
      </w:r>
      <w:r>
        <w:rPr>
          <w:rFonts w:ascii="Times New Roman" w:hAnsi="Times New Roman" w:cs="Times New Roman"/>
          <w:sz w:val="24"/>
          <w:szCs w:val="28"/>
        </w:rPr>
        <w:t xml:space="preserve">The growth rates on day 2, 3, and 4 were calculated </w:t>
      </w:r>
      <w:r w:rsidRPr="00B60EAB">
        <w:rPr>
          <w:rFonts w:ascii="Times New Roman" w:hAnsi="Times New Roman" w:cs="Times New Roman"/>
          <w:sz w:val="24"/>
          <w:szCs w:val="28"/>
        </w:rPr>
        <w:t xml:space="preserve">as the slope of the linear regression of natural logarithms of POC </w:t>
      </w:r>
      <w:r>
        <w:rPr>
          <w:rFonts w:ascii="Times New Roman" w:hAnsi="Times New Roman" w:cs="Times New Roman"/>
          <w:sz w:val="24"/>
          <w:szCs w:val="28"/>
        </w:rPr>
        <w:t xml:space="preserve">data (from day 1 to day 4) </w:t>
      </w:r>
      <w:r w:rsidRPr="00B60EAB">
        <w:rPr>
          <w:rFonts w:ascii="Times New Roman" w:hAnsi="Times New Roman" w:cs="Times New Roman"/>
          <w:sz w:val="24"/>
          <w:szCs w:val="28"/>
        </w:rPr>
        <w:t>with time (d)</w:t>
      </w:r>
      <w:r>
        <w:rPr>
          <w:rFonts w:ascii="Times New Roman" w:hAnsi="Times New Roman" w:cs="Times New Roman"/>
          <w:sz w:val="24"/>
          <w:szCs w:val="28"/>
        </w:rPr>
        <w:t xml:space="preserve">. The growth rate </w:t>
      </w:r>
      <w:r w:rsidR="009E1E13">
        <w:rPr>
          <w:rFonts w:ascii="Times New Roman" w:hAnsi="Times New Roman" w:cs="Times New Roman"/>
          <w:sz w:val="24"/>
          <w:szCs w:val="28"/>
        </w:rPr>
        <w:t xml:space="preserve">at each </w:t>
      </w:r>
      <w:r>
        <w:rPr>
          <w:rFonts w:ascii="Times New Roman" w:hAnsi="Times New Roman" w:cs="Times New Roman"/>
          <w:sz w:val="24"/>
          <w:szCs w:val="28"/>
        </w:rPr>
        <w:t xml:space="preserve">other time point </w:t>
      </w:r>
      <w:r w:rsidR="00CF4BFC">
        <w:rPr>
          <w:rFonts w:ascii="Times New Roman" w:hAnsi="Times New Roman" w:cs="Times New Roman"/>
          <w:sz w:val="24"/>
          <w:szCs w:val="28"/>
        </w:rPr>
        <w:t>was</w:t>
      </w:r>
      <w:r>
        <w:rPr>
          <w:rFonts w:ascii="Times New Roman" w:hAnsi="Times New Roman" w:cs="Times New Roman"/>
          <w:sz w:val="24"/>
          <w:szCs w:val="28"/>
        </w:rPr>
        <w:t xml:space="preserve"> calculated based on the POC data </w:t>
      </w:r>
      <w:r w:rsidR="009E1E13">
        <w:rPr>
          <w:rFonts w:ascii="Times New Roman" w:hAnsi="Times New Roman" w:cs="Times New Roman"/>
          <w:sz w:val="24"/>
          <w:szCs w:val="28"/>
        </w:rPr>
        <w:t xml:space="preserve">on the specific time point and the previous time point. For example, the growth rates on day 6 were calculated based on the POC data obtained on day 4 and day 6. The results showed that </w:t>
      </w:r>
      <w:r w:rsidR="001C5361">
        <w:rPr>
          <w:rFonts w:ascii="Times New Roman" w:hAnsi="Times New Roman" w:cs="Times New Roman"/>
          <w:sz w:val="24"/>
          <w:szCs w:val="28"/>
        </w:rPr>
        <w:t xml:space="preserve">the POC growth rates </w:t>
      </w:r>
      <w:r w:rsidR="00A12D35">
        <w:rPr>
          <w:rFonts w:ascii="Times New Roman" w:hAnsi="Times New Roman" w:cs="Times New Roman"/>
          <w:sz w:val="24"/>
          <w:szCs w:val="28"/>
        </w:rPr>
        <w:t>maintained</w:t>
      </w:r>
      <w:r w:rsidR="001C5361">
        <w:rPr>
          <w:rFonts w:ascii="Times New Roman" w:hAnsi="Times New Roman" w:cs="Times New Roman"/>
          <w:sz w:val="24"/>
          <w:szCs w:val="28"/>
        </w:rPr>
        <w:t xml:space="preserve"> high values above 0.4 d</w:t>
      </w:r>
      <w:r w:rsidR="001C5361" w:rsidRPr="001C5361">
        <w:rPr>
          <w:rFonts w:ascii="Times New Roman" w:hAnsi="Times New Roman" w:cs="Times New Roman"/>
          <w:sz w:val="24"/>
          <w:szCs w:val="28"/>
          <w:vertAlign w:val="superscript"/>
        </w:rPr>
        <w:t>-1</w:t>
      </w:r>
      <w:r w:rsidR="001C5361">
        <w:rPr>
          <w:rFonts w:ascii="Times New Roman" w:hAnsi="Times New Roman" w:cs="Times New Roman"/>
          <w:sz w:val="24"/>
          <w:szCs w:val="28"/>
        </w:rPr>
        <w:t xml:space="preserve"> during days 1 to 11. The POC growth rates started to decrease quickly from day 11 to day 27. From day 27 to day 38, the POC growth rates approached gradually to zero, and </w:t>
      </w:r>
      <w:r w:rsidR="001C5361" w:rsidRPr="00A061D4">
        <w:rPr>
          <w:rFonts w:ascii="Times New Roman" w:hAnsi="Times New Roman" w:cs="Times New Roman"/>
          <w:i/>
          <w:iCs/>
          <w:sz w:val="24"/>
          <w:szCs w:val="28"/>
        </w:rPr>
        <w:t>Trichodesmium</w:t>
      </w:r>
      <w:r w:rsidR="001C5361">
        <w:rPr>
          <w:rFonts w:ascii="Times New Roman" w:hAnsi="Times New Roman" w:cs="Times New Roman"/>
          <w:sz w:val="24"/>
          <w:szCs w:val="28"/>
        </w:rPr>
        <w:t xml:space="preserve"> POC started to decay. </w:t>
      </w:r>
    </w:p>
    <w:p w14:paraId="7665E9A9" w14:textId="3EC1EA70" w:rsid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304B8FD9" w14:textId="5DDA4468" w:rsid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197F3C0D" w14:textId="412F7246" w:rsidR="00C91B8A" w:rsidRPr="0019440D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543FC012" w14:textId="2CB847CF" w:rsid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34A79ECD" w14:textId="1D83E6B5" w:rsid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68366520" w14:textId="09D25F62" w:rsid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66A1F583" w14:textId="6E54844B" w:rsid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3B642C0E" w14:textId="0CFAE3D7" w:rsid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10035EEA" w14:textId="6C5CE623" w:rsid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42F5B038" w14:textId="66763693" w:rsid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60188443" w14:textId="2796D688" w:rsid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60B0F13A" w14:textId="1895A17E" w:rsid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3F61134C" w14:textId="0A2E311D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291EEB98" w14:textId="40D086DA" w:rsidR="00FD7131" w:rsidRDefault="004C60DD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3F506E60" wp14:editId="67794E7A">
            <wp:extent cx="5274310" cy="41167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1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7BC1D" w14:textId="70B882F1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718452A8" w14:textId="32CC353F" w:rsidR="00FD7131" w:rsidRPr="007B4797" w:rsidRDefault="004C60DD">
      <w:pPr>
        <w:rPr>
          <w:rFonts w:ascii="Times New Roman" w:hAnsi="Times New Roman" w:cs="Times New Roman"/>
          <w:sz w:val="24"/>
          <w:szCs w:val="28"/>
        </w:rPr>
      </w:pPr>
      <w:r w:rsidRPr="004C60DD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4C60DD">
        <w:rPr>
          <w:rFonts w:ascii="Times New Roman" w:hAnsi="Times New Roman" w:cs="Times New Roman"/>
          <w:b/>
          <w:bCs/>
          <w:sz w:val="24"/>
          <w:szCs w:val="28"/>
        </w:rPr>
        <w:t>igure S2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7B4797" w:rsidRPr="007B4797">
        <w:rPr>
          <w:rFonts w:ascii="Times New Roman" w:hAnsi="Times New Roman" w:cs="Times New Roman"/>
          <w:sz w:val="24"/>
          <w:szCs w:val="28"/>
        </w:rPr>
        <w:t xml:space="preserve">The proportion of bacterial particulate organic carbon (POC) to total POC in </w:t>
      </w:r>
      <w:r w:rsidR="007B4797" w:rsidRPr="007B4797">
        <w:rPr>
          <w:rFonts w:ascii="Times New Roman" w:hAnsi="Times New Roman" w:cs="Times New Roman"/>
          <w:i/>
          <w:iCs/>
          <w:sz w:val="24"/>
          <w:szCs w:val="28"/>
        </w:rPr>
        <w:t>Trichodesmium</w:t>
      </w:r>
      <w:r w:rsidR="007B4797" w:rsidRPr="007B4797">
        <w:rPr>
          <w:rFonts w:ascii="Times New Roman" w:hAnsi="Times New Roman" w:cs="Times New Roman"/>
          <w:sz w:val="24"/>
          <w:szCs w:val="28"/>
        </w:rPr>
        <w:t xml:space="preserve"> cultures in Aquil-tricho media enriched with different concentrations of aluminum (Al). The error bars represent the standard deviations (n = 3).</w:t>
      </w:r>
    </w:p>
    <w:p w14:paraId="1ED4AFCB" w14:textId="6068B66B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2C2AFF23" w14:textId="088ABA82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4D21CA11" w14:textId="2451DAE6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73477288" w14:textId="1701C877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3A7436DA" w14:textId="176916D3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359D5706" w14:textId="702047C2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216DE1BA" w14:textId="0F7966FA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3F704675" w14:textId="514BD4D7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653109E1" w14:textId="2554EB69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45D7D97C" w14:textId="04BF48AF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395424DC" w14:textId="6C16EA1B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461FF403" w14:textId="52E0E7A3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19233C2C" w14:textId="77C8234C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53FF071B" w14:textId="79C0713E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66C560F1" w14:textId="3D24DC7C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4A2B6035" w14:textId="7D169EF3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67DCDE57" w14:textId="1F4A986F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0BC69239" w14:textId="5BE45B83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6297A361" w14:textId="6E63A491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7FAD30D4" w14:textId="3237336C" w:rsidR="00FD7131" w:rsidRDefault="00FD7131">
      <w:pPr>
        <w:rPr>
          <w:rFonts w:ascii="Times New Roman" w:hAnsi="Times New Roman" w:cs="Times New Roman"/>
          <w:sz w:val="24"/>
          <w:szCs w:val="28"/>
        </w:rPr>
      </w:pPr>
    </w:p>
    <w:p w14:paraId="0ABC7A33" w14:textId="2DE97EA6" w:rsidR="00FD7131" w:rsidRDefault="00301B1D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73CB4993" wp14:editId="59986999">
            <wp:extent cx="5274310" cy="237172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83D76" w14:textId="0DC39702" w:rsidR="00C91B8A" w:rsidRDefault="00C91B8A" w:rsidP="00C91B8A">
      <w:pPr>
        <w:rPr>
          <w:rFonts w:ascii="Times New Roman" w:hAnsi="Times New Roman" w:cs="Times New Roman"/>
          <w:sz w:val="24"/>
        </w:rPr>
      </w:pPr>
    </w:p>
    <w:p w14:paraId="4BBAC2B7" w14:textId="726D306C" w:rsidR="00C91B8A" w:rsidRDefault="00C91B8A" w:rsidP="00C91B8A">
      <w:r w:rsidRPr="00742E10">
        <w:rPr>
          <w:rFonts w:ascii="Times New Roman" w:hAnsi="Times New Roman" w:cs="Times New Roman" w:hint="eastAsia"/>
          <w:b/>
          <w:bCs/>
          <w:sz w:val="24"/>
        </w:rPr>
        <w:t>F</w:t>
      </w:r>
      <w:r w:rsidRPr="00742E10">
        <w:rPr>
          <w:rFonts w:ascii="Times New Roman" w:hAnsi="Times New Roman" w:cs="Times New Roman"/>
          <w:b/>
          <w:bCs/>
          <w:sz w:val="24"/>
        </w:rPr>
        <w:t>igure S</w:t>
      </w:r>
      <w:r w:rsidR="007B4797">
        <w:rPr>
          <w:rFonts w:ascii="Times New Roman" w:hAnsi="Times New Roman" w:cs="Times New Roman"/>
          <w:b/>
          <w:bCs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. Dissolved organic carbon in </w:t>
      </w:r>
      <w:r w:rsidRPr="004D3E56">
        <w:rPr>
          <w:rFonts w:ascii="Times New Roman" w:hAnsi="Times New Roman" w:cs="Times New Roman"/>
          <w:sz w:val="24"/>
        </w:rPr>
        <w:t>Aquil-tricho media enriched with different concentrations of aluminum (Al).</w:t>
      </w:r>
      <w:r w:rsidRPr="00AD3DC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The error bars represent the standard deviations (n = 3).</w:t>
      </w:r>
      <w:r w:rsidRPr="00AC7DA5">
        <w:rPr>
          <w:rFonts w:ascii="Times New Roman" w:hAnsi="Times New Roman" w:cs="Times New Roman"/>
          <w:sz w:val="24"/>
        </w:rPr>
        <w:t xml:space="preserve"> The symbols #, *, and ** indicate nearly significant (0.05 &lt; p &lt; 0.1), significant (p &lt; 0.05), and highly significant (p &lt; 0.01) differences compared to the control, respectively</w:t>
      </w:r>
      <w:r w:rsidR="0031756D">
        <w:rPr>
          <w:rFonts w:ascii="Times New Roman" w:hAnsi="Times New Roman" w:cs="Times New Roman"/>
          <w:sz w:val="24"/>
        </w:rPr>
        <w:t xml:space="preserve">. </w:t>
      </w:r>
    </w:p>
    <w:p w14:paraId="025E800B" w14:textId="7E62CC48" w:rsidR="00C91B8A" w:rsidRPr="00C91B8A" w:rsidRDefault="00C91B8A">
      <w:pPr>
        <w:rPr>
          <w:rFonts w:ascii="Times New Roman" w:hAnsi="Times New Roman" w:cs="Times New Roman"/>
          <w:sz w:val="24"/>
          <w:szCs w:val="28"/>
        </w:rPr>
      </w:pPr>
    </w:p>
    <w:p w14:paraId="2F43DF65" w14:textId="65791A21" w:rsidR="00C91B8A" w:rsidRDefault="00A061D4" w:rsidP="0019440D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13A93CC9" wp14:editId="028D12EE">
            <wp:extent cx="3790950" cy="300501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404" cy="301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6450C" w14:textId="5A726328" w:rsidR="00C91B8A" w:rsidRDefault="00C91B8A" w:rsidP="00C91B8A">
      <w:pPr>
        <w:rPr>
          <w:rFonts w:ascii="Times New Roman" w:hAnsi="Times New Roman" w:cs="Times New Roman"/>
          <w:sz w:val="24"/>
          <w:szCs w:val="24"/>
        </w:rPr>
      </w:pPr>
    </w:p>
    <w:p w14:paraId="37D3928F" w14:textId="4804A2F3" w:rsidR="00C91B8A" w:rsidRDefault="00C91B8A" w:rsidP="00C91B8A">
      <w:pPr>
        <w:rPr>
          <w:rFonts w:ascii="Times New Roman" w:hAnsi="Times New Roman" w:cs="Times New Roman"/>
          <w:sz w:val="24"/>
          <w:szCs w:val="24"/>
        </w:rPr>
      </w:pPr>
      <w:r w:rsidRPr="00657A7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57A79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7B4797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Changes in the decomposition rates of </w:t>
      </w:r>
      <w:r w:rsidRPr="00C91B8A">
        <w:rPr>
          <w:rFonts w:ascii="Times New Roman" w:hAnsi="Times New Roman" w:cs="Times New Roman"/>
          <w:i/>
          <w:iCs/>
          <w:sz w:val="24"/>
          <w:szCs w:val="24"/>
        </w:rPr>
        <w:t>Trichodesmium</w:t>
      </w:r>
      <w:r>
        <w:rPr>
          <w:rFonts w:ascii="Times New Roman" w:hAnsi="Times New Roman" w:cs="Times New Roman"/>
          <w:sz w:val="24"/>
          <w:szCs w:val="24"/>
        </w:rPr>
        <w:t xml:space="preserve"> during the decay phase in </w:t>
      </w:r>
      <w:r w:rsidR="007727C2">
        <w:rPr>
          <w:rFonts w:ascii="Times New Roman" w:hAnsi="Times New Roman" w:cs="Times New Roman"/>
          <w:sz w:val="24"/>
          <w:szCs w:val="24"/>
        </w:rPr>
        <w:t xml:space="preserve">amended </w:t>
      </w:r>
      <w:r w:rsidRPr="004D3E56">
        <w:rPr>
          <w:rFonts w:ascii="Times New Roman" w:hAnsi="Times New Roman" w:cs="Times New Roman"/>
          <w:sz w:val="24"/>
        </w:rPr>
        <w:t>Aquil-tricho media with different concentrations of aluminum (Al)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57A79">
        <w:rPr>
          <w:rFonts w:ascii="Times New Roman" w:hAnsi="Times New Roman" w:cs="Times New Roman"/>
          <w:sz w:val="24"/>
          <w:szCs w:val="24"/>
        </w:rPr>
        <w:t>The error bars represent the standard deviations (n = 3).</w:t>
      </w:r>
      <w:r w:rsidRPr="003C1874">
        <w:rPr>
          <w:rFonts w:ascii="Times New Roman" w:hAnsi="Times New Roman" w:cs="Times New Roman"/>
          <w:sz w:val="24"/>
        </w:rPr>
        <w:t xml:space="preserve"> </w:t>
      </w:r>
    </w:p>
    <w:p w14:paraId="55B7363F" w14:textId="77777777" w:rsidR="00C91B8A" w:rsidRPr="001C5361" w:rsidRDefault="00C91B8A">
      <w:pPr>
        <w:rPr>
          <w:rFonts w:ascii="Times New Roman" w:hAnsi="Times New Roman" w:cs="Times New Roman"/>
          <w:sz w:val="24"/>
          <w:szCs w:val="28"/>
        </w:rPr>
      </w:pPr>
    </w:p>
    <w:sectPr w:rsidR="00C91B8A" w:rsidRPr="001C5361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9170C" w14:textId="77777777" w:rsidR="008F6A3B" w:rsidRDefault="008F6A3B" w:rsidP="0023671D">
      <w:r>
        <w:separator/>
      </w:r>
    </w:p>
  </w:endnote>
  <w:endnote w:type="continuationSeparator" w:id="0">
    <w:p w14:paraId="7F43A45A" w14:textId="77777777" w:rsidR="008F6A3B" w:rsidRDefault="008F6A3B" w:rsidP="0023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201243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89381E" w14:textId="7833169B" w:rsidR="0031756D" w:rsidRDefault="0031756D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0EC7AE" w14:textId="77777777" w:rsidR="0031756D" w:rsidRDefault="0031756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EF6B7" w14:textId="77777777" w:rsidR="008F6A3B" w:rsidRDefault="008F6A3B" w:rsidP="0023671D">
      <w:r>
        <w:separator/>
      </w:r>
    </w:p>
  </w:footnote>
  <w:footnote w:type="continuationSeparator" w:id="0">
    <w:p w14:paraId="6878E024" w14:textId="77777777" w:rsidR="008F6A3B" w:rsidRDefault="008F6A3B" w:rsidP="00236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0A4"/>
    <w:rsid w:val="0019440D"/>
    <w:rsid w:val="001C5361"/>
    <w:rsid w:val="0023671D"/>
    <w:rsid w:val="002610A4"/>
    <w:rsid w:val="00301B1D"/>
    <w:rsid w:val="0031756D"/>
    <w:rsid w:val="003B7C3C"/>
    <w:rsid w:val="004C60DD"/>
    <w:rsid w:val="0056382D"/>
    <w:rsid w:val="005F0ADD"/>
    <w:rsid w:val="00602033"/>
    <w:rsid w:val="0064479E"/>
    <w:rsid w:val="00665E7D"/>
    <w:rsid w:val="0076113F"/>
    <w:rsid w:val="007727C2"/>
    <w:rsid w:val="00796296"/>
    <w:rsid w:val="007B4797"/>
    <w:rsid w:val="007C3880"/>
    <w:rsid w:val="007C61E5"/>
    <w:rsid w:val="008A4218"/>
    <w:rsid w:val="008A7AAA"/>
    <w:rsid w:val="008F6A3B"/>
    <w:rsid w:val="009E1E13"/>
    <w:rsid w:val="00A061D4"/>
    <w:rsid w:val="00A12D35"/>
    <w:rsid w:val="00A57C08"/>
    <w:rsid w:val="00B60EAB"/>
    <w:rsid w:val="00BB44D0"/>
    <w:rsid w:val="00C30272"/>
    <w:rsid w:val="00C44720"/>
    <w:rsid w:val="00C91B8A"/>
    <w:rsid w:val="00CA67DF"/>
    <w:rsid w:val="00CF4BFC"/>
    <w:rsid w:val="00D02086"/>
    <w:rsid w:val="00D21687"/>
    <w:rsid w:val="00F312EB"/>
    <w:rsid w:val="00FC5204"/>
    <w:rsid w:val="00FD7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DFDCD6"/>
  <w15:chartTrackingRefBased/>
  <w15:docId w15:val="{B8F892E9-1902-43C3-B067-3E7A434C7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6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6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67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67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671D"/>
    <w:rPr>
      <w:sz w:val="18"/>
      <w:szCs w:val="18"/>
    </w:rPr>
  </w:style>
  <w:style w:type="paragraph" w:styleId="a7">
    <w:name w:val="Revision"/>
    <w:hidden/>
    <w:uiPriority w:val="99"/>
    <w:semiHidden/>
    <w:rsid w:val="00A12D35"/>
  </w:style>
  <w:style w:type="character" w:styleId="a8">
    <w:name w:val="annotation reference"/>
    <w:basedOn w:val="a0"/>
    <w:uiPriority w:val="99"/>
    <w:semiHidden/>
    <w:unhideWhenUsed/>
    <w:rsid w:val="00796296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796296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796296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96296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962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CD4B66-863F-4FCC-8158-F4A61C74F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linbin</dc:creator>
  <cp:keywords/>
  <dc:description/>
  <cp:lastModifiedBy>zhou linbin</cp:lastModifiedBy>
  <cp:revision>6</cp:revision>
  <dcterms:created xsi:type="dcterms:W3CDTF">2023-04-05T12:15:00Z</dcterms:created>
  <dcterms:modified xsi:type="dcterms:W3CDTF">2023-04-14T02:35:00Z</dcterms:modified>
</cp:coreProperties>
</file>