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16F0F61" w14:textId="77777777" w:rsidR="00AD118D" w:rsidRDefault="00E1612E">
      <w:pPr>
        <w:pStyle w:val="Title"/>
      </w:pPr>
      <w:bookmarkStart w:id="0" w:name="_96iezbnv8epq" w:colFirst="0" w:colLast="0"/>
      <w:bookmarkEnd w:id="0"/>
      <w:r>
        <w:t>Spaced Out Data No More: Genomic Harmonization Meets Machine Learning in Murine Livers</w:t>
      </w:r>
    </w:p>
    <w:p w14:paraId="416F0F62" w14:textId="77777777" w:rsidR="00AD118D" w:rsidRDefault="00AD118D"/>
    <w:p w14:paraId="416F0F63" w14:textId="77777777" w:rsidR="00AD118D" w:rsidRDefault="00E1612E">
      <w:pPr>
        <w:rPr>
          <w:vertAlign w:val="superscript"/>
        </w:rPr>
      </w:pPr>
      <w:r>
        <w:t>Hari Ilangovan</w:t>
      </w:r>
      <w:r>
        <w:rPr>
          <w:vertAlign w:val="superscript"/>
        </w:rPr>
        <w:t>1</w:t>
      </w:r>
      <w:r>
        <w:t>, Prachi Kothiyal</w:t>
      </w:r>
      <w:r>
        <w:rPr>
          <w:vertAlign w:val="superscript"/>
        </w:rPr>
        <w:t>2</w:t>
      </w:r>
      <w:r>
        <w:t>, Katherine A. Hoadley</w:t>
      </w:r>
      <w:r>
        <w:rPr>
          <w:vertAlign w:val="superscript"/>
        </w:rPr>
        <w:t>3</w:t>
      </w:r>
      <w:r>
        <w:t>, Robin Elgart</w:t>
      </w:r>
      <w:r>
        <w:rPr>
          <w:vertAlign w:val="superscript"/>
        </w:rPr>
        <w:t>4</w:t>
      </w:r>
      <w:r>
        <w:t>, Greg Eley</w:t>
      </w:r>
      <w:r>
        <w:rPr>
          <w:vertAlign w:val="superscript"/>
        </w:rPr>
        <w:t>2</w:t>
      </w:r>
      <w:r>
        <w:t>, Parastou Eslami</w:t>
      </w:r>
      <w:r>
        <w:rPr>
          <w:vertAlign w:val="superscript"/>
        </w:rPr>
        <w:t>5</w:t>
      </w:r>
    </w:p>
    <w:p w14:paraId="416F0F64" w14:textId="77777777" w:rsidR="00AD118D" w:rsidRDefault="00E1612E">
      <w:r>
        <w:rPr>
          <w:vertAlign w:val="superscript"/>
        </w:rPr>
        <w:t>1</w:t>
      </w:r>
      <w:r>
        <w:t>Science Applications International Corporation (SAIC), Reston, VA 20190, USA</w:t>
      </w:r>
    </w:p>
    <w:p w14:paraId="416F0F65" w14:textId="77777777" w:rsidR="00AD118D" w:rsidRDefault="00E1612E">
      <w:r>
        <w:rPr>
          <w:vertAlign w:val="superscript"/>
        </w:rPr>
        <w:t>2</w:t>
      </w:r>
      <w:r>
        <w:t>Scimentis LLC, Statham, GA 30666, USA</w:t>
      </w:r>
    </w:p>
    <w:p w14:paraId="416F0F66" w14:textId="77777777" w:rsidR="00AD118D" w:rsidRDefault="00E1612E">
      <w:r>
        <w:rPr>
          <w:vertAlign w:val="superscript"/>
        </w:rPr>
        <w:t xml:space="preserve">3 </w:t>
      </w:r>
      <w:r>
        <w:t>Department of Genetics, Computational Medicine Program, Lineberger Comprehensive Cancer Center, University of North Carolina at Chapel Hil</w:t>
      </w:r>
      <w:r>
        <w:t>l, Chapel Hill, NC 27599, USA</w:t>
      </w:r>
    </w:p>
    <w:p w14:paraId="416F0F67" w14:textId="77777777" w:rsidR="00AD118D" w:rsidRDefault="00E1612E">
      <w:r>
        <w:rPr>
          <w:vertAlign w:val="superscript"/>
        </w:rPr>
        <w:t>4</w:t>
      </w:r>
      <w:r>
        <w:t>University of Houston, Houston, TX 77204, USA</w:t>
      </w:r>
    </w:p>
    <w:p w14:paraId="416F10AA" w14:textId="061A1DEE" w:rsidR="00AD118D" w:rsidRDefault="00E1612E" w:rsidP="00186093">
      <w:r>
        <w:rPr>
          <w:vertAlign w:val="superscript"/>
        </w:rPr>
        <w:t>5</w:t>
      </w:r>
      <w:r>
        <w:t>Universal Artificial Intelligence Inc, Boston, MA 02130, USA</w:t>
      </w:r>
      <w:bookmarkStart w:id="1" w:name="_rtzc1on2uhtg" w:colFirst="0" w:colLast="0"/>
      <w:bookmarkStart w:id="2" w:name="_obpmigopnips" w:colFirst="0" w:colLast="0"/>
      <w:bookmarkEnd w:id="1"/>
      <w:bookmarkEnd w:id="2"/>
    </w:p>
    <w:p w14:paraId="0627ED23" w14:textId="77777777" w:rsidR="00FA4BAD" w:rsidRDefault="00FA4BAD">
      <w:pPr>
        <w:rPr>
          <w:sz w:val="32"/>
          <w:szCs w:val="32"/>
        </w:rPr>
      </w:pPr>
      <w:bookmarkStart w:id="3" w:name="_rbrcmh25mm4p" w:colFirst="0" w:colLast="0"/>
      <w:bookmarkEnd w:id="3"/>
      <w:r>
        <w:br w:type="page"/>
      </w:r>
    </w:p>
    <w:p w14:paraId="416F10AB" w14:textId="3F1BCE59" w:rsidR="00AD118D" w:rsidRDefault="00E1612E">
      <w:pPr>
        <w:pStyle w:val="Heading1"/>
      </w:pPr>
      <w:r>
        <w:lastRenderedPageBreak/>
        <w:t>S</w:t>
      </w:r>
      <w:r>
        <w:t xml:space="preserve">upplementary </w:t>
      </w:r>
      <w:r w:rsidR="00FA4BAD">
        <w:t>I</w:t>
      </w:r>
      <w:r>
        <w:t>nformation</w:t>
      </w:r>
    </w:p>
    <w:p w14:paraId="416F1358" w14:textId="71D386A8" w:rsidR="00AD118D" w:rsidRDefault="005A2D13">
      <w:pPr>
        <w:pStyle w:val="Heading2"/>
      </w:pPr>
      <w:bookmarkStart w:id="4" w:name="_glfujdbgkgn8" w:colFirst="0" w:colLast="0"/>
      <w:bookmarkEnd w:id="4"/>
      <w:r>
        <w:t>Supplementary Figures</w:t>
      </w:r>
    </w:p>
    <w:p w14:paraId="416F1359" w14:textId="77777777" w:rsidR="00AD118D" w:rsidRDefault="00E1612E">
      <w:r>
        <w:rPr>
          <w:noProof/>
        </w:rPr>
        <w:drawing>
          <wp:inline distT="114300" distB="114300" distL="114300" distR="114300" wp14:anchorId="416F138D" wp14:editId="416F138E">
            <wp:extent cx="5943600" cy="3340100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6F135B" w14:textId="0DF44724" w:rsidR="00AD118D" w:rsidRPr="005A2D13" w:rsidRDefault="00E1612E" w:rsidP="005A2D13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Supplementary Fig. 1: Improved performance using preprocessed data for SVM, RF, LDA and invariant methods from CRISP </w:t>
      </w:r>
      <w:r>
        <w:rPr>
          <w:sz w:val="18"/>
          <w:szCs w:val="18"/>
        </w:rPr>
        <w:t>The mRMR subset and standardized data show better performance on the testing</w:t>
      </w:r>
      <w:r>
        <w:rPr>
          <w:sz w:val="18"/>
          <w:szCs w:val="18"/>
        </w:rPr>
        <w:t xml:space="preserve"> set than unnormalized data across all methods. The mRMR and normalized dataset showed the best performance for RF, SVM, LDA, linear ICP, and linear IRM. IRM: invariant risk minimization; ICP: invariant causal prediction ; CRISP, causal reasoning and infer</w:t>
      </w:r>
      <w:r>
        <w:rPr>
          <w:sz w:val="18"/>
          <w:szCs w:val="18"/>
        </w:rPr>
        <w:t>ence search platform; RF: random forest, SVM: support vector machine; LDA: linear discriminant analysis</w:t>
      </w:r>
      <w:bookmarkStart w:id="5" w:name="_2owzrri2zmg9" w:colFirst="0" w:colLast="0"/>
      <w:bookmarkEnd w:id="5"/>
    </w:p>
    <w:tbl>
      <w:tblPr>
        <w:tblStyle w:val="ab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18D" w14:paraId="416F135D" w14:textId="77777777">
        <w:trPr>
          <w:jc w:val="center"/>
        </w:trPr>
        <w:tc>
          <w:tcPr>
            <w:tcW w:w="9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135C" w14:textId="77777777" w:rsidR="00AD118D" w:rsidRDefault="00E1612E">
            <w:pPr>
              <w:pStyle w:val="Heading1"/>
              <w:jc w:val="center"/>
            </w:pPr>
            <w:bookmarkStart w:id="6" w:name="_61p1lkvzwyjk" w:colFirst="0" w:colLast="0"/>
            <w:bookmarkEnd w:id="6"/>
            <w:r>
              <w:rPr>
                <w:noProof/>
                <w:sz w:val="22"/>
                <w:szCs w:val="22"/>
              </w:rPr>
              <w:lastRenderedPageBreak/>
              <w:drawing>
                <wp:inline distT="114300" distB="114300" distL="114300" distR="114300" wp14:anchorId="416F138F" wp14:editId="416F1390">
                  <wp:extent cx="5495925" cy="2438400"/>
                  <wp:effectExtent l="0" t="0" r="0" b="0"/>
                  <wp:docPr id="15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7"/>
                          <a:srcRect l="-976" b="20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5925" cy="243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18D" w14:paraId="416F1360" w14:textId="77777777">
        <w:trPr>
          <w:jc w:val="center"/>
        </w:trPr>
        <w:tc>
          <w:tcPr>
            <w:tcW w:w="9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135E" w14:textId="77777777" w:rsidR="00AD118D" w:rsidRDefault="00E1612E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Supplementary </w:t>
            </w:r>
            <w:r>
              <w:rPr>
                <w:b/>
                <w:sz w:val="18"/>
                <w:szCs w:val="18"/>
              </w:rPr>
              <w:t xml:space="preserve">Fig. 2: Fold change-based ranking metric at single-study level and SVM-based ranking at merged-study level show strong overlapping GO BPs  </w:t>
            </w:r>
            <w:r>
              <w:rPr>
                <w:sz w:val="18"/>
                <w:szCs w:val="18"/>
              </w:rPr>
              <w:t xml:space="preserve">Sets included in the UpSet plot shows the Gene Ontology biological processes returned from </w:t>
            </w:r>
            <w:r>
              <w:rPr>
                <w:i/>
                <w:sz w:val="18"/>
                <w:szCs w:val="18"/>
              </w:rPr>
              <w:t>DESeq2</w:t>
            </w:r>
            <w:r>
              <w:rPr>
                <w:sz w:val="18"/>
                <w:szCs w:val="18"/>
              </w:rPr>
              <w:t xml:space="preserve"> analysis at an indi</w:t>
            </w:r>
            <w:r>
              <w:rPr>
                <w:sz w:val="18"/>
                <w:szCs w:val="18"/>
              </w:rPr>
              <w:t xml:space="preserve">vidual study level versus SVM analysis from the merged-study harmonized analysis. The rows indicate rodent mission titles for the study-level analysis and </w:t>
            </w:r>
            <w:r>
              <w:rPr>
                <w:i/>
                <w:sz w:val="18"/>
                <w:szCs w:val="18"/>
              </w:rPr>
              <w:t>SVM</w:t>
            </w:r>
            <w:r>
              <w:rPr>
                <w:sz w:val="18"/>
                <w:szCs w:val="18"/>
              </w:rPr>
              <w:t xml:space="preserve"> for the combined study analysis. The columns indicate intersection sets that are based upon the f</w:t>
            </w:r>
            <w:r>
              <w:rPr>
                <w:sz w:val="18"/>
                <w:szCs w:val="18"/>
              </w:rPr>
              <w:t xml:space="preserve">illed-in dots. </w:t>
            </w:r>
          </w:p>
          <w:p w14:paraId="416F135F" w14:textId="77777777" w:rsidR="00AD118D" w:rsidRDefault="00E1612E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RR, rodent research; SVM, support vector machine; GO gene ontology; BP biological process;</w:t>
            </w:r>
          </w:p>
        </w:tc>
      </w:tr>
    </w:tbl>
    <w:p w14:paraId="416F1363" w14:textId="77777777" w:rsidR="00AD118D" w:rsidRDefault="00AD118D">
      <w:bookmarkStart w:id="7" w:name="_7oae2pp6zz9x" w:colFirst="0" w:colLast="0"/>
      <w:bookmarkEnd w:id="7"/>
    </w:p>
    <w:tbl>
      <w:tblPr>
        <w:tblStyle w:val="ac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D118D" w14:paraId="416F1366" w14:textId="77777777"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1364" w14:textId="77777777" w:rsidR="00AD118D" w:rsidRDefault="00E1612E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16F1391" wp14:editId="416F1392">
                  <wp:extent cx="2605088" cy="2476500"/>
                  <wp:effectExtent l="0" t="0" r="0" b="0"/>
                  <wp:docPr id="9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8"/>
                          <a:srcRect l="20805" r="20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5088" cy="247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1365" w14:textId="77777777" w:rsidR="00AD118D" w:rsidRDefault="00E1612E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16F1393" wp14:editId="416F1394">
                  <wp:extent cx="2550092" cy="2489200"/>
                  <wp:effectExtent l="0" t="0" r="0" b="0"/>
                  <wp:docPr id="1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l="21308" r="21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092" cy="2489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18D" w14:paraId="416F1369" w14:textId="77777777"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1367" w14:textId="77777777" w:rsidR="00AD118D" w:rsidRDefault="00E1612E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416F1395" wp14:editId="416F1396">
                  <wp:extent cx="2563471" cy="2451100"/>
                  <wp:effectExtent l="0" t="0" r="0" b="0"/>
                  <wp:docPr id="4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0"/>
                          <a:srcRect l="20637" r="20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71" cy="2451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1368" w14:textId="77777777" w:rsidR="00AD118D" w:rsidRDefault="00E1612E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16F1397" wp14:editId="416F1398">
                  <wp:extent cx="2503155" cy="2425700"/>
                  <wp:effectExtent l="0" t="0" r="0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 l="21140" r="20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155" cy="2425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18D" w14:paraId="416F136C" w14:textId="77777777">
        <w:trPr>
          <w:trHeight w:val="420"/>
        </w:trPr>
        <w:tc>
          <w:tcPr>
            <w:tcW w:w="936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136A" w14:textId="77777777" w:rsidR="00AD118D" w:rsidRDefault="00E1612E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Supplementary Fig. 3: Normalized enrichment score from GSEA compares between single mission analysis versus merged SVM analysis.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a: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The gene ontology biological processes (GO BPs) returned from GSEA for single-study analysis and the SVM merged study analy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sis with each point on the normalized enrichment score (NES) scatter plot representing a GO BP returned from both the single-study and SVM merged study analysis. Each GO BP is labeled based on its significance (p-value ≤ 0.1) in both single study and merge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d analysis, significance in the SVM merged analysis only, significance in the single study analysis only, and not significant (p-value &gt; 0.1) in either analysis for RR1 (NASA) </w:t>
            </w:r>
            <w:r>
              <w:rPr>
                <w:b/>
                <w:sz w:val="18"/>
                <w:szCs w:val="18"/>
              </w:rPr>
              <w:t xml:space="preserve">b: </w:t>
            </w:r>
            <w:r>
              <w:rPr>
                <w:sz w:val="18"/>
                <w:szCs w:val="18"/>
              </w:rPr>
              <w:t xml:space="preserve">RR6 </w:t>
            </w:r>
            <w:r>
              <w:rPr>
                <w:b/>
                <w:sz w:val="18"/>
                <w:szCs w:val="18"/>
              </w:rPr>
              <w:t>c:</w:t>
            </w:r>
            <w:r>
              <w:rPr>
                <w:sz w:val="18"/>
                <w:szCs w:val="18"/>
              </w:rPr>
              <w:t xml:space="preserve"> RR8, </w:t>
            </w:r>
            <w:r>
              <w:rPr>
                <w:b/>
                <w:sz w:val="18"/>
                <w:szCs w:val="18"/>
              </w:rPr>
              <w:t>d:</w:t>
            </w:r>
            <w:r>
              <w:rPr>
                <w:sz w:val="18"/>
                <w:szCs w:val="18"/>
              </w:rPr>
              <w:t xml:space="preserve"> RR9. </w:t>
            </w:r>
          </w:p>
          <w:p w14:paraId="416F136B" w14:textId="77777777" w:rsidR="00AD118D" w:rsidRDefault="00E1612E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NES, Normalized Enrichment Score; GO, Gene Ontology; BP, Biological Process; GSEA, Gene Set Enrichment Analysis; SVM, support vector machine</w:t>
            </w:r>
          </w:p>
        </w:tc>
      </w:tr>
    </w:tbl>
    <w:p w14:paraId="416F136F" w14:textId="474FCE63" w:rsidR="00AD118D" w:rsidRDefault="00AD118D">
      <w:pPr>
        <w:pStyle w:val="Heading2"/>
      </w:pPr>
      <w:bookmarkStart w:id="8" w:name="_ea4kvhaai015" w:colFirst="0" w:colLast="0"/>
      <w:bookmarkEnd w:id="8"/>
    </w:p>
    <w:tbl>
      <w:tblPr>
        <w:tblStyle w:val="ad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18D" w14:paraId="416F1371" w14:textId="77777777">
        <w:tc>
          <w:tcPr>
            <w:tcW w:w="9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1370" w14:textId="77777777" w:rsidR="00AD118D" w:rsidRDefault="00E1612E">
            <w:r>
              <w:rPr>
                <w:noProof/>
              </w:rPr>
              <w:drawing>
                <wp:inline distT="114300" distB="114300" distL="114300" distR="114300" wp14:anchorId="416F1399" wp14:editId="416F139A">
                  <wp:extent cx="5381308" cy="3238500"/>
                  <wp:effectExtent l="0" t="0" r="0" b="0"/>
                  <wp:docPr id="1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2"/>
                          <a:srcRect l="6765" t="3384" r="6600" b="3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308" cy="3238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18D" w14:paraId="416F1373" w14:textId="77777777">
        <w:tc>
          <w:tcPr>
            <w:tcW w:w="9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1372" w14:textId="77777777" w:rsidR="00AD118D" w:rsidRDefault="00E1612E">
            <w:pPr>
              <w:widowControl w:val="0"/>
              <w:spacing w:line="240" w:lineRule="auto"/>
            </w:pPr>
            <w:r>
              <w:rPr>
                <w:b/>
                <w:sz w:val="18"/>
                <w:szCs w:val="18"/>
              </w:rPr>
              <w:lastRenderedPageBreak/>
              <w:t>Supplementary Fig. 4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b/>
                <w:sz w:val="18"/>
                <w:szCs w:val="18"/>
              </w:rPr>
              <w:t>a: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Histogram of the gene count measurements exceeding the minimum count threshold of 5 across all samples. The y-axis corresponds to the percentage of genes that belong to the percentile of sample coverage denoted by the x-axis (bin size = 1%). The observati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ons corresponding to no coverage (sample coverage = 0%) and high coverage (sample coverage ≥ 80%) are referred to as tails. The distribution with tails and</w:t>
            </w:r>
            <w:r>
              <w:rPr>
                <w:b/>
                <w:sz w:val="18"/>
                <w:szCs w:val="18"/>
              </w:rPr>
              <w:t xml:space="preserve"> b: </w:t>
            </w:r>
            <w:r>
              <w:rPr>
                <w:sz w:val="18"/>
                <w:szCs w:val="18"/>
              </w:rPr>
              <w:t>without tails are included with median and mean calculations overlaid. The median indicates sampl</w:t>
            </w:r>
            <w:r>
              <w:rPr>
                <w:sz w:val="18"/>
                <w:szCs w:val="18"/>
              </w:rPr>
              <w:t>e coverage percentage associated with the 50th percentile of genes. The mean indicates the average sample coverage across all gene count measurements.</w:t>
            </w:r>
          </w:p>
        </w:tc>
      </w:tr>
    </w:tbl>
    <w:p w14:paraId="416F1374" w14:textId="77777777" w:rsidR="00AD118D" w:rsidRDefault="00AD118D"/>
    <w:p w14:paraId="416F1376" w14:textId="77777777" w:rsidR="00AD118D" w:rsidRDefault="00E1612E">
      <w:pPr>
        <w:jc w:val="center"/>
      </w:pPr>
      <w:bookmarkStart w:id="9" w:name="_ine7kzrc48v5" w:colFirst="0" w:colLast="0"/>
      <w:bookmarkEnd w:id="9"/>
      <w:r>
        <w:rPr>
          <w:noProof/>
        </w:rPr>
        <w:drawing>
          <wp:inline distT="114300" distB="114300" distL="114300" distR="114300" wp14:anchorId="416F139B" wp14:editId="416F139C">
            <wp:extent cx="4470070" cy="2806700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l="4773" r="5787"/>
                    <a:stretch>
                      <a:fillRect/>
                    </a:stretch>
                  </pic:blipFill>
                  <pic:spPr>
                    <a:xfrm>
                      <a:off x="0" y="0"/>
                      <a:ext cx="4470070" cy="280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6F1377" w14:textId="77777777" w:rsidR="00AD118D" w:rsidRDefault="00E1612E">
      <w:r>
        <w:rPr>
          <w:b/>
          <w:sz w:val="18"/>
          <w:szCs w:val="18"/>
        </w:rPr>
        <w:t>Supplementary Fig. 5: The perc</w:t>
      </w:r>
      <w:r>
        <w:rPr>
          <w:b/>
          <w:sz w:val="18"/>
          <w:szCs w:val="18"/>
        </w:rPr>
        <w:t>ent composition of study characteristics in the training and testing set for spaceflown status, sex, age, and strain.</w:t>
      </w:r>
      <w:r>
        <w:rPr>
          <w:sz w:val="18"/>
          <w:szCs w:val="18"/>
        </w:rPr>
        <w:t xml:space="preserve"> The spaceflown status, sex, age at launch, and strain for NASA Rodent Research missions 1, 3, 6 ,8, and 9 for n=13. An 80% training and 20</w:t>
      </w:r>
      <w:r>
        <w:rPr>
          <w:sz w:val="18"/>
          <w:szCs w:val="18"/>
        </w:rPr>
        <w:t>% testing split is used to determine the relative composition between study characteristics, which are within 5% across each characteristic. The age refers to the age at launch in weeks.</w:t>
      </w:r>
    </w:p>
    <w:p w14:paraId="416F1378" w14:textId="06FCE856" w:rsidR="00AD118D" w:rsidRDefault="00AD118D"/>
    <w:p w14:paraId="0D5EC01E" w14:textId="1EE37BBD" w:rsidR="00BA6598" w:rsidRDefault="00BA6598" w:rsidP="00BA6598">
      <w:pPr>
        <w:pStyle w:val="Heading2"/>
      </w:pPr>
      <w:r>
        <w:t xml:space="preserve">Supplementary </w:t>
      </w:r>
      <w:r>
        <w:t>Tables</w:t>
      </w:r>
    </w:p>
    <w:p w14:paraId="180EB3F1" w14:textId="40A01CDF" w:rsidR="00BA6598" w:rsidRDefault="00105A6A" w:rsidP="00BA6598">
      <w:r>
        <w:t xml:space="preserve">Supplementary tables are provided as a xlsx worksheet </w:t>
      </w:r>
      <w:r w:rsidR="00211F7A">
        <w:t xml:space="preserve">with separate </w:t>
      </w:r>
      <w:r w:rsidR="00F84E8A">
        <w:t>tabs for each table described below:</w:t>
      </w:r>
    </w:p>
    <w:p w14:paraId="59807AF7" w14:textId="77777777" w:rsidR="00F84E8A" w:rsidRPr="00BA6598" w:rsidRDefault="00F84E8A" w:rsidP="00BA6598"/>
    <w:p w14:paraId="4444FA20" w14:textId="146CBAE7" w:rsidR="00186093" w:rsidRPr="00827E47" w:rsidRDefault="00186093" w:rsidP="00186093">
      <w:pPr>
        <w:rPr>
          <w:bCs/>
          <w:sz w:val="18"/>
          <w:szCs w:val="18"/>
        </w:rPr>
      </w:pPr>
      <w:r>
        <w:rPr>
          <w:b/>
          <w:sz w:val="18"/>
          <w:szCs w:val="18"/>
        </w:rPr>
        <w:t xml:space="preserve">Supplementary Table </w:t>
      </w:r>
      <w:r w:rsidR="002E6D4B">
        <w:rPr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1: </w:t>
      </w:r>
      <w:r w:rsidRPr="00827E47">
        <w:rPr>
          <w:bCs/>
          <w:sz w:val="18"/>
          <w:szCs w:val="18"/>
        </w:rPr>
        <w:t xml:space="preserve">Feature counts at each dimensionality reduction step </w:t>
      </w:r>
      <w:bookmarkStart w:id="10" w:name="_jya6gc62n9k2" w:colFirst="0" w:colLast="0"/>
      <w:bookmarkEnd w:id="10"/>
    </w:p>
    <w:p w14:paraId="253C81A8" w14:textId="2A4AF408" w:rsidR="00186093" w:rsidRPr="00827E47" w:rsidRDefault="00186093" w:rsidP="00186093">
      <w:pPr>
        <w:rPr>
          <w:bCs/>
          <w:sz w:val="18"/>
          <w:szCs w:val="18"/>
        </w:rPr>
      </w:pPr>
      <w:r>
        <w:rPr>
          <w:b/>
          <w:sz w:val="18"/>
          <w:szCs w:val="18"/>
        </w:rPr>
        <w:t xml:space="preserve">Supplementary Table </w:t>
      </w:r>
      <w:r w:rsidR="002E6D4B">
        <w:rPr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2: </w:t>
      </w:r>
      <w:r w:rsidRPr="00827E47">
        <w:rPr>
          <w:bCs/>
          <w:sz w:val="18"/>
          <w:szCs w:val="18"/>
        </w:rPr>
        <w:t xml:space="preserve">Top 60 features selected from Harmonized Dataset using mRMR </w:t>
      </w:r>
    </w:p>
    <w:p w14:paraId="1D46D051" w14:textId="74981460" w:rsidR="00186093" w:rsidRPr="00827E47" w:rsidRDefault="00186093" w:rsidP="00186093">
      <w:pPr>
        <w:rPr>
          <w:bCs/>
          <w:sz w:val="16"/>
          <w:szCs w:val="16"/>
        </w:rPr>
      </w:pPr>
      <w:bookmarkStart w:id="11" w:name="_jdjo4d7nzatv" w:colFirst="0" w:colLast="0"/>
      <w:bookmarkEnd w:id="11"/>
      <w:r>
        <w:rPr>
          <w:b/>
          <w:sz w:val="18"/>
          <w:szCs w:val="18"/>
        </w:rPr>
        <w:t xml:space="preserve">Supplementary Table </w:t>
      </w:r>
      <w:r w:rsidR="00E1612E">
        <w:rPr>
          <w:b/>
          <w:sz w:val="18"/>
          <w:szCs w:val="18"/>
        </w:rPr>
        <w:t>S</w:t>
      </w:r>
      <w:r>
        <w:rPr>
          <w:b/>
          <w:sz w:val="18"/>
          <w:szCs w:val="18"/>
        </w:rPr>
        <w:t>3:</w:t>
      </w:r>
      <w:r w:rsidRPr="00827E47">
        <w:rPr>
          <w:bCs/>
          <w:sz w:val="18"/>
          <w:szCs w:val="18"/>
        </w:rPr>
        <w:t xml:space="preserve"> Gene Ontology Biological Processes Identified from SVM Merged-Study Analysis</w:t>
      </w:r>
    </w:p>
    <w:p w14:paraId="40B27570" w14:textId="09529313" w:rsidR="00186093" w:rsidRPr="00827E47" w:rsidRDefault="00186093" w:rsidP="00186093">
      <w:pPr>
        <w:rPr>
          <w:bCs/>
          <w:sz w:val="18"/>
          <w:szCs w:val="18"/>
        </w:rPr>
      </w:pPr>
      <w:bookmarkStart w:id="12" w:name="_fkzvu1z6bttq" w:colFirst="0" w:colLast="0"/>
      <w:bookmarkEnd w:id="12"/>
      <w:r>
        <w:rPr>
          <w:b/>
          <w:sz w:val="18"/>
          <w:szCs w:val="18"/>
        </w:rPr>
        <w:t xml:space="preserve">Supplementary Table </w:t>
      </w:r>
      <w:r w:rsidR="00E1612E">
        <w:rPr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4: </w:t>
      </w:r>
      <w:r w:rsidRPr="00827E47">
        <w:rPr>
          <w:bCs/>
          <w:sz w:val="18"/>
          <w:szCs w:val="18"/>
        </w:rPr>
        <w:t xml:space="preserve">Top genes identified from the SVM merged-study gene set enrichment analysis </w:t>
      </w:r>
    </w:p>
    <w:p w14:paraId="19502481" w14:textId="3FE0FE78" w:rsidR="00186093" w:rsidRPr="00827E47" w:rsidRDefault="00186093" w:rsidP="00186093">
      <w:pPr>
        <w:rPr>
          <w:bCs/>
          <w:sz w:val="18"/>
          <w:szCs w:val="18"/>
        </w:rPr>
      </w:pPr>
      <w:r>
        <w:rPr>
          <w:b/>
          <w:sz w:val="18"/>
          <w:szCs w:val="18"/>
        </w:rPr>
        <w:t xml:space="preserve">Supplementary Table </w:t>
      </w:r>
      <w:r w:rsidR="00E1612E">
        <w:rPr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5: </w:t>
      </w:r>
      <w:r w:rsidRPr="00827E47">
        <w:rPr>
          <w:bCs/>
          <w:sz w:val="18"/>
          <w:szCs w:val="18"/>
        </w:rPr>
        <w:t xml:space="preserve">Overlapping significant gene ontology (GO) biological processes (BP) from GSEA between single-study analysis of RR1 (NASA), RR6, RR8, RR9, and merged-study SVM analysis </w:t>
      </w:r>
    </w:p>
    <w:p w14:paraId="75B88EA3" w14:textId="77777777" w:rsidR="00186093" w:rsidRDefault="00186093"/>
    <w:sectPr w:rsidR="00186093">
      <w:head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F13A2" w14:textId="77777777" w:rsidR="00000000" w:rsidRDefault="00E1612E">
      <w:pPr>
        <w:spacing w:line="240" w:lineRule="auto"/>
      </w:pPr>
      <w:r>
        <w:separator/>
      </w:r>
    </w:p>
  </w:endnote>
  <w:endnote w:type="continuationSeparator" w:id="0">
    <w:p w14:paraId="416F13A4" w14:textId="77777777" w:rsidR="00000000" w:rsidRDefault="00E16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F139E" w14:textId="77777777" w:rsidR="00000000" w:rsidRDefault="00E1612E">
      <w:pPr>
        <w:spacing w:line="240" w:lineRule="auto"/>
      </w:pPr>
      <w:r>
        <w:separator/>
      </w:r>
    </w:p>
  </w:footnote>
  <w:footnote w:type="continuationSeparator" w:id="0">
    <w:p w14:paraId="416F13A0" w14:textId="77777777" w:rsidR="00000000" w:rsidRDefault="00E161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139D" w14:textId="77777777" w:rsidR="00AD118D" w:rsidRDefault="00AD11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18D"/>
    <w:rsid w:val="00105A6A"/>
    <w:rsid w:val="00186093"/>
    <w:rsid w:val="00211F7A"/>
    <w:rsid w:val="002E6D4B"/>
    <w:rsid w:val="005A2D13"/>
    <w:rsid w:val="00827E47"/>
    <w:rsid w:val="00AD118D"/>
    <w:rsid w:val="00B14F86"/>
    <w:rsid w:val="00BA6598"/>
    <w:rsid w:val="00E1612E"/>
    <w:rsid w:val="00F84E8A"/>
    <w:rsid w:val="00FA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F0F61"/>
  <w15:docId w15:val="{8B6E4ED0-76C8-4732-93EC-7F633969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jc w:val="center"/>
    </w:pPr>
    <w:rPr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A6598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Ilangovan, Hari S. (LARC-B713)[EAST2]</cp:lastModifiedBy>
  <cp:revision>12</cp:revision>
  <dcterms:created xsi:type="dcterms:W3CDTF">2023-04-17T01:41:00Z</dcterms:created>
  <dcterms:modified xsi:type="dcterms:W3CDTF">2023-04-17T01:45:00Z</dcterms:modified>
</cp:coreProperties>
</file>