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3F11A4" w14:textId="3C718200" w:rsidR="008C4AB3" w:rsidRDefault="008C4AB3" w:rsidP="008C4AB3">
      <w:pPr>
        <w:pStyle w:val="Style5"/>
        <w:jc w:val="both"/>
        <w:rPr>
          <w:rFonts w:ascii="Palatino Linotype" w:hAnsi="Palatino Linotype"/>
          <w:b w:val="0"/>
          <w:bCs w:val="0"/>
        </w:rPr>
      </w:pPr>
      <w:r w:rsidRPr="003467C6">
        <w:rPr>
          <w:rFonts w:ascii="Palatino Linotype" w:hAnsi="Palatino Linotype"/>
        </w:rPr>
        <w:t xml:space="preserve">Supplementary Figure </w:t>
      </w:r>
      <w:r w:rsidR="00F97623">
        <w:rPr>
          <w:rFonts w:ascii="Palatino Linotype" w:hAnsi="Palatino Linotype"/>
        </w:rPr>
        <w:t>S</w:t>
      </w:r>
      <w:r w:rsidRPr="003467C6">
        <w:rPr>
          <w:rFonts w:ascii="Palatino Linotype" w:hAnsi="Palatino Linotype"/>
        </w:rPr>
        <w:t xml:space="preserve">1: Correlations between relative melanin production and capsular polysaccharide production are environment dependent. </w:t>
      </w:r>
      <w:r w:rsidRPr="003467C6">
        <w:rPr>
          <w:rFonts w:ascii="Palatino Linotype" w:hAnsi="Palatino Linotype"/>
          <w:b w:val="0"/>
          <w:bCs w:val="0"/>
        </w:rPr>
        <w:t xml:space="preserve">Pearson’s correlation coefficient between capsular polysaccharide concentration and relative melanin production of </w:t>
      </w:r>
      <w:r>
        <w:rPr>
          <w:rFonts w:ascii="Palatino Linotype" w:hAnsi="Palatino Linotype"/>
          <w:b w:val="0"/>
          <w:bCs w:val="0"/>
        </w:rPr>
        <w:t xml:space="preserve">natural </w:t>
      </w:r>
      <w:r w:rsidRPr="003467C6">
        <w:rPr>
          <w:rFonts w:ascii="Palatino Linotype" w:hAnsi="Palatino Linotype"/>
          <w:b w:val="0"/>
          <w:bCs w:val="0"/>
        </w:rPr>
        <w:t xml:space="preserve">CNSC </w:t>
      </w:r>
      <w:r>
        <w:rPr>
          <w:rFonts w:ascii="Palatino Linotype" w:hAnsi="Palatino Linotype"/>
          <w:b w:val="0"/>
          <w:bCs w:val="0"/>
        </w:rPr>
        <w:t>s</w:t>
      </w:r>
      <w:r w:rsidRPr="003467C6">
        <w:rPr>
          <w:rFonts w:ascii="Palatino Linotype" w:hAnsi="Palatino Linotype"/>
          <w:b w:val="0"/>
          <w:bCs w:val="0"/>
        </w:rPr>
        <w:t xml:space="preserve">erotypes </w:t>
      </w:r>
      <w:r w:rsidRPr="006A0BA9">
        <w:rPr>
          <w:rFonts w:ascii="Palatino Linotype" w:hAnsi="Palatino Linotype"/>
          <w:b w:val="0"/>
          <w:bCs w:val="0"/>
        </w:rPr>
        <w:t>A and D</w:t>
      </w:r>
      <w:r>
        <w:rPr>
          <w:rFonts w:ascii="Palatino Linotype" w:hAnsi="Palatino Linotype"/>
          <w:b w:val="0"/>
          <w:bCs w:val="0"/>
        </w:rPr>
        <w:t xml:space="preserve"> strains</w:t>
      </w:r>
      <w:r w:rsidRPr="006A0BA9">
        <w:rPr>
          <w:rFonts w:ascii="Palatino Linotype" w:hAnsi="Palatino Linotype"/>
          <w:b w:val="0"/>
          <w:bCs w:val="0"/>
        </w:rPr>
        <w:t>, plus a hybrid progeny population derived from a cross between a serotype A and a serotype D strains</w:t>
      </w:r>
      <w:r w:rsidR="00976EA2">
        <w:rPr>
          <w:rFonts w:ascii="Palatino Linotype" w:hAnsi="Palatino Linotype"/>
          <w:b w:val="0"/>
          <w:bCs w:val="0"/>
        </w:rPr>
        <w:t xml:space="preserve"> and hybrid serotype AD strains obtained from clinical isolates</w:t>
      </w:r>
      <w:r w:rsidRPr="00624FE8">
        <w:rPr>
          <w:rFonts w:ascii="Palatino Linotype" w:hAnsi="Palatino Linotype"/>
          <w:b w:val="0"/>
          <w:bCs w:val="0"/>
        </w:rPr>
        <w:t>,</w:t>
      </w:r>
      <w:r>
        <w:rPr>
          <w:rFonts w:ascii="Palatino Linotype" w:hAnsi="Palatino Linotype"/>
          <w:b w:val="0"/>
          <w:bCs w:val="0"/>
        </w:rPr>
        <w:t xml:space="preserve"> </w:t>
      </w:r>
      <w:r w:rsidRPr="003467C6">
        <w:rPr>
          <w:rFonts w:ascii="Palatino Linotype" w:hAnsi="Palatino Linotype"/>
          <w:b w:val="0"/>
          <w:bCs w:val="0"/>
        </w:rPr>
        <w:t>across 7 different environmental conditions. Bars (“</w:t>
      </w:r>
      <w:proofErr w:type="gramStart"/>
      <w:r w:rsidRPr="003467C6">
        <w:rPr>
          <w:rFonts w:ascii="Palatino Linotype" w:hAnsi="Palatino Linotype"/>
          <w:b w:val="0"/>
          <w:bCs w:val="0"/>
        </w:rPr>
        <w:t>X”s</w:t>
      </w:r>
      <w:proofErr w:type="gramEnd"/>
      <w:r w:rsidRPr="003467C6">
        <w:rPr>
          <w:rFonts w:ascii="Palatino Linotype" w:hAnsi="Palatino Linotype"/>
          <w:b w:val="0"/>
          <w:bCs w:val="0"/>
        </w:rPr>
        <w:t>) over the correlation coefficients indicate insignificant correlations at the p&lt;0.05 significance level. Abbreviations: CAP/RMP_NS = Capsule/relative melanin production under no stress; CAP/RMP_LOS = Capsule/relative melanin production under low oxidative stress; CAP/RMP_IOS = Capsule/relative melanin production under intermediate oxidative stress; CAP/RMP_HOS = Capsule/relative melanin production under high oxidative stress; CA/RMPP_LNS = Capsule/relative melanin production under low nitrosative stress; CAP/RMP_INS = Capsule/relative melanin production under intermediate nitrosative stress; CAP/RMP_HNS = Capsule/relative melanin production under high nitrosative stress.</w:t>
      </w:r>
    </w:p>
    <w:p w14:paraId="5161394F" w14:textId="77777777" w:rsidR="008C4AB3" w:rsidRDefault="008C4AB3" w:rsidP="008C4AB3">
      <w:pPr>
        <w:pStyle w:val="Style5"/>
        <w:jc w:val="both"/>
        <w:rPr>
          <w:rFonts w:ascii="Palatino Linotype" w:hAnsi="Palatino Linotype"/>
          <w:b w:val="0"/>
          <w:bCs w:val="0"/>
        </w:rPr>
      </w:pPr>
    </w:p>
    <w:p w14:paraId="6A7F6545" w14:textId="134094E9" w:rsidR="00DB51FD" w:rsidRDefault="00976EA2">
      <w:r>
        <w:rPr>
          <w:noProof/>
        </w:rPr>
        <w:drawing>
          <wp:inline distT="0" distB="0" distL="0" distR="0" wp14:anchorId="2F9D5F80" wp14:editId="25AE7118">
            <wp:extent cx="5943600" cy="3969385"/>
            <wp:effectExtent l="0" t="0" r="0" b="571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51FD" w:rsidSect="00B70F0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AB3"/>
    <w:rsid w:val="002054CC"/>
    <w:rsid w:val="00280E35"/>
    <w:rsid w:val="00606E19"/>
    <w:rsid w:val="006504FC"/>
    <w:rsid w:val="00702423"/>
    <w:rsid w:val="008C4AB3"/>
    <w:rsid w:val="008E5838"/>
    <w:rsid w:val="00976EA2"/>
    <w:rsid w:val="009B4BD9"/>
    <w:rsid w:val="009D5A22"/>
    <w:rsid w:val="00B70F04"/>
    <w:rsid w:val="00B7328C"/>
    <w:rsid w:val="00D40F00"/>
    <w:rsid w:val="00EA5C05"/>
    <w:rsid w:val="00F224CE"/>
    <w:rsid w:val="00F806E6"/>
    <w:rsid w:val="00F97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F44BB5"/>
  <w14:defaultImageDpi w14:val="32767"/>
  <w15:chartTrackingRefBased/>
  <w15:docId w15:val="{5C06C229-3257-6146-B3BA-075E49CD7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qFormat/>
    <w:rsid w:val="008C4AB3"/>
    <w:rPr>
      <w:rFonts w:ascii="Arial" w:eastAsiaTheme="minorHAnsi" w:hAnsi="Arial" w:cs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Jianping Xu</dc:creator>
  <cp:keywords/>
  <dc:description/>
  <cp:lastModifiedBy>Jianping Xu</cp:lastModifiedBy>
  <cp:revision>4</cp:revision>
  <dcterms:created xsi:type="dcterms:W3CDTF">2021-06-09T16:56:00Z</dcterms:created>
  <dcterms:modified xsi:type="dcterms:W3CDTF">2021-06-14T11:52:00Z</dcterms:modified>
</cp:coreProperties>
</file>