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DC646" w14:textId="6ECFB5DE" w:rsidR="000239E1" w:rsidRPr="00D50583" w:rsidRDefault="00D2343C" w:rsidP="00C70981">
      <w:pPr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D50583">
        <w:rPr>
          <w:rFonts w:ascii="Times New Roman" w:hAnsi="Times New Roman" w:cs="Times New Roman"/>
          <w:b/>
          <w:bCs/>
          <w:sz w:val="32"/>
          <w:szCs w:val="36"/>
        </w:rPr>
        <w:t>Supporting information</w:t>
      </w:r>
    </w:p>
    <w:p w14:paraId="31810434" w14:textId="37318F61" w:rsidR="00D2343C" w:rsidRPr="00D50583" w:rsidRDefault="00D2343C" w:rsidP="00C70981">
      <w:pPr>
        <w:rPr>
          <w:rFonts w:ascii="Times New Roman" w:hAnsi="Times New Roman" w:cs="Times New Roman"/>
          <w:sz w:val="28"/>
          <w:szCs w:val="32"/>
        </w:rPr>
      </w:pPr>
    </w:p>
    <w:p w14:paraId="28C5E84E" w14:textId="4909B059" w:rsidR="00C70981" w:rsidRPr="00D50583" w:rsidRDefault="00206BD0" w:rsidP="00C70981">
      <w:pPr>
        <w:rPr>
          <w:rFonts w:ascii="Times New Roman" w:eastAsia="ＭＳ 明朝" w:hAnsi="Times New Roman" w:cs="Times New Roman"/>
          <w:b/>
          <w:bCs/>
          <w:color w:val="000000" w:themeColor="text1"/>
          <w:sz w:val="28"/>
          <w:szCs w:val="32"/>
        </w:rPr>
      </w:pPr>
      <w:r w:rsidRPr="00D50583">
        <w:rPr>
          <w:rFonts w:ascii="Times New Roman" w:eastAsia="ＭＳ 明朝" w:hAnsi="Times New Roman" w:cs="Times New Roman"/>
          <w:b/>
          <w:bCs/>
          <w:color w:val="000000" w:themeColor="text1"/>
          <w:sz w:val="28"/>
          <w:szCs w:val="32"/>
        </w:rPr>
        <w:t>Influence of Electric Potential</w:t>
      </w:r>
      <w:r w:rsidR="00A0706A" w:rsidRPr="00D50583">
        <w:rPr>
          <w:rFonts w:ascii="Times New Roman" w:eastAsia="ＭＳ 明朝" w:hAnsi="Times New Roman" w:cs="Times New Roman"/>
          <w:b/>
          <w:bCs/>
          <w:color w:val="000000" w:themeColor="text1"/>
          <w:sz w:val="28"/>
          <w:szCs w:val="32"/>
        </w:rPr>
        <w:t>-</w:t>
      </w:r>
      <w:r w:rsidRPr="00D50583">
        <w:rPr>
          <w:rFonts w:ascii="Times New Roman" w:eastAsia="ＭＳ 明朝" w:hAnsi="Times New Roman" w:cs="Times New Roman"/>
          <w:b/>
          <w:bCs/>
          <w:color w:val="000000" w:themeColor="text1"/>
          <w:sz w:val="28"/>
          <w:szCs w:val="32"/>
        </w:rPr>
        <w:t>Induced by Atmospheric Pressure Plasma on Cell</w:t>
      </w:r>
      <w:r w:rsidR="00A0706A" w:rsidRPr="00D50583">
        <w:rPr>
          <w:rFonts w:ascii="Times New Roman" w:eastAsia="ＭＳ 明朝" w:hAnsi="Times New Roman" w:cs="Times New Roman"/>
          <w:b/>
          <w:bCs/>
          <w:color w:val="000000" w:themeColor="text1"/>
          <w:sz w:val="28"/>
          <w:szCs w:val="32"/>
        </w:rPr>
        <w:t xml:space="preserve"> Response</w:t>
      </w:r>
    </w:p>
    <w:p w14:paraId="0A8B55D6" w14:textId="77777777" w:rsidR="00206BD0" w:rsidRPr="00D50583" w:rsidRDefault="00206BD0" w:rsidP="00C70981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326F64FB" w14:textId="72485973" w:rsidR="00206BD0" w:rsidRPr="00D50583" w:rsidRDefault="001E07D7" w:rsidP="00206BD0">
      <w:pPr>
        <w:pStyle w:val="MDPI13authornames"/>
        <w:rPr>
          <w:rFonts w:ascii="Times New Roman" w:hAnsi="Times New Roman"/>
          <w:sz w:val="21"/>
          <w:szCs w:val="21"/>
        </w:rPr>
      </w:pPr>
      <w:r w:rsidRPr="00D50583">
        <w:rPr>
          <w:rFonts w:ascii="Times New Roman" w:hAnsi="Times New Roman"/>
          <w:sz w:val="21"/>
          <w:szCs w:val="21"/>
        </w:rPr>
        <w:t>*</w:t>
      </w:r>
      <w:r w:rsidR="00206BD0" w:rsidRPr="00D50583">
        <w:rPr>
          <w:rFonts w:ascii="Times New Roman" w:hAnsi="Times New Roman"/>
          <w:sz w:val="21"/>
          <w:szCs w:val="21"/>
        </w:rPr>
        <w:t xml:space="preserve">Takamasa Okumura </w:t>
      </w:r>
      <w:r w:rsidR="00206BD0" w:rsidRPr="00D50583">
        <w:rPr>
          <w:rFonts w:ascii="Times New Roman" w:hAnsi="Times New Roman"/>
          <w:sz w:val="21"/>
          <w:szCs w:val="21"/>
          <w:vertAlign w:val="superscript"/>
        </w:rPr>
        <w:t>1</w:t>
      </w:r>
      <w:r w:rsidR="00206BD0" w:rsidRPr="00D50583">
        <w:rPr>
          <w:rFonts w:ascii="Times New Roman" w:hAnsi="Times New Roman"/>
          <w:sz w:val="21"/>
          <w:szCs w:val="21"/>
        </w:rPr>
        <w:t xml:space="preserve">, Chia-Hsing Chang </w:t>
      </w:r>
      <w:r w:rsidR="00206BD0" w:rsidRPr="00D50583">
        <w:rPr>
          <w:rFonts w:ascii="Times New Roman" w:hAnsi="Times New Roman"/>
          <w:sz w:val="21"/>
          <w:szCs w:val="21"/>
          <w:vertAlign w:val="superscript"/>
        </w:rPr>
        <w:t>2</w:t>
      </w:r>
      <w:r w:rsidR="00206BD0" w:rsidRPr="00D50583">
        <w:rPr>
          <w:rFonts w:ascii="Times New Roman" w:hAnsi="Times New Roman"/>
          <w:sz w:val="21"/>
          <w:szCs w:val="21"/>
        </w:rPr>
        <w:t xml:space="preserve">, Kazunori Koga </w:t>
      </w:r>
      <w:r w:rsidR="00206BD0" w:rsidRPr="00D50583">
        <w:rPr>
          <w:rFonts w:ascii="Times New Roman" w:hAnsi="Times New Roman"/>
          <w:sz w:val="21"/>
          <w:szCs w:val="21"/>
          <w:vertAlign w:val="superscript"/>
        </w:rPr>
        <w:t>3</w:t>
      </w:r>
      <w:r w:rsidR="00206BD0" w:rsidRPr="00D50583">
        <w:rPr>
          <w:rFonts w:ascii="Times New Roman" w:hAnsi="Times New Roman"/>
          <w:sz w:val="21"/>
          <w:szCs w:val="21"/>
        </w:rPr>
        <w:t xml:space="preserve">, Masaharu Shiratani </w:t>
      </w:r>
      <w:r w:rsidR="00206BD0" w:rsidRPr="00D50583">
        <w:rPr>
          <w:rFonts w:ascii="Times New Roman" w:hAnsi="Times New Roman"/>
          <w:sz w:val="21"/>
          <w:szCs w:val="21"/>
          <w:vertAlign w:val="superscript"/>
        </w:rPr>
        <w:t>4</w:t>
      </w:r>
      <w:r w:rsidR="00206BD0" w:rsidRPr="00D50583">
        <w:rPr>
          <w:rFonts w:ascii="Times New Roman" w:hAnsi="Times New Roman"/>
          <w:sz w:val="21"/>
          <w:szCs w:val="21"/>
        </w:rPr>
        <w:t xml:space="preserve">, </w:t>
      </w:r>
      <w:r w:rsidRPr="00D50583">
        <w:rPr>
          <w:rFonts w:ascii="Times New Roman" w:hAnsi="Times New Roman"/>
          <w:sz w:val="21"/>
          <w:szCs w:val="21"/>
        </w:rPr>
        <w:t>**</w:t>
      </w:r>
      <w:r w:rsidR="00206BD0" w:rsidRPr="00D50583">
        <w:rPr>
          <w:rFonts w:ascii="Times New Roman" w:hAnsi="Times New Roman"/>
          <w:sz w:val="21"/>
          <w:szCs w:val="21"/>
        </w:rPr>
        <w:t xml:space="preserve">Takehiko Sato </w:t>
      </w:r>
      <w:r w:rsidR="00206BD0" w:rsidRPr="00D50583">
        <w:rPr>
          <w:rFonts w:ascii="Times New Roman" w:hAnsi="Times New Roman"/>
          <w:sz w:val="21"/>
          <w:szCs w:val="21"/>
          <w:vertAlign w:val="superscript"/>
        </w:rPr>
        <w:t>5</w:t>
      </w:r>
    </w:p>
    <w:p w14:paraId="243EC3B6" w14:textId="46C02C60" w:rsidR="00206BD0" w:rsidRPr="00D50583" w:rsidRDefault="00206BD0" w:rsidP="00206BD0">
      <w:pPr>
        <w:pStyle w:val="MDPI16affiliation"/>
        <w:ind w:leftChars="42" w:left="286"/>
        <w:rPr>
          <w:rFonts w:ascii="Times New Roman" w:hAnsi="Times New Roman"/>
          <w:sz w:val="21"/>
          <w:szCs w:val="21"/>
        </w:rPr>
      </w:pPr>
      <w:r w:rsidRPr="00D50583">
        <w:rPr>
          <w:rFonts w:ascii="Times New Roman" w:hAnsi="Times New Roman"/>
          <w:sz w:val="21"/>
          <w:szCs w:val="21"/>
          <w:vertAlign w:val="superscript"/>
        </w:rPr>
        <w:t>1</w:t>
      </w:r>
      <w:r w:rsidRPr="00D50583">
        <w:rPr>
          <w:rFonts w:ascii="Times New Roman" w:hAnsi="Times New Roman"/>
          <w:sz w:val="21"/>
          <w:szCs w:val="21"/>
        </w:rPr>
        <w:tab/>
        <w:t>Graduate School and Faculty of Information Science, and Electrical Engineering, Kyushu University</w:t>
      </w:r>
    </w:p>
    <w:p w14:paraId="16E6EAAC" w14:textId="55732B87" w:rsidR="00206BD0" w:rsidRPr="00D50583" w:rsidRDefault="00206BD0" w:rsidP="00206BD0">
      <w:pPr>
        <w:pStyle w:val="MDPI16affiliation"/>
        <w:ind w:leftChars="42" w:left="286"/>
        <w:rPr>
          <w:rFonts w:ascii="Times New Roman" w:hAnsi="Times New Roman"/>
          <w:sz w:val="21"/>
          <w:szCs w:val="21"/>
        </w:rPr>
      </w:pPr>
      <w:r w:rsidRPr="00D50583">
        <w:rPr>
          <w:rFonts w:ascii="Times New Roman" w:hAnsi="Times New Roman"/>
          <w:sz w:val="21"/>
          <w:szCs w:val="21"/>
          <w:vertAlign w:val="superscript"/>
        </w:rPr>
        <w:t>2</w:t>
      </w:r>
      <w:r w:rsidRPr="00D50583">
        <w:rPr>
          <w:rFonts w:ascii="Times New Roman" w:hAnsi="Times New Roman"/>
          <w:sz w:val="21"/>
          <w:szCs w:val="21"/>
        </w:rPr>
        <w:tab/>
        <w:t>Department of Mechanical System Engineering, Tohoku University, Sendai, Japan</w:t>
      </w:r>
    </w:p>
    <w:p w14:paraId="33C57BE3" w14:textId="141A2B7E" w:rsidR="00206BD0" w:rsidRPr="00D50583" w:rsidRDefault="00206BD0" w:rsidP="00206BD0">
      <w:pPr>
        <w:pStyle w:val="MDPI16affiliation"/>
        <w:ind w:leftChars="42" w:left="286"/>
        <w:rPr>
          <w:rFonts w:ascii="Times New Roman" w:hAnsi="Times New Roman"/>
          <w:sz w:val="21"/>
          <w:szCs w:val="21"/>
        </w:rPr>
      </w:pPr>
      <w:r w:rsidRPr="00D50583">
        <w:rPr>
          <w:rFonts w:ascii="Times New Roman" w:hAnsi="Times New Roman"/>
          <w:sz w:val="21"/>
          <w:szCs w:val="21"/>
          <w:vertAlign w:val="superscript"/>
        </w:rPr>
        <w:t>3</w:t>
      </w:r>
      <w:r w:rsidRPr="00D50583">
        <w:rPr>
          <w:rFonts w:ascii="Times New Roman" w:hAnsi="Times New Roman"/>
          <w:sz w:val="21"/>
          <w:szCs w:val="21"/>
        </w:rPr>
        <w:tab/>
        <w:t>Faculty of Information Science and Electrical Engineering, Kyushu University, Fukuoka, Japan</w:t>
      </w:r>
    </w:p>
    <w:p w14:paraId="3A2E7E2B" w14:textId="2834D4BC" w:rsidR="00206BD0" w:rsidRPr="00D50583" w:rsidRDefault="00206BD0" w:rsidP="00206BD0">
      <w:pPr>
        <w:pStyle w:val="MDPI16affiliation"/>
        <w:ind w:leftChars="42" w:left="286"/>
        <w:rPr>
          <w:rFonts w:ascii="Times New Roman" w:hAnsi="Times New Roman"/>
          <w:sz w:val="21"/>
          <w:szCs w:val="21"/>
        </w:rPr>
      </w:pPr>
      <w:r w:rsidRPr="00D50583">
        <w:rPr>
          <w:rFonts w:ascii="Times New Roman" w:hAnsi="Times New Roman"/>
          <w:sz w:val="21"/>
          <w:szCs w:val="21"/>
          <w:vertAlign w:val="superscript"/>
        </w:rPr>
        <w:t>4</w:t>
      </w:r>
      <w:r w:rsidRPr="00D50583">
        <w:rPr>
          <w:rFonts w:ascii="Times New Roman" w:hAnsi="Times New Roman"/>
          <w:sz w:val="21"/>
          <w:szCs w:val="21"/>
        </w:rPr>
        <w:tab/>
        <w:t>Faculty of Agriculture, Kyushu University, Fukuoka, Japan</w:t>
      </w:r>
    </w:p>
    <w:p w14:paraId="24AB1522" w14:textId="0DD1EC05" w:rsidR="00206BD0" w:rsidRPr="00D50583" w:rsidRDefault="00206BD0" w:rsidP="00206BD0">
      <w:pPr>
        <w:pStyle w:val="MDPI16affiliation"/>
        <w:ind w:leftChars="42" w:left="286"/>
        <w:rPr>
          <w:rFonts w:ascii="Times New Roman" w:hAnsi="Times New Roman"/>
          <w:sz w:val="21"/>
          <w:szCs w:val="21"/>
        </w:rPr>
      </w:pPr>
      <w:r w:rsidRPr="00D50583">
        <w:rPr>
          <w:rFonts w:ascii="Times New Roman" w:hAnsi="Times New Roman"/>
          <w:sz w:val="21"/>
          <w:szCs w:val="21"/>
          <w:vertAlign w:val="superscript"/>
        </w:rPr>
        <w:t>5</w:t>
      </w:r>
      <w:r w:rsidRPr="00D50583">
        <w:rPr>
          <w:rFonts w:ascii="Times New Roman" w:hAnsi="Times New Roman"/>
          <w:sz w:val="21"/>
          <w:szCs w:val="21"/>
        </w:rPr>
        <w:tab/>
        <w:t>Institute of Fluid Science, Tohoku University, Sendai, Japan</w:t>
      </w:r>
    </w:p>
    <w:p w14:paraId="20C8E152" w14:textId="77777777" w:rsidR="00C70981" w:rsidRPr="00D50583" w:rsidRDefault="00C70981" w:rsidP="00C70981">
      <w:pPr>
        <w:widowControl/>
        <w:jc w:val="left"/>
        <w:rPr>
          <w:rFonts w:ascii="Times New Roman" w:eastAsia="ＭＳ 明朝" w:hAnsi="Times New Roman" w:cs="Times New Roman"/>
          <w:b/>
          <w:color w:val="000000" w:themeColor="text1"/>
        </w:rPr>
      </w:pPr>
    </w:p>
    <w:p w14:paraId="7B2B6487" w14:textId="77777777" w:rsidR="001E07D7" w:rsidRPr="00D50583" w:rsidRDefault="001E07D7" w:rsidP="001E07D7">
      <w:pPr>
        <w:widowControl/>
        <w:jc w:val="left"/>
        <w:rPr>
          <w:rFonts w:ascii="Times New Roman" w:eastAsia="ＭＳ 明朝" w:hAnsi="Times New Roman" w:cs="Times New Roman"/>
          <w:b/>
          <w:color w:val="000000" w:themeColor="text1"/>
        </w:rPr>
      </w:pPr>
      <w:r w:rsidRPr="00D50583">
        <w:rPr>
          <w:rFonts w:ascii="Times New Roman" w:eastAsia="ＭＳ 明朝" w:hAnsi="Times New Roman" w:cs="Times New Roman"/>
          <w:b/>
          <w:color w:val="000000" w:themeColor="text1"/>
        </w:rPr>
        <w:t xml:space="preserve">Co-corresponding Authors: </w:t>
      </w:r>
    </w:p>
    <w:p w14:paraId="4ABC9670" w14:textId="01F58FAB" w:rsidR="001E07D7" w:rsidRPr="00D50583" w:rsidRDefault="001E07D7" w:rsidP="001E07D7">
      <w:pPr>
        <w:adjustRightInd w:val="0"/>
        <w:snapToGrid w:val="0"/>
        <w:rPr>
          <w:rFonts w:ascii="Times New Roman" w:eastAsia="ＭＳ 明朝" w:hAnsi="Times New Roman" w:cs="Times New Roman"/>
          <w:color w:val="000000" w:themeColor="text1"/>
        </w:rPr>
      </w:pPr>
      <w:r w:rsidRPr="00D50583">
        <w:rPr>
          <w:rFonts w:ascii="Times New Roman" w:eastAsia="ＭＳ 明朝" w:hAnsi="Times New Roman" w:cs="Times New Roman"/>
          <w:color w:val="000000" w:themeColor="text1"/>
        </w:rPr>
        <w:t>*</w:t>
      </w:r>
      <w:r w:rsidR="00D50583">
        <w:rPr>
          <w:rFonts w:ascii="Times New Roman" w:eastAsia="ＭＳ 明朝" w:hAnsi="Times New Roman" w:cs="Times New Roman"/>
          <w:color w:val="000000" w:themeColor="text1"/>
        </w:rPr>
        <w:t>Takamasa Okumura</w:t>
      </w:r>
    </w:p>
    <w:p w14:paraId="3FE42938" w14:textId="7FE775DD" w:rsidR="001E07D7" w:rsidRPr="00D50583" w:rsidRDefault="001E07D7" w:rsidP="001E07D7">
      <w:pPr>
        <w:adjustRightInd w:val="0"/>
        <w:snapToGrid w:val="0"/>
        <w:ind w:leftChars="100" w:left="210"/>
        <w:rPr>
          <w:rFonts w:ascii="Times New Roman" w:eastAsia="ＭＳ 明朝" w:hAnsi="Times New Roman" w:cs="Times New Roman"/>
          <w:color w:val="000000" w:themeColor="text1"/>
        </w:rPr>
      </w:pPr>
      <w:r w:rsidRPr="00D50583">
        <w:rPr>
          <w:rFonts w:ascii="Times New Roman" w:eastAsia="ＭＳ 明朝" w:hAnsi="Times New Roman" w:cs="Times New Roman"/>
          <w:color w:val="000000" w:themeColor="text1"/>
        </w:rPr>
        <w:t xml:space="preserve">744 </w:t>
      </w:r>
      <w:proofErr w:type="spellStart"/>
      <w:r w:rsidRPr="00D50583">
        <w:rPr>
          <w:rFonts w:ascii="Times New Roman" w:eastAsia="ＭＳ 明朝" w:hAnsi="Times New Roman" w:cs="Times New Roman"/>
          <w:color w:val="000000" w:themeColor="text1"/>
        </w:rPr>
        <w:t>Motoka</w:t>
      </w:r>
      <w:proofErr w:type="spellEnd"/>
      <w:r w:rsidRPr="00D50583">
        <w:rPr>
          <w:rFonts w:ascii="Times New Roman" w:eastAsia="ＭＳ 明朝" w:hAnsi="Times New Roman" w:cs="Times New Roman"/>
          <w:color w:val="000000" w:themeColor="text1"/>
        </w:rPr>
        <w:t xml:space="preserve">, </w:t>
      </w:r>
      <w:r w:rsidR="00CB410B">
        <w:rPr>
          <w:rFonts w:ascii="Times New Roman" w:eastAsia="ＭＳ 明朝" w:hAnsi="Times New Roman" w:cs="Times New Roman"/>
          <w:color w:val="000000" w:themeColor="text1"/>
        </w:rPr>
        <w:t>Nishi-</w:t>
      </w:r>
      <w:proofErr w:type="spellStart"/>
      <w:r w:rsidR="00CB410B">
        <w:rPr>
          <w:rFonts w:ascii="Times New Roman" w:eastAsia="ＭＳ 明朝" w:hAnsi="Times New Roman" w:cs="Times New Roman"/>
          <w:color w:val="000000" w:themeColor="text1"/>
        </w:rPr>
        <w:t>ku</w:t>
      </w:r>
      <w:proofErr w:type="spellEnd"/>
      <w:r w:rsidR="00CB410B">
        <w:rPr>
          <w:rFonts w:ascii="Times New Roman" w:eastAsia="ＭＳ 明朝" w:hAnsi="Times New Roman" w:cs="Times New Roman"/>
          <w:color w:val="000000" w:themeColor="text1"/>
        </w:rPr>
        <w:t xml:space="preserve">, </w:t>
      </w:r>
      <w:r w:rsidRPr="00D50583">
        <w:rPr>
          <w:rFonts w:ascii="Times New Roman" w:eastAsia="ＭＳ 明朝" w:hAnsi="Times New Roman" w:cs="Times New Roman"/>
          <w:color w:val="000000" w:themeColor="text1"/>
        </w:rPr>
        <w:t>Fukuoka city, Fukuoka 819-0395, Japan</w:t>
      </w:r>
    </w:p>
    <w:p w14:paraId="70E4ADC1" w14:textId="7AE6334E" w:rsidR="001E07D7" w:rsidRPr="00D50583" w:rsidRDefault="001E07D7" w:rsidP="001E07D7">
      <w:pPr>
        <w:adjustRightInd w:val="0"/>
        <w:snapToGrid w:val="0"/>
        <w:ind w:leftChars="100" w:left="210"/>
        <w:rPr>
          <w:rFonts w:ascii="Times New Roman" w:eastAsia="ＭＳ 明朝" w:hAnsi="Times New Roman" w:cs="Times New Roman"/>
          <w:color w:val="000000" w:themeColor="text1"/>
          <w:lang w:val="pt-BR"/>
        </w:rPr>
      </w:pPr>
      <w:r w:rsidRPr="00D50583">
        <w:rPr>
          <w:rFonts w:ascii="Times New Roman" w:eastAsia="ＭＳ 明朝" w:hAnsi="Times New Roman" w:cs="Times New Roman"/>
          <w:color w:val="000000" w:themeColor="text1"/>
          <w:lang w:val="pt-BR"/>
        </w:rPr>
        <w:t xml:space="preserve">E-mail: </w:t>
      </w:r>
      <w:r w:rsidR="00D50583">
        <w:rPr>
          <w:rFonts w:ascii="Times New Roman" w:eastAsia="ＭＳ 明朝" w:hAnsi="Times New Roman" w:cs="Times New Roman" w:hint="eastAsia"/>
          <w:color w:val="000000" w:themeColor="text1"/>
          <w:lang w:val="pt-BR"/>
        </w:rPr>
        <w:t>t.okumura@plasma.ed.kyushu-u.ac.jp</w:t>
      </w:r>
    </w:p>
    <w:p w14:paraId="0FEAC4B8" w14:textId="77777777" w:rsidR="001E07D7" w:rsidRPr="004C69E0" w:rsidRDefault="001E07D7" w:rsidP="001E07D7">
      <w:pPr>
        <w:adjustRightInd w:val="0"/>
        <w:snapToGrid w:val="0"/>
        <w:rPr>
          <w:rFonts w:ascii="Times New Roman" w:eastAsia="ＭＳ 明朝" w:hAnsi="Times New Roman" w:cs="Times New Roman"/>
          <w:color w:val="000000" w:themeColor="text1"/>
          <w:lang w:val="pt-BR"/>
        </w:rPr>
      </w:pPr>
    </w:p>
    <w:p w14:paraId="3C898735" w14:textId="16FF4361" w:rsidR="001E07D7" w:rsidRPr="00D50583" w:rsidRDefault="001E07D7" w:rsidP="001E07D7">
      <w:pPr>
        <w:adjustRightInd w:val="0"/>
        <w:snapToGrid w:val="0"/>
        <w:rPr>
          <w:rFonts w:ascii="Times New Roman" w:eastAsia="ＭＳ 明朝" w:hAnsi="Times New Roman" w:cs="Times New Roman"/>
          <w:color w:val="000000" w:themeColor="text1"/>
        </w:rPr>
      </w:pPr>
      <w:r w:rsidRPr="00D50583">
        <w:rPr>
          <w:rFonts w:ascii="Times New Roman" w:eastAsia="ＭＳ 明朝" w:hAnsi="Times New Roman" w:cs="Times New Roman"/>
          <w:color w:val="000000" w:themeColor="text1"/>
        </w:rPr>
        <w:t>**</w:t>
      </w:r>
      <w:r w:rsidR="0004338B">
        <w:rPr>
          <w:rFonts w:ascii="Times New Roman" w:eastAsia="ＭＳ 明朝" w:hAnsi="Times New Roman" w:cs="Times New Roman" w:hint="eastAsia"/>
          <w:color w:val="000000" w:themeColor="text1"/>
        </w:rPr>
        <w:t>Takehiko Sato</w:t>
      </w:r>
    </w:p>
    <w:p w14:paraId="0314D739" w14:textId="0F7291DC" w:rsidR="001E07D7" w:rsidRPr="00D50583" w:rsidRDefault="00EF4735" w:rsidP="001E07D7">
      <w:pPr>
        <w:adjustRightInd w:val="0"/>
        <w:snapToGrid w:val="0"/>
        <w:ind w:leftChars="100" w:left="210"/>
        <w:rPr>
          <w:rFonts w:ascii="Times New Roman" w:eastAsia="ＭＳ 明朝" w:hAnsi="Times New Roman" w:cs="Times New Roman"/>
          <w:color w:val="000000" w:themeColor="text1"/>
        </w:rPr>
      </w:pPr>
      <w:r w:rsidRPr="00EF4735">
        <w:rPr>
          <w:rFonts w:ascii="Times New Roman" w:eastAsia="ＭＳ 明朝" w:hAnsi="Times New Roman" w:cs="Times New Roman"/>
          <w:color w:val="000000" w:themeColor="text1"/>
        </w:rPr>
        <w:t>2-1-1 Katahira, Aoba-</w:t>
      </w:r>
      <w:proofErr w:type="spellStart"/>
      <w:r w:rsidRPr="00EF4735">
        <w:rPr>
          <w:rFonts w:ascii="Times New Roman" w:eastAsia="ＭＳ 明朝" w:hAnsi="Times New Roman" w:cs="Times New Roman"/>
          <w:color w:val="000000" w:themeColor="text1"/>
        </w:rPr>
        <w:t>ku</w:t>
      </w:r>
      <w:proofErr w:type="spellEnd"/>
      <w:r w:rsidRPr="00EF4735">
        <w:rPr>
          <w:rFonts w:ascii="Times New Roman" w:eastAsia="ＭＳ 明朝" w:hAnsi="Times New Roman" w:cs="Times New Roman"/>
          <w:color w:val="000000" w:themeColor="text1"/>
        </w:rPr>
        <w:t>, Sendai</w:t>
      </w:r>
      <w:r w:rsidR="0015257D">
        <w:rPr>
          <w:rFonts w:ascii="Times New Roman" w:eastAsia="ＭＳ 明朝" w:hAnsi="Times New Roman" w:cs="Times New Roman"/>
          <w:color w:val="000000" w:themeColor="text1"/>
        </w:rPr>
        <w:t xml:space="preserve"> city</w:t>
      </w:r>
      <w:r w:rsidRPr="00EF4735">
        <w:rPr>
          <w:rFonts w:ascii="Times New Roman" w:eastAsia="ＭＳ 明朝" w:hAnsi="Times New Roman" w:cs="Times New Roman"/>
          <w:color w:val="000000" w:themeColor="text1"/>
        </w:rPr>
        <w:t xml:space="preserve">, </w:t>
      </w:r>
      <w:r w:rsidR="0015257D">
        <w:rPr>
          <w:rFonts w:ascii="Times New Roman" w:eastAsia="ＭＳ 明朝" w:hAnsi="Times New Roman" w:cs="Times New Roman"/>
          <w:color w:val="000000" w:themeColor="text1"/>
        </w:rPr>
        <w:t xml:space="preserve">Miyagi </w:t>
      </w:r>
      <w:r w:rsidRPr="00EF4735">
        <w:rPr>
          <w:rFonts w:ascii="Times New Roman" w:eastAsia="ＭＳ 明朝" w:hAnsi="Times New Roman" w:cs="Times New Roman"/>
          <w:color w:val="000000" w:themeColor="text1"/>
        </w:rPr>
        <w:t>980-8577</w:t>
      </w:r>
    </w:p>
    <w:p w14:paraId="480418CE" w14:textId="7B41ADF2" w:rsidR="00601D75" w:rsidRPr="00B20C0E" w:rsidRDefault="001E07D7" w:rsidP="00B20C0E">
      <w:pPr>
        <w:adjustRightInd w:val="0"/>
        <w:snapToGrid w:val="0"/>
        <w:ind w:leftChars="100" w:left="210"/>
        <w:rPr>
          <w:rFonts w:ascii="Times New Roman" w:eastAsia="ＭＳ Ｐ明朝" w:hAnsi="Times New Roman" w:cs="Times New Roman"/>
          <w:szCs w:val="21"/>
          <w:lang w:val="pt-BR"/>
        </w:rPr>
      </w:pPr>
      <w:r w:rsidRPr="00D50583">
        <w:rPr>
          <w:rFonts w:ascii="Times New Roman" w:eastAsia="ＭＳ 明朝" w:hAnsi="Times New Roman" w:cs="Times New Roman"/>
          <w:color w:val="000000" w:themeColor="text1"/>
          <w:szCs w:val="21"/>
          <w:lang w:val="pt-BR"/>
        </w:rPr>
        <w:t xml:space="preserve">E-mail: </w:t>
      </w:r>
      <w:r w:rsidR="00601D75" w:rsidRPr="00B20C0E">
        <w:rPr>
          <w:rFonts w:ascii="Times New Roman" w:hAnsi="Times New Roman" w:cs="Times New Roman"/>
          <w:lang w:val="pt-BR"/>
        </w:rPr>
        <w:t>sato@ifs.tohoku.ac.jp</w:t>
      </w:r>
    </w:p>
    <w:p w14:paraId="577779BF" w14:textId="77777777" w:rsidR="001E07D7" w:rsidRPr="00B20C0E" w:rsidRDefault="001E07D7" w:rsidP="00C70981">
      <w:pPr>
        <w:widowControl/>
        <w:jc w:val="left"/>
        <w:rPr>
          <w:rFonts w:ascii="Times New Roman" w:eastAsia="ＭＳ 明朝" w:hAnsi="Times New Roman" w:cs="Times New Roman"/>
          <w:b/>
          <w:color w:val="000000" w:themeColor="text1"/>
          <w:lang w:val="pt-BR"/>
        </w:rPr>
      </w:pPr>
    </w:p>
    <w:p w14:paraId="4C1C77C3" w14:textId="77777777" w:rsidR="001E07D7" w:rsidRPr="00B20C0E" w:rsidRDefault="001E07D7" w:rsidP="00C70981">
      <w:pPr>
        <w:widowControl/>
        <w:jc w:val="left"/>
        <w:rPr>
          <w:rFonts w:ascii="Times New Roman" w:eastAsia="ＭＳ 明朝" w:hAnsi="Times New Roman" w:cs="Times New Roman"/>
          <w:b/>
          <w:color w:val="000000" w:themeColor="text1"/>
          <w:lang w:val="pt-BR"/>
        </w:rPr>
      </w:pPr>
    </w:p>
    <w:p w14:paraId="331F8C7D" w14:textId="24E6B485" w:rsidR="004E324D" w:rsidRPr="00D50583" w:rsidRDefault="004E324D" w:rsidP="004E324D">
      <w:pPr>
        <w:rPr>
          <w:rFonts w:ascii="Times New Roman" w:hAnsi="Times New Roman" w:cs="Times New Roman"/>
          <w:szCs w:val="21"/>
        </w:rPr>
      </w:pPr>
      <w:r w:rsidRPr="00D50583">
        <w:rPr>
          <w:rFonts w:ascii="Times New Roman" w:hAnsi="Times New Roman" w:cs="Times New Roman"/>
          <w:szCs w:val="21"/>
        </w:rPr>
        <w:t>Figure caption</w:t>
      </w:r>
      <w:r w:rsidRPr="00D50583">
        <w:rPr>
          <w:rFonts w:ascii="Times New Roman" w:hAnsi="Times New Roman" w:cs="Times New Roman"/>
          <w:szCs w:val="21"/>
        </w:rPr>
        <w:t>.</w:t>
      </w:r>
    </w:p>
    <w:p w14:paraId="6B138B3E" w14:textId="6E6479A7" w:rsidR="00CB410B" w:rsidRDefault="00C61382" w:rsidP="002128CC">
      <w:pPr>
        <w:rPr>
          <w:rFonts w:ascii="Times New Roman" w:hAnsi="Times New Roman" w:cs="Times New Roman"/>
          <w:szCs w:val="21"/>
        </w:rPr>
      </w:pPr>
      <w:r w:rsidRPr="00D50583">
        <w:rPr>
          <w:rFonts w:ascii="Times New Roman" w:hAnsi="Times New Roman" w:cs="Times New Roman"/>
          <w:b/>
          <w:bCs/>
          <w:szCs w:val="21"/>
        </w:rPr>
        <w:t>Fig. S</w:t>
      </w:r>
      <w:r w:rsidR="00F73030" w:rsidRPr="00D50583">
        <w:rPr>
          <w:rFonts w:ascii="Times New Roman" w:hAnsi="Times New Roman" w:cs="Times New Roman"/>
          <w:b/>
          <w:bCs/>
          <w:szCs w:val="21"/>
        </w:rPr>
        <w:t>1</w:t>
      </w:r>
      <w:r w:rsidRPr="00D50583">
        <w:rPr>
          <w:rFonts w:ascii="Times New Roman" w:hAnsi="Times New Roman" w:cs="Times New Roman"/>
          <w:b/>
          <w:bCs/>
          <w:szCs w:val="21"/>
        </w:rPr>
        <w:t xml:space="preserve">. </w:t>
      </w:r>
      <w:r w:rsidR="00DA4ACC" w:rsidRPr="00D50583">
        <w:rPr>
          <w:rFonts w:ascii="Times New Roman" w:hAnsi="Times New Roman" w:cs="Times New Roman"/>
          <w:szCs w:val="21"/>
        </w:rPr>
        <w:t xml:space="preserve">Standard curve for </w:t>
      </w:r>
      <w:r w:rsidR="00D9643C" w:rsidRPr="00D50583">
        <w:rPr>
          <w:rFonts w:ascii="Times New Roman" w:hAnsi="Times New Roman" w:cs="Times New Roman"/>
          <w:szCs w:val="21"/>
        </w:rPr>
        <w:t xml:space="preserve">cell </w:t>
      </w:r>
      <w:r w:rsidR="00DA4ACC" w:rsidRPr="00D50583">
        <w:rPr>
          <w:rFonts w:ascii="Times New Roman" w:hAnsi="Times New Roman" w:cs="Times New Roman"/>
          <w:szCs w:val="21"/>
        </w:rPr>
        <w:t>concentration.</w:t>
      </w:r>
      <w:r w:rsidR="002128CC" w:rsidRPr="00D50583">
        <w:rPr>
          <w:rFonts w:ascii="Times New Roman" w:hAnsi="Times New Roman" w:cs="Times New Roman"/>
          <w:szCs w:val="21"/>
        </w:rPr>
        <w:t xml:space="preserve"> </w:t>
      </w:r>
      <w:r w:rsidR="00CB410B">
        <w:rPr>
          <w:rFonts w:ascii="Times New Roman" w:hAnsi="Times New Roman" w:cs="Times New Roman"/>
          <w:szCs w:val="21"/>
        </w:rPr>
        <w:br w:type="page"/>
      </w:r>
    </w:p>
    <w:p w14:paraId="1F9BE7F1" w14:textId="77777777" w:rsidR="002128CC" w:rsidRDefault="002128CC" w:rsidP="002128CC">
      <w:pPr>
        <w:rPr>
          <w:rFonts w:ascii="Times New Roman" w:hAnsi="Times New Roman" w:cs="Times New Roman"/>
          <w:szCs w:val="21"/>
        </w:rPr>
      </w:pPr>
    </w:p>
    <w:p w14:paraId="741D370E" w14:textId="77777777" w:rsidR="00CB410B" w:rsidRDefault="00CB410B" w:rsidP="002128CC">
      <w:pPr>
        <w:rPr>
          <w:rFonts w:ascii="Times New Roman" w:hAnsi="Times New Roman" w:cs="Times New Roman"/>
          <w:szCs w:val="21"/>
        </w:rPr>
      </w:pPr>
    </w:p>
    <w:p w14:paraId="70542964" w14:textId="77777777" w:rsidR="00CB410B" w:rsidRPr="00D50583" w:rsidRDefault="00CB410B" w:rsidP="002128CC">
      <w:pPr>
        <w:rPr>
          <w:rFonts w:ascii="Times New Roman" w:hAnsi="Times New Roman" w:cs="Times New Roman" w:hint="eastAsia"/>
          <w:szCs w:val="21"/>
        </w:rPr>
      </w:pPr>
    </w:p>
    <w:p w14:paraId="36958120" w14:textId="6EA4815D" w:rsidR="00B33DF8" w:rsidRPr="00D50583" w:rsidRDefault="00B33DF8" w:rsidP="00C70981">
      <w:pPr>
        <w:rPr>
          <w:rFonts w:ascii="Times New Roman" w:hAnsi="Times New Roman" w:cs="Times New Roman"/>
          <w:szCs w:val="21"/>
        </w:rPr>
      </w:pPr>
    </w:p>
    <w:p w14:paraId="17BD7128" w14:textId="4113E28C" w:rsidR="00C70981" w:rsidRPr="00D50583" w:rsidRDefault="00DD662D" w:rsidP="00C70981">
      <w:pPr>
        <w:jc w:val="center"/>
        <w:rPr>
          <w:rFonts w:ascii="Times New Roman" w:hAnsi="Times New Roman" w:cs="Times New Roman"/>
          <w:szCs w:val="21"/>
        </w:rPr>
      </w:pPr>
      <w:r w:rsidRPr="00D50583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2E6DEE4" wp14:editId="5B83C7B0">
            <wp:extent cx="2869321" cy="2707998"/>
            <wp:effectExtent l="0" t="0" r="0" b="0"/>
            <wp:docPr id="1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0665F57B-ED37-44B9-A76C-56A15AC2EC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1C2569C" w14:textId="180E3798" w:rsidR="00C61382" w:rsidRDefault="00C61382" w:rsidP="00C61382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D50583">
        <w:rPr>
          <w:rFonts w:ascii="Times New Roman" w:hAnsi="Times New Roman" w:cs="Times New Roman"/>
          <w:b/>
          <w:bCs/>
          <w:szCs w:val="21"/>
        </w:rPr>
        <w:t xml:space="preserve">Fig. S1. </w:t>
      </w:r>
    </w:p>
    <w:p w14:paraId="249030CF" w14:textId="77777777" w:rsidR="00CB410B" w:rsidRPr="00D50583" w:rsidRDefault="00CB410B" w:rsidP="00C61382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2691E2C" w14:textId="63996395" w:rsidR="002E46D7" w:rsidRPr="00D50583" w:rsidRDefault="002E46D7" w:rsidP="00D309DF">
      <w:pPr>
        <w:rPr>
          <w:rFonts w:ascii="Times New Roman" w:hAnsi="Times New Roman" w:cs="Times New Roman"/>
          <w:szCs w:val="21"/>
        </w:rPr>
      </w:pPr>
      <w:r w:rsidRPr="00D50583">
        <w:rPr>
          <w:rFonts w:ascii="Times New Roman" w:hAnsi="Times New Roman" w:cs="Times New Roman"/>
          <w:szCs w:val="21"/>
        </w:rPr>
        <w:t>Standard curve was obtained by colorimetry</w:t>
      </w:r>
      <w:r w:rsidR="00716E35" w:rsidRPr="00D50583">
        <w:rPr>
          <w:rFonts w:ascii="Times New Roman" w:eastAsia="ＭＳ 明朝" w:hAnsi="Times New Roman" w:cs="Times New Roman"/>
          <w:color w:val="000000" w:themeColor="text1"/>
        </w:rPr>
        <w:fldChar w:fldCharType="begin" w:fldLock="1"/>
      </w:r>
      <w:r w:rsidR="00716E35" w:rsidRPr="00D50583">
        <w:rPr>
          <w:rFonts w:ascii="Times New Roman" w:eastAsia="ＭＳ 明朝" w:hAnsi="Times New Roman" w:cs="Times New Roman"/>
          <w:color w:val="000000" w:themeColor="text1"/>
        </w:rPr>
        <w:instrText>ADDIN CSL_CITATION {"citationItems":[{"id":"ITEM-1","itemData":{"DOI":"10.1039/a809656b","ISSN":"13597337","abstract":"The application of a tetrazolium salt, 2-(2-methoxy-4-nitrophenyl)-3-(4-nitrophenyl)-5-(2,4-disulfophenyl)-2H tetrazolium, monosodium salt (WST-8), to cell viability assays and in vitro drug sensitivity tests is described. With a higher sensitivity as a chromogenic indicator for cell viability compared with conventional tetrazolium salts, WST-8 produced results of cell viability and IC50 values that were in good agreement, respectively, with the MTT method and [3H]thymidine uptake method.","author":[{"dropping-particle":"","family":"Tominaga","given":"Hideyuki","non-dropping-particle":"","parse-names":false,"suffix":""},{"dropping-particle":"","family":"Ishiyama","given":"Munetaka","non-dropping-particle":"","parse-names":false,"suffix":""},{"dropping-particle":"","family":"Ohseto","given":"Fumio","non-dropping-particle":"","parse-names":false,"suffix":""},{"dropping-particle":"","family":"Sasamoto","given":"Kazumi","non-dropping-particle":"","parse-names":false,"suffix":""},{"dropping-particle":"","family":"Hamamoto","given":"Tomoyuki","non-dropping-particle":"","parse-names":false,"suffix":""},{"dropping-particle":"","family":"Suzuki","given":"Keiji","non-dropping-particle":"","parse-names":false,"suffix":""},{"dropping-particle":"","family":"Watanabe","given":"Masami","non-dropping-particle":"","parse-names":false,"suffix":""}],"container-title":"Analytical Communications","id":"ITEM-1","issue":"2","issued":{"date-parts":[["1999"]]},"page":"47-50","title":"A water-soluble tetrazolium salt useful for colorimetric cell viability assay","type":"article-journal","volume":"36"},"uris":["http://www.mendeley.com/documents/?uuid=d6357f66-b2fd-4956-8e91-f5fbde5663eb"]}],"mendeley":{"formattedCitation":"&lt;sup&gt;1&lt;/sup&gt;","plainTextFormattedCitation":"1","previouslyFormattedCitation":"&lt;sup&gt;1&lt;/sup&gt;"},"properties":{"noteIndex":0},"schema":"https://github.com/citation-style-language/schema/raw/master/csl-citation.json"}</w:instrText>
      </w:r>
      <w:r w:rsidR="00716E35" w:rsidRPr="00D50583">
        <w:rPr>
          <w:rFonts w:ascii="Times New Roman" w:eastAsia="ＭＳ 明朝" w:hAnsi="Times New Roman" w:cs="Times New Roman"/>
          <w:color w:val="000000" w:themeColor="text1"/>
        </w:rPr>
        <w:fldChar w:fldCharType="separate"/>
      </w:r>
      <w:r w:rsidR="00716E35" w:rsidRPr="00D50583">
        <w:rPr>
          <w:rFonts w:ascii="Times New Roman" w:eastAsia="ＭＳ 明朝" w:hAnsi="Times New Roman" w:cs="Times New Roman"/>
          <w:noProof/>
          <w:color w:val="000000" w:themeColor="text1"/>
          <w:vertAlign w:val="superscript"/>
        </w:rPr>
        <w:t>1</w:t>
      </w:r>
      <w:r w:rsidR="00716E35" w:rsidRPr="00D50583">
        <w:rPr>
          <w:rFonts w:ascii="Times New Roman" w:eastAsia="ＭＳ 明朝" w:hAnsi="Times New Roman" w:cs="Times New Roman"/>
          <w:color w:val="000000" w:themeColor="text1"/>
        </w:rPr>
        <w:fldChar w:fldCharType="end"/>
      </w:r>
      <w:r w:rsidR="00716E35" w:rsidRPr="00D50583">
        <w:rPr>
          <w:rFonts w:ascii="Times New Roman" w:eastAsia="ＭＳ 明朝" w:hAnsi="Times New Roman" w:cs="Times New Roman"/>
          <w:color w:val="000000" w:themeColor="text1"/>
        </w:rPr>
        <w:t xml:space="preserve"> </w:t>
      </w:r>
      <w:r w:rsidRPr="00D50583">
        <w:rPr>
          <w:rFonts w:ascii="Times New Roman" w:hAnsi="Times New Roman" w:cs="Times New Roman"/>
          <w:szCs w:val="21"/>
        </w:rPr>
        <w:t xml:space="preserve">using </w:t>
      </w:r>
      <w:r w:rsidR="007369C9" w:rsidRPr="00D50583">
        <w:rPr>
          <w:rFonts w:ascii="Times New Roman" w:eastAsia="ＭＳ 明朝" w:hAnsi="Times New Roman" w:cs="Times New Roman"/>
          <w:color w:val="000000" w:themeColor="text1"/>
        </w:rPr>
        <w:t>cell count reagent SF (</w:t>
      </w:r>
      <w:proofErr w:type="spellStart"/>
      <w:r w:rsidR="007369C9" w:rsidRPr="00D50583">
        <w:rPr>
          <w:rFonts w:ascii="Times New Roman" w:eastAsia="ＭＳ 明朝" w:hAnsi="Times New Roman" w:cs="Times New Roman"/>
          <w:color w:val="000000" w:themeColor="text1"/>
        </w:rPr>
        <w:t>Nakarai</w:t>
      </w:r>
      <w:proofErr w:type="spellEnd"/>
      <w:r w:rsidR="007369C9" w:rsidRPr="00D50583">
        <w:rPr>
          <w:rFonts w:ascii="Times New Roman" w:eastAsia="ＭＳ 明朝" w:hAnsi="Times New Roman" w:cs="Times New Roman"/>
          <w:color w:val="000000" w:themeColor="text1"/>
        </w:rPr>
        <w:t xml:space="preserve"> </w:t>
      </w:r>
      <w:proofErr w:type="spellStart"/>
      <w:r w:rsidR="007369C9" w:rsidRPr="00D50583">
        <w:rPr>
          <w:rFonts w:ascii="Times New Roman" w:eastAsia="ＭＳ 明朝" w:hAnsi="Times New Roman" w:cs="Times New Roman"/>
          <w:color w:val="000000" w:themeColor="text1"/>
        </w:rPr>
        <w:t>tesque</w:t>
      </w:r>
      <w:proofErr w:type="spellEnd"/>
      <w:r w:rsidR="007369C9" w:rsidRPr="00D50583">
        <w:rPr>
          <w:rFonts w:ascii="Times New Roman" w:eastAsia="ＭＳ 明朝" w:hAnsi="Times New Roman" w:cs="Times New Roman"/>
          <w:color w:val="000000" w:themeColor="text1"/>
        </w:rPr>
        <w:t xml:space="preserve">; 10% in the regular medium) and a microplate reader (Thermo Scientific, </w:t>
      </w:r>
      <w:proofErr w:type="spellStart"/>
      <w:r w:rsidR="007369C9" w:rsidRPr="00D50583">
        <w:rPr>
          <w:rFonts w:ascii="Times New Roman" w:eastAsia="ＭＳ 明朝" w:hAnsi="Times New Roman" w:cs="Times New Roman"/>
          <w:color w:val="000000" w:themeColor="text1"/>
        </w:rPr>
        <w:t>Multiskan</w:t>
      </w:r>
      <w:proofErr w:type="spellEnd"/>
      <w:r w:rsidR="007369C9" w:rsidRPr="00D50583">
        <w:rPr>
          <w:rFonts w:ascii="Times New Roman" w:eastAsia="ＭＳ 明朝" w:hAnsi="Times New Roman" w:cs="Times New Roman"/>
          <w:color w:val="000000" w:themeColor="text1"/>
        </w:rPr>
        <w:t xml:space="preserve"> FC)</w:t>
      </w:r>
      <w:r w:rsidRPr="00D50583">
        <w:rPr>
          <w:rFonts w:ascii="Times New Roman" w:eastAsia="ＭＳ 明朝" w:hAnsi="Times New Roman" w:cs="Times New Roman"/>
          <w:color w:val="000000" w:themeColor="text1"/>
        </w:rPr>
        <w:t xml:space="preserve">. </w:t>
      </w:r>
      <w:r w:rsidRPr="00D50583">
        <w:rPr>
          <w:rFonts w:ascii="Times New Roman" w:hAnsi="Times New Roman" w:cs="Times New Roman"/>
          <w:szCs w:val="21"/>
        </w:rPr>
        <w:t xml:space="preserve">The OD value with the concentration was obtained at absorption at </w:t>
      </w:r>
      <w:r w:rsidR="00B206B5" w:rsidRPr="00D50583">
        <w:rPr>
          <w:rFonts w:ascii="Times New Roman" w:hAnsi="Times New Roman" w:cs="Times New Roman"/>
          <w:szCs w:val="21"/>
        </w:rPr>
        <w:t>450</w:t>
      </w:r>
      <w:r w:rsidRPr="00D50583">
        <w:rPr>
          <w:rFonts w:ascii="Times New Roman" w:hAnsi="Times New Roman" w:cs="Times New Roman"/>
          <w:szCs w:val="21"/>
        </w:rPr>
        <w:t xml:space="preserve"> nm (standard curve equation: </w:t>
      </w:r>
      <w:r w:rsidR="00D309DF" w:rsidRPr="00D50583">
        <w:rPr>
          <w:rFonts w:ascii="Times New Roman" w:hAnsi="Times New Roman" w:cs="Times New Roman"/>
          <w:i/>
          <w:iCs/>
          <w:szCs w:val="21"/>
        </w:rPr>
        <w:t>y</w:t>
      </w:r>
      <w:r w:rsidR="00D309DF" w:rsidRPr="00D50583">
        <w:rPr>
          <w:rFonts w:ascii="Times New Roman" w:hAnsi="Times New Roman" w:cs="Times New Roman"/>
          <w:szCs w:val="21"/>
        </w:rPr>
        <w:t xml:space="preserve"> = 6E-06</w:t>
      </w:r>
      <w:r w:rsidR="00D309DF" w:rsidRPr="00D50583">
        <w:rPr>
          <w:rFonts w:ascii="Times New Roman" w:hAnsi="Times New Roman" w:cs="Times New Roman"/>
          <w:szCs w:val="21"/>
        </w:rPr>
        <w:t xml:space="preserve"> </w:t>
      </w:r>
      <w:r w:rsidR="00D309DF" w:rsidRPr="00D50583">
        <w:rPr>
          <w:rFonts w:ascii="Times New Roman" w:hAnsi="Times New Roman" w:cs="Times New Roman"/>
          <w:i/>
          <w:iCs/>
          <w:szCs w:val="21"/>
        </w:rPr>
        <w:t>x</w:t>
      </w:r>
      <w:r w:rsidR="00D309DF" w:rsidRPr="00D50583">
        <w:rPr>
          <w:rFonts w:ascii="Times New Roman" w:hAnsi="Times New Roman" w:cs="Times New Roman"/>
          <w:szCs w:val="21"/>
        </w:rPr>
        <w:t xml:space="preserve"> - 0.007</w:t>
      </w:r>
      <w:r w:rsidR="00D309DF" w:rsidRPr="00D50583">
        <w:rPr>
          <w:rFonts w:ascii="Times New Roman" w:hAnsi="Times New Roman" w:cs="Times New Roman"/>
          <w:szCs w:val="21"/>
        </w:rPr>
        <w:t xml:space="preserve">, </w:t>
      </w:r>
      <w:r w:rsidR="00D309DF" w:rsidRPr="00D50583">
        <w:rPr>
          <w:rFonts w:ascii="Times New Roman" w:hAnsi="Times New Roman" w:cs="Times New Roman"/>
          <w:szCs w:val="21"/>
        </w:rPr>
        <w:t>R² = 0.9998</w:t>
      </w:r>
      <w:r w:rsidRPr="00D50583">
        <w:rPr>
          <w:rFonts w:ascii="Times New Roman" w:hAnsi="Times New Roman" w:cs="Times New Roman"/>
          <w:szCs w:val="21"/>
        </w:rPr>
        <w:t>). The measurement was performed according to the protocol.</w:t>
      </w:r>
    </w:p>
    <w:p w14:paraId="5E5AFCDA" w14:textId="77777777" w:rsidR="00290D4F" w:rsidRDefault="00290D4F" w:rsidP="002E46D7">
      <w:pPr>
        <w:jc w:val="left"/>
        <w:rPr>
          <w:rFonts w:ascii="Times New Roman" w:hAnsi="Times New Roman" w:cs="Times New Roman"/>
          <w:szCs w:val="21"/>
        </w:rPr>
      </w:pPr>
    </w:p>
    <w:p w14:paraId="017ACAEC" w14:textId="77777777" w:rsidR="00CB410B" w:rsidRPr="00D50583" w:rsidRDefault="00CB410B" w:rsidP="002E46D7">
      <w:pPr>
        <w:jc w:val="left"/>
        <w:rPr>
          <w:rFonts w:ascii="Times New Roman" w:hAnsi="Times New Roman" w:cs="Times New Roman" w:hint="eastAsia"/>
          <w:szCs w:val="21"/>
        </w:rPr>
      </w:pPr>
    </w:p>
    <w:p w14:paraId="293E81D3" w14:textId="36363620" w:rsidR="00290D4F" w:rsidRPr="00D50583" w:rsidRDefault="00290D4F" w:rsidP="002E46D7">
      <w:pPr>
        <w:jc w:val="left"/>
        <w:rPr>
          <w:rFonts w:ascii="Times New Roman" w:hAnsi="Times New Roman" w:cs="Times New Roman"/>
          <w:b/>
          <w:bCs/>
          <w:szCs w:val="21"/>
        </w:rPr>
      </w:pPr>
      <w:r w:rsidRPr="00D50583">
        <w:rPr>
          <w:rFonts w:ascii="Times New Roman" w:hAnsi="Times New Roman" w:cs="Times New Roman"/>
          <w:b/>
          <w:bCs/>
          <w:szCs w:val="21"/>
        </w:rPr>
        <w:t>References</w:t>
      </w:r>
    </w:p>
    <w:p w14:paraId="06C21F0B" w14:textId="6191B6FA" w:rsidR="00290D4F" w:rsidRPr="00D50583" w:rsidRDefault="00290D4F" w:rsidP="00716E35">
      <w:pPr>
        <w:autoSpaceDE w:val="0"/>
        <w:autoSpaceDN w:val="0"/>
        <w:adjustRightInd w:val="0"/>
        <w:ind w:left="640" w:hanging="640"/>
        <w:jc w:val="left"/>
        <w:rPr>
          <w:rFonts w:ascii="Times New Roman" w:hAnsi="Times New Roman" w:cs="Times New Roman"/>
          <w:szCs w:val="21"/>
        </w:rPr>
      </w:pPr>
      <w:r w:rsidRPr="00D50583">
        <w:rPr>
          <w:rFonts w:ascii="Times New Roman" w:hAnsi="Times New Roman" w:cs="Times New Roman"/>
          <w:szCs w:val="21"/>
        </w:rPr>
        <w:lastRenderedPageBreak/>
        <w:fldChar w:fldCharType="begin" w:fldLock="1"/>
      </w:r>
      <w:r w:rsidRPr="00D50583">
        <w:rPr>
          <w:rFonts w:ascii="Times New Roman" w:hAnsi="Times New Roman" w:cs="Times New Roman"/>
          <w:szCs w:val="21"/>
        </w:rPr>
        <w:instrText xml:space="preserve">ADDIN Mendeley Bibliography CSL_BIBLIOGRAPHY </w:instrText>
      </w:r>
      <w:r w:rsidRPr="00D50583">
        <w:rPr>
          <w:rFonts w:ascii="Times New Roman" w:hAnsi="Times New Roman" w:cs="Times New Roman"/>
          <w:szCs w:val="21"/>
        </w:rPr>
        <w:fldChar w:fldCharType="separate"/>
      </w:r>
      <w:r w:rsidRPr="00D50583">
        <w:rPr>
          <w:rFonts w:ascii="Times New Roman" w:hAnsi="Times New Roman" w:cs="Times New Roman"/>
          <w:noProof/>
          <w:kern w:val="0"/>
          <w:sz w:val="20"/>
          <w:szCs w:val="24"/>
        </w:rPr>
        <w:t>1.</w:t>
      </w:r>
      <w:r w:rsidRPr="00D50583">
        <w:rPr>
          <w:rFonts w:ascii="Times New Roman" w:hAnsi="Times New Roman" w:cs="Times New Roman"/>
          <w:noProof/>
          <w:kern w:val="0"/>
          <w:sz w:val="20"/>
          <w:szCs w:val="24"/>
        </w:rPr>
        <w:tab/>
        <w:t xml:space="preserve">Tominaga, H. </w:t>
      </w:r>
      <w:r w:rsidRPr="00D50583">
        <w:rPr>
          <w:rFonts w:ascii="Times New Roman" w:hAnsi="Times New Roman" w:cs="Times New Roman"/>
          <w:i/>
          <w:iCs/>
          <w:noProof/>
          <w:kern w:val="0"/>
          <w:sz w:val="20"/>
          <w:szCs w:val="24"/>
        </w:rPr>
        <w:t>et al.</w:t>
      </w:r>
      <w:r w:rsidRPr="00D50583">
        <w:rPr>
          <w:rFonts w:ascii="Times New Roman" w:hAnsi="Times New Roman" w:cs="Times New Roman"/>
          <w:noProof/>
          <w:kern w:val="0"/>
          <w:sz w:val="20"/>
          <w:szCs w:val="24"/>
        </w:rPr>
        <w:t xml:space="preserve"> A water-soluble tetrazolium salt useful for colorimetric cell viability assay. </w:t>
      </w:r>
      <w:r w:rsidRPr="00D50583">
        <w:rPr>
          <w:rFonts w:ascii="Times New Roman" w:hAnsi="Times New Roman" w:cs="Times New Roman"/>
          <w:i/>
          <w:iCs/>
          <w:noProof/>
          <w:kern w:val="0"/>
          <w:sz w:val="20"/>
          <w:szCs w:val="24"/>
        </w:rPr>
        <w:t>Anal. Commun.</w:t>
      </w:r>
      <w:r w:rsidRPr="00D50583">
        <w:rPr>
          <w:rFonts w:ascii="Times New Roman" w:hAnsi="Times New Roman" w:cs="Times New Roman"/>
          <w:noProof/>
          <w:kern w:val="0"/>
          <w:sz w:val="20"/>
          <w:szCs w:val="24"/>
        </w:rPr>
        <w:t xml:space="preserve"> </w:t>
      </w:r>
      <w:r w:rsidRPr="00D50583">
        <w:rPr>
          <w:rFonts w:ascii="Times New Roman" w:hAnsi="Times New Roman" w:cs="Times New Roman"/>
          <w:b/>
          <w:bCs/>
          <w:noProof/>
          <w:kern w:val="0"/>
          <w:sz w:val="20"/>
          <w:szCs w:val="24"/>
        </w:rPr>
        <w:t>36</w:t>
      </w:r>
      <w:r w:rsidRPr="00D50583">
        <w:rPr>
          <w:rFonts w:ascii="Times New Roman" w:hAnsi="Times New Roman" w:cs="Times New Roman"/>
          <w:noProof/>
          <w:kern w:val="0"/>
          <w:sz w:val="20"/>
          <w:szCs w:val="24"/>
        </w:rPr>
        <w:t>, 47–50 (1999).</w:t>
      </w:r>
      <w:r w:rsidRPr="00D50583">
        <w:rPr>
          <w:rFonts w:ascii="Times New Roman" w:hAnsi="Times New Roman" w:cs="Times New Roman"/>
          <w:szCs w:val="21"/>
        </w:rPr>
        <w:fldChar w:fldCharType="end"/>
      </w:r>
    </w:p>
    <w:sectPr w:rsidR="00290D4F" w:rsidRPr="00D505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79AC0" w14:textId="77777777" w:rsidR="00FC520A" w:rsidRDefault="00FC520A" w:rsidP="00C61382">
      <w:r>
        <w:separator/>
      </w:r>
    </w:p>
  </w:endnote>
  <w:endnote w:type="continuationSeparator" w:id="0">
    <w:p w14:paraId="783F5C9F" w14:textId="77777777" w:rsidR="00FC520A" w:rsidRDefault="00FC520A" w:rsidP="00C6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46926" w14:textId="77777777" w:rsidR="00FC520A" w:rsidRDefault="00FC520A" w:rsidP="00C61382">
      <w:r>
        <w:separator/>
      </w:r>
    </w:p>
  </w:footnote>
  <w:footnote w:type="continuationSeparator" w:id="0">
    <w:p w14:paraId="07B3608C" w14:textId="77777777" w:rsidR="00FC520A" w:rsidRDefault="00FC520A" w:rsidP="00C613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3C"/>
    <w:rsid w:val="000062E7"/>
    <w:rsid w:val="0004338B"/>
    <w:rsid w:val="0015257D"/>
    <w:rsid w:val="00160281"/>
    <w:rsid w:val="00197AF7"/>
    <w:rsid w:val="001E07D7"/>
    <w:rsid w:val="00206BD0"/>
    <w:rsid w:val="002128CC"/>
    <w:rsid w:val="00246840"/>
    <w:rsid w:val="00290D4F"/>
    <w:rsid w:val="00292A4D"/>
    <w:rsid w:val="002E46D7"/>
    <w:rsid w:val="002F4BCE"/>
    <w:rsid w:val="003F3F57"/>
    <w:rsid w:val="00470BED"/>
    <w:rsid w:val="004C69E0"/>
    <w:rsid w:val="004E324D"/>
    <w:rsid w:val="00601D75"/>
    <w:rsid w:val="006658D6"/>
    <w:rsid w:val="006B1D39"/>
    <w:rsid w:val="00716E35"/>
    <w:rsid w:val="007369C9"/>
    <w:rsid w:val="007F7B34"/>
    <w:rsid w:val="008331ED"/>
    <w:rsid w:val="00867BDD"/>
    <w:rsid w:val="008F4FC2"/>
    <w:rsid w:val="00A0706A"/>
    <w:rsid w:val="00A07866"/>
    <w:rsid w:val="00A131DE"/>
    <w:rsid w:val="00A52AE5"/>
    <w:rsid w:val="00A67AF4"/>
    <w:rsid w:val="00AB4AA1"/>
    <w:rsid w:val="00B206B5"/>
    <w:rsid w:val="00B20C0E"/>
    <w:rsid w:val="00B33DF8"/>
    <w:rsid w:val="00B855AB"/>
    <w:rsid w:val="00C61382"/>
    <w:rsid w:val="00C65BE8"/>
    <w:rsid w:val="00C70981"/>
    <w:rsid w:val="00C94625"/>
    <w:rsid w:val="00CA7FEC"/>
    <w:rsid w:val="00CB410B"/>
    <w:rsid w:val="00CD001D"/>
    <w:rsid w:val="00D2343C"/>
    <w:rsid w:val="00D27B1B"/>
    <w:rsid w:val="00D309DF"/>
    <w:rsid w:val="00D50583"/>
    <w:rsid w:val="00D9643C"/>
    <w:rsid w:val="00DA4ACC"/>
    <w:rsid w:val="00DB18DF"/>
    <w:rsid w:val="00DD662D"/>
    <w:rsid w:val="00DE5040"/>
    <w:rsid w:val="00E85506"/>
    <w:rsid w:val="00EF4735"/>
    <w:rsid w:val="00F561A0"/>
    <w:rsid w:val="00F73030"/>
    <w:rsid w:val="00FC520A"/>
    <w:rsid w:val="00FD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3B8271E"/>
  <w15:chartTrackingRefBased/>
  <w15:docId w15:val="{E82B4AE7-CB6B-4E74-8CA1-A9507FAA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3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1382"/>
  </w:style>
  <w:style w:type="paragraph" w:styleId="a5">
    <w:name w:val="footer"/>
    <w:basedOn w:val="a"/>
    <w:link w:val="a6"/>
    <w:uiPriority w:val="99"/>
    <w:unhideWhenUsed/>
    <w:rsid w:val="00C613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1382"/>
  </w:style>
  <w:style w:type="paragraph" w:customStyle="1" w:styleId="MDPI13authornames">
    <w:name w:val="MDPI_1.3_authornames"/>
    <w:next w:val="a"/>
    <w:qFormat/>
    <w:rsid w:val="00206BD0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6affiliation">
    <w:name w:val="MDPI_1.6_affiliation"/>
    <w:qFormat/>
    <w:rsid w:val="00206BD0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paragraph" w:styleId="Web">
    <w:name w:val="Normal (Web)"/>
    <w:basedOn w:val="a"/>
    <w:uiPriority w:val="99"/>
    <w:semiHidden/>
    <w:unhideWhenUsed/>
    <w:rsid w:val="002128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8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RF-Okumura\Desktop\&#22885;&#26449;\Results\&#26481;&#21271;&#22823;&#23398;\20171201_HeLa_7.5kV,%205kHz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639400921658987"/>
          <c:y val="6.7713122387830421E-2"/>
          <c:w val="0.68112667901806379"/>
          <c:h val="0.72013347168813202"/>
        </c:manualLayout>
      </c:layout>
      <c:scatterChart>
        <c:scatterStyle val="lineMarker"/>
        <c:varyColors val="0"/>
        <c:ser>
          <c:idx val="1"/>
          <c:order val="0"/>
          <c:tx>
            <c:strRef>
              <c:f>stcurve_4h!$Q$4</c:f>
              <c:strCache>
                <c:ptCount val="1"/>
                <c:pt idx="0">
                  <c:v>Abs. [au]</c:v>
                </c:pt>
              </c:strCache>
            </c:strRef>
          </c:tx>
          <c:spPr>
            <a:ln w="19050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stcurve_4h!$P$5:$P$13</c:f>
              <c:numCache>
                <c:formatCode>0.0.E+00</c:formatCode>
                <c:ptCount val="9"/>
                <c:pt idx="0" formatCode="General">
                  <c:v>0</c:v>
                </c:pt>
                <c:pt idx="1">
                  <c:v>1171.875</c:v>
                </c:pt>
                <c:pt idx="2">
                  <c:v>2343.75</c:v>
                </c:pt>
                <c:pt idx="3">
                  <c:v>4687.5</c:v>
                </c:pt>
                <c:pt idx="4">
                  <c:v>9375</c:v>
                </c:pt>
                <c:pt idx="5">
                  <c:v>18750</c:v>
                </c:pt>
                <c:pt idx="6">
                  <c:v>37500</c:v>
                </c:pt>
                <c:pt idx="7">
                  <c:v>75000</c:v>
                </c:pt>
                <c:pt idx="8">
                  <c:v>150000</c:v>
                </c:pt>
              </c:numCache>
            </c:numRef>
          </c:xVal>
          <c:yVal>
            <c:numRef>
              <c:f>stcurve_4h!$Q$5:$Q$13</c:f>
              <c:numCache>
                <c:formatCode>General</c:formatCode>
                <c:ptCount val="9"/>
                <c:pt idx="0">
                  <c:v>0</c:v>
                </c:pt>
                <c:pt idx="1">
                  <c:v>1.3600000000000057E-3</c:v>
                </c:pt>
                <c:pt idx="2">
                  <c:v>8.879999999999999E-3</c:v>
                </c:pt>
                <c:pt idx="3">
                  <c:v>2.4020000000000007E-2</c:v>
                </c:pt>
                <c:pt idx="4">
                  <c:v>5.0239999999999993E-2</c:v>
                </c:pt>
                <c:pt idx="5">
                  <c:v>0.10858000000000001</c:v>
                </c:pt>
                <c:pt idx="6">
                  <c:v>0.22406000000000001</c:v>
                </c:pt>
                <c:pt idx="7">
                  <c:v>0.45845999999999998</c:v>
                </c:pt>
                <c:pt idx="8">
                  <c:v>0.94144000000000005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E2C-48D9-BFF7-C9A396FF1E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5917056"/>
        <c:axId val="85915520"/>
      </c:scatterChart>
      <c:valAx>
        <c:axId val="85917056"/>
        <c:scaling>
          <c:orientation val="minMax"/>
          <c:max val="150000"/>
        </c:scaling>
        <c:delete val="0"/>
        <c:axPos val="b"/>
        <c:title>
          <c:tx>
            <c:rich>
              <a:bodyPr/>
              <a:lstStyle/>
              <a:p>
                <a:pPr>
                  <a:defRPr b="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altLang="ja-JP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Cell concentration</a:t>
                </a:r>
                <a:r>
                  <a:rPr lang="ja-JP" altLang="en-US" b="0" baseline="0" dirty="0">
                    <a:latin typeface="Arial" panose="020B0604020202020204" pitchFamily="34" charset="0"/>
                    <a:cs typeface="Arial" panose="020B0604020202020204" pitchFamily="34" charset="0"/>
                  </a:rPr>
                  <a:t> </a:t>
                </a:r>
                <a:r>
                  <a:rPr lang="en-US" altLang="ja-JP" b="0" baseline="0" dirty="0">
                    <a:latin typeface="Arial" panose="020B0604020202020204" pitchFamily="34" charset="0"/>
                    <a:cs typeface="Arial" panose="020B0604020202020204" pitchFamily="34" charset="0"/>
                  </a:rPr>
                  <a:t>[/mL]</a:t>
                </a:r>
              </a:p>
            </c:rich>
          </c:tx>
          <c:layout>
            <c:manualLayout>
              <c:xMode val="edge"/>
              <c:yMode val="edge"/>
              <c:x val="0.31312007265830488"/>
              <c:y val="0.89917902450444953"/>
            </c:manualLayout>
          </c:layout>
          <c:overlay val="0"/>
        </c:title>
        <c:numFmt formatCode="0.0E+00" sourceLinked="0"/>
        <c:majorTickMark val="in"/>
        <c:minorTickMark val="none"/>
        <c:tickLblPos val="nextTo"/>
        <c:spPr>
          <a:ln w="6350">
            <a:solidFill>
              <a:schemeClr val="tx1"/>
            </a:solidFill>
          </a:ln>
        </c:spPr>
        <c:txPr>
          <a:bodyPr/>
          <a:lstStyle/>
          <a:p>
            <a:pPr>
              <a:defRPr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ja-JP"/>
          </a:p>
        </c:txPr>
        <c:crossAx val="85915520"/>
        <c:crosses val="autoZero"/>
        <c:crossBetween val="midCat"/>
      </c:valAx>
      <c:valAx>
        <c:axId val="85915520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b="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altLang="ja-JP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Abs.</a:t>
                </a:r>
                <a:r>
                  <a:rPr lang="en-US" altLang="ja-JP" b="0" baseline="0" dirty="0">
                    <a:latin typeface="Arial" panose="020B0604020202020204" pitchFamily="34" charset="0"/>
                    <a:cs typeface="Arial" panose="020B0604020202020204" pitchFamily="34" charset="0"/>
                  </a:rPr>
                  <a:t> [au]</a:t>
                </a:r>
                <a:endParaRPr lang="en-US" altLang="ja-JP" b="0" dirty="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1.7277955307196374E-2"/>
              <c:y val="0.35575580188759365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6350">
            <a:solidFill>
              <a:schemeClr val="tx1"/>
            </a:solidFill>
          </a:ln>
        </c:spPr>
        <c:txPr>
          <a:bodyPr/>
          <a:lstStyle/>
          <a:p>
            <a:pPr>
              <a:defRPr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ja-JP"/>
          </a:p>
        </c:txPr>
        <c:crossAx val="85917056"/>
        <c:crosses val="autoZero"/>
        <c:crossBetween val="midCat"/>
      </c:valAx>
      <c:spPr>
        <a:ln w="6350">
          <a:solidFill>
            <a:schemeClr val="tx1"/>
          </a:solidFill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6880F-EB29-4A0E-9362-2B956383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OKUMURA Tak</dc:creator>
  <cp:keywords/>
  <dc:description/>
  <cp:lastModifiedBy>OKUMURA Tak</cp:lastModifiedBy>
  <cp:revision>42</cp:revision>
  <dcterms:created xsi:type="dcterms:W3CDTF">2022-03-31T16:14:00Z</dcterms:created>
  <dcterms:modified xsi:type="dcterms:W3CDTF">2023-04-14T05:38:00Z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http://www.zotero.org/styles/acs-biomaterials-science-and-engineering</vt:lpwstr>
  </property>
  <property fmtid="{D5CDD505-2E9C-101B-9397-08002B2CF9AE}" pid="3" name="Mendeley Recent Style Name 0_1">
    <vt:lpwstr>ACS Biomaterials Science &amp; Engineering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http://www.zotero.org/styles/magnetochemistry</vt:lpwstr>
  </property>
  <property fmtid="{D5CDD505-2E9C-101B-9397-08002B2CF9AE}" pid="13" name="Mendeley Recent Style Name 5_1">
    <vt:lpwstr>Magnetochemistry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http://www.zotero.org/styles/the-institute-of-electronics-information-and-communication-engineers</vt:lpwstr>
  </property>
  <property fmtid="{D5CDD505-2E9C-101B-9397-08002B2CF9AE}" pid="21" name="Mendeley Recent Style Name 9_1">
    <vt:lpwstr>The Institute of Electronics, Information and Communication Engineers (電子情報通信学会)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fce85712-6a64-3953-8ca1-198ac56b04d2</vt:lpwstr>
  </property>
  <property fmtid="{D5CDD505-2E9C-101B-9397-08002B2CF9AE}" pid="24" name="Mendeley Citation Style_1">
    <vt:lpwstr>http://www.zotero.org/styles/nature</vt:lpwstr>
  </property>
</Properties>
</file>