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52108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Supplementary Figure 1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 Survival analysis of clinical factors associated with prognosis of TMZ treatment. </w:t>
      </w:r>
    </w:p>
    <w:p>
      <w:pPr>
        <w:widowControl/>
        <w:jc w:val="left"/>
      </w:pPr>
      <w:r>
        <w:br w:type="page"/>
      </w:r>
    </w:p>
    <w:p>
      <w:r>
        <w:drawing>
          <wp:inline distT="0" distB="0" distL="0" distR="0">
            <wp:extent cx="5274310" cy="241173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Supplementary Figure 2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 Network module analysis for risk genes. Different colors represent different modules. </w:t>
      </w:r>
    </w:p>
    <w:p>
      <w:pPr>
        <w:widowControl/>
        <w:jc w:val="left"/>
      </w:pPr>
      <w:r>
        <w:br w:type="page"/>
      </w:r>
    </w:p>
    <w:p>
      <w:pPr>
        <w:widowControl/>
        <w:jc w:val="left"/>
      </w:pPr>
      <w:r>
        <w:drawing>
          <wp:inline distT="0" distB="0" distL="0" distR="0">
            <wp:extent cx="5274310" cy="37547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Supplementary Figure 3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 The relation between genes in the model and immune score and percentage of immune cell infiltration from the CIBERSORT method. </w:t>
      </w:r>
    </w:p>
    <w:p>
      <w:pPr>
        <w:widowControl/>
        <w:jc w:val="left"/>
      </w:pPr>
      <w:r>
        <w:br w:type="page"/>
      </w:r>
    </w:p>
    <w:p>
      <w:r>
        <w:drawing>
          <wp:inline distT="0" distB="0" distL="0" distR="0">
            <wp:extent cx="5257165" cy="322326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rcRect l="319"/>
                    <a:stretch>
                      <a:fillRect/>
                    </a:stretch>
                  </pic:blipFill>
                  <pic:spPr>
                    <a:xfrm>
                      <a:off x="0" y="0"/>
                      <a:ext cx="5257480" cy="3223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Supplementary Figure 4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Differences in immune cell infiltration </w:t>
      </w:r>
      <w:r>
        <w:rPr>
          <w:rFonts w:ascii="Times New Roman" w:hAnsi="Times New Roman" w:eastAsia="宋体" w:cs="Times New Roman"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from the CIBERSORT method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between high and low-risk groups. Red represents the high-risk score group and blue represents the low-risk score group. </w:t>
      </w:r>
    </w:p>
    <w:p>
      <w:pPr>
        <w:widowControl/>
        <w:jc w:val="left"/>
      </w:pPr>
      <w: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zMDY2MzAzNDQxMTZR0lEKTi0uzszPAykwqgUAwDhbdiwAAAA="/>
    <w:docVar w:name="KSO_WPS_MARK_KEY" w:val="cc305af8-c2a1-46a2-b296-0b0949319361"/>
  </w:docVars>
  <w:rsids>
    <w:rsidRoot w:val="00286DF2"/>
    <w:rsid w:val="00061FEB"/>
    <w:rsid w:val="00143062"/>
    <w:rsid w:val="001B5802"/>
    <w:rsid w:val="001C300D"/>
    <w:rsid w:val="001F1B96"/>
    <w:rsid w:val="001F7FD5"/>
    <w:rsid w:val="0023183E"/>
    <w:rsid w:val="00286DF2"/>
    <w:rsid w:val="007E5386"/>
    <w:rsid w:val="009031E1"/>
    <w:rsid w:val="009A02F3"/>
    <w:rsid w:val="00A52943"/>
    <w:rsid w:val="00BC59B3"/>
    <w:rsid w:val="00C5135D"/>
    <w:rsid w:val="00CC605E"/>
    <w:rsid w:val="0B1D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</Words>
  <Characters>497</Characters>
  <Lines>4</Lines>
  <Paragraphs>1</Paragraphs>
  <TotalTime>22</TotalTime>
  <ScaleCrop>false</ScaleCrop>
  <LinksUpToDate>false</LinksUpToDate>
  <CharactersWithSpaces>579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2022-12-27T08:29:00Z</dcterms:created>
  <dc:creator>江 泽东</dc:creator>
  <cp:lastModifiedBy>美士为彦尔</cp:lastModifiedBy>
  <dcterms:modified xsi:type="dcterms:W3CDTF">2023-02-27T06:38:00Z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CE3D4F8FF0DA4BA3B46A8D174DDCB9E7</vt:lpwstr>
  </property>
</Properties>
</file>