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32F5C" w14:textId="77777777" w:rsidR="00FF00FF" w:rsidRDefault="00FF00FF" w:rsidP="00FF00FF">
      <w:pPr>
        <w:widowControl/>
        <w:jc w:val="left"/>
        <w:rPr>
          <w:rFonts w:ascii="Times New Roman" w:hAnsi="Times New Roman"/>
          <w:color w:val="333333"/>
        </w:rPr>
      </w:pPr>
      <w:r>
        <w:rPr>
          <w:rFonts w:ascii="Times New Roman" w:hAnsi="Times New Roman"/>
          <w:b/>
          <w:bCs/>
          <w:spacing w:val="12"/>
          <w:sz w:val="24"/>
          <w:szCs w:val="32"/>
        </w:rPr>
        <w:t>Table</w:t>
      </w:r>
      <w:r>
        <w:rPr>
          <w:rFonts w:ascii="Times New Roman" w:hAnsi="Times New Roman" w:hint="eastAsia"/>
          <w:b/>
          <w:bCs/>
          <w:spacing w:val="12"/>
          <w:sz w:val="24"/>
          <w:szCs w:val="32"/>
        </w:rPr>
        <w:t>1</w:t>
      </w:r>
      <w:r>
        <w:rPr>
          <w:rFonts w:ascii="Times New Roman" w:hAnsi="Times New Roman"/>
          <w:spacing w:val="12"/>
          <w:sz w:val="24"/>
          <w:szCs w:val="32"/>
        </w:rPr>
        <w:t xml:space="preserve"> </w:t>
      </w:r>
      <w:r>
        <w:rPr>
          <w:rFonts w:ascii="Times New Roman" w:hAnsi="Times New Roman" w:hint="eastAsia"/>
          <w:spacing w:val="12"/>
          <w:sz w:val="24"/>
          <w:szCs w:val="32"/>
        </w:rPr>
        <w:t>D</w:t>
      </w:r>
      <w:r>
        <w:rPr>
          <w:rFonts w:ascii="Times New Roman" w:hAnsi="Times New Roman"/>
          <w:spacing w:val="12"/>
          <w:sz w:val="24"/>
          <w:szCs w:val="32"/>
        </w:rPr>
        <w:t xml:space="preserve">emographical characteristics </w:t>
      </w:r>
      <w:r>
        <w:rPr>
          <w:rFonts w:ascii="Times New Roman" w:hAnsi="Times New Roman" w:hint="eastAsia"/>
          <w:spacing w:val="12"/>
          <w:sz w:val="24"/>
          <w:szCs w:val="32"/>
        </w:rPr>
        <w:t xml:space="preserve">data </w:t>
      </w:r>
      <w:r>
        <w:rPr>
          <w:rFonts w:ascii="Times New Roman" w:hAnsi="Times New Roman"/>
          <w:spacing w:val="12"/>
          <w:sz w:val="24"/>
          <w:szCs w:val="32"/>
        </w:rPr>
        <w:t>of the patients</w:t>
      </w:r>
    </w:p>
    <w:tbl>
      <w:tblPr>
        <w:tblW w:w="991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1"/>
        <w:gridCol w:w="2706"/>
        <w:gridCol w:w="3480"/>
        <w:gridCol w:w="1009"/>
      </w:tblGrid>
      <w:tr w:rsidR="00FF00FF" w14:paraId="75A00976" w14:textId="77777777" w:rsidTr="00012CF6">
        <w:trPr>
          <w:trHeight w:val="511"/>
        </w:trPr>
        <w:tc>
          <w:tcPr>
            <w:tcW w:w="2721" w:type="dxa"/>
            <w:tcBorders>
              <w:bottom w:val="single" w:sz="4" w:space="0" w:color="auto"/>
            </w:tcBorders>
          </w:tcPr>
          <w:p w14:paraId="75BCC10C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 xml:space="preserve"> variable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6546E763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the supine </w:t>
            </w:r>
            <w:r>
              <w:rPr>
                <w:rFonts w:ascii="Times New Roman" w:hAnsi="Times New Roman" w:hint="eastAsia"/>
                <w:color w:val="333333"/>
                <w:shd w:val="clear" w:color="auto" w:fill="FFFFFF"/>
              </w:rPr>
              <w:t>position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group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6C27AEE2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hint="eastAsia"/>
                <w:color w:val="333333"/>
                <w:shd w:val="clear" w:color="auto" w:fill="FFFFFF"/>
              </w:rPr>
              <w:t>prone split-leg position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group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14:paraId="496CFFD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FF00FF" w14:paraId="02C39FFE" w14:textId="77777777" w:rsidTr="00012CF6">
        <w:trPr>
          <w:trHeight w:val="357"/>
        </w:trPr>
        <w:tc>
          <w:tcPr>
            <w:tcW w:w="2721" w:type="dxa"/>
            <w:tcBorders>
              <w:top w:val="single" w:sz="4" w:space="0" w:color="auto"/>
            </w:tcBorders>
          </w:tcPr>
          <w:p w14:paraId="1797E7B6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Age(year)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14:paraId="39A0DDB3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32.27</w:t>
            </w:r>
            <w:r>
              <w:rPr>
                <w:rFonts w:ascii="Times New Roman" w:hAnsi="Times New Roman" w:hint="eastAsia"/>
              </w:rPr>
              <w:t>±</w:t>
            </w:r>
            <w:r>
              <w:rPr>
                <w:rFonts w:ascii="Times New Roman" w:hAnsi="Times New Roman" w:hint="eastAsia"/>
              </w:rPr>
              <w:t>6.997</w:t>
            </w: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6B65F8C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30.40</w:t>
            </w:r>
            <w:r>
              <w:rPr>
                <w:rFonts w:ascii="Times New Roman" w:hAnsi="Times New Roman" w:hint="eastAsia"/>
              </w:rPr>
              <w:t>±</w:t>
            </w:r>
            <w:r>
              <w:rPr>
                <w:rFonts w:ascii="Times New Roman" w:hAnsi="Times New Roman" w:hint="eastAsia"/>
              </w:rPr>
              <w:t>6.044</w:t>
            </w:r>
          </w:p>
        </w:tc>
        <w:tc>
          <w:tcPr>
            <w:tcW w:w="1009" w:type="dxa"/>
            <w:tcBorders>
              <w:top w:val="single" w:sz="4" w:space="0" w:color="auto"/>
            </w:tcBorders>
          </w:tcPr>
          <w:p w14:paraId="42063247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273</w:t>
            </w:r>
          </w:p>
        </w:tc>
      </w:tr>
      <w:tr w:rsidR="00FF00FF" w14:paraId="136771F6" w14:textId="77777777" w:rsidTr="00012CF6">
        <w:trPr>
          <w:trHeight w:val="335"/>
        </w:trPr>
        <w:tc>
          <w:tcPr>
            <w:tcW w:w="2721" w:type="dxa"/>
          </w:tcPr>
          <w:p w14:paraId="25DD90B7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BMI(kg/m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706" w:type="dxa"/>
          </w:tcPr>
          <w:p w14:paraId="4005943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39.88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5.480</w:t>
            </w:r>
          </w:p>
        </w:tc>
        <w:tc>
          <w:tcPr>
            <w:tcW w:w="3480" w:type="dxa"/>
          </w:tcPr>
          <w:p w14:paraId="31143416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39.90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48352</w:t>
            </w:r>
          </w:p>
        </w:tc>
        <w:tc>
          <w:tcPr>
            <w:tcW w:w="1009" w:type="dxa"/>
          </w:tcPr>
          <w:p w14:paraId="6F1F009D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986</w:t>
            </w:r>
          </w:p>
        </w:tc>
      </w:tr>
      <w:tr w:rsidR="00FF00FF" w14:paraId="7C9C0AB6" w14:textId="77777777" w:rsidTr="00012CF6">
        <w:trPr>
          <w:trHeight w:val="428"/>
        </w:trPr>
        <w:tc>
          <w:tcPr>
            <w:tcW w:w="2721" w:type="dxa"/>
          </w:tcPr>
          <w:p w14:paraId="028BA5A4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ex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female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706" w:type="dxa"/>
          </w:tcPr>
          <w:p w14:paraId="425E2BB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24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>0%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3480" w:type="dxa"/>
          </w:tcPr>
          <w:p w14:paraId="31BEF81A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28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 w:hint="eastAsia"/>
              </w:rPr>
              <w:t>93</w:t>
            </w:r>
            <w:r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009" w:type="dxa"/>
          </w:tcPr>
          <w:p w14:paraId="0640BCEA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0.490</w:t>
            </w:r>
          </w:p>
        </w:tc>
      </w:tr>
      <w:tr w:rsidR="00FF00FF" w14:paraId="42C47835" w14:textId="77777777" w:rsidTr="00012CF6">
        <w:trPr>
          <w:trHeight w:val="274"/>
        </w:trPr>
        <w:tc>
          <w:tcPr>
            <w:tcW w:w="2721" w:type="dxa"/>
          </w:tcPr>
          <w:p w14:paraId="0953E0AE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Smoking</w:t>
            </w:r>
          </w:p>
        </w:tc>
        <w:tc>
          <w:tcPr>
            <w:tcW w:w="2706" w:type="dxa"/>
          </w:tcPr>
          <w:p w14:paraId="71DF30B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12</w:t>
            </w:r>
          </w:p>
        </w:tc>
        <w:tc>
          <w:tcPr>
            <w:tcW w:w="3480" w:type="dxa"/>
          </w:tcPr>
          <w:p w14:paraId="1A5D2E48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9" w:type="dxa"/>
          </w:tcPr>
          <w:p w14:paraId="03C54A6A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0.00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FF00FF" w14:paraId="57D6E205" w14:textId="77777777" w:rsidTr="00012CF6">
        <w:trPr>
          <w:trHeight w:val="335"/>
        </w:trPr>
        <w:tc>
          <w:tcPr>
            <w:tcW w:w="2721" w:type="dxa"/>
          </w:tcPr>
          <w:p w14:paraId="06446FD6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ystolic pressure(mmHg)</w:t>
            </w:r>
          </w:p>
        </w:tc>
        <w:tc>
          <w:tcPr>
            <w:tcW w:w="2706" w:type="dxa"/>
          </w:tcPr>
          <w:p w14:paraId="0A830B6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141.1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16.902</w:t>
            </w:r>
          </w:p>
        </w:tc>
        <w:tc>
          <w:tcPr>
            <w:tcW w:w="3480" w:type="dxa"/>
          </w:tcPr>
          <w:p w14:paraId="6059642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13</w:t>
            </w:r>
            <w:r>
              <w:rPr>
                <w:rFonts w:ascii="Times New Roman" w:hAnsi="Times New Roman" w:hint="eastAsia"/>
              </w:rPr>
              <w:t>1.77</w:t>
            </w:r>
            <w:r>
              <w:rPr>
                <w:rFonts w:ascii="Times New Roman" w:hAnsi="Times New Roman"/>
              </w:rPr>
              <w:t>±1</w:t>
            </w:r>
            <w:r>
              <w:rPr>
                <w:rFonts w:ascii="Times New Roman" w:hAnsi="Times New Roman" w:hint="eastAsia"/>
              </w:rPr>
              <w:t>7.108</w:t>
            </w:r>
          </w:p>
        </w:tc>
        <w:tc>
          <w:tcPr>
            <w:tcW w:w="1009" w:type="dxa"/>
          </w:tcPr>
          <w:p w14:paraId="60632D8A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0.0</w:t>
            </w:r>
            <w:r>
              <w:rPr>
                <w:rFonts w:ascii="Times New Roman" w:hAnsi="Times New Roman" w:hint="eastAsia"/>
              </w:rPr>
              <w:t>38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FF00FF" w14:paraId="1456C038" w14:textId="77777777" w:rsidTr="00012CF6">
        <w:trPr>
          <w:trHeight w:val="335"/>
        </w:trPr>
        <w:tc>
          <w:tcPr>
            <w:tcW w:w="2721" w:type="dxa"/>
          </w:tcPr>
          <w:p w14:paraId="69A9C051" w14:textId="77777777" w:rsidR="00FF00FF" w:rsidRDefault="00FF00FF" w:rsidP="00012CF6">
            <w:pPr>
              <w:pStyle w:val="NormalWeb"/>
              <w:widowControl/>
              <w:spacing w:line="368" w:lineRule="atLeast"/>
              <w:jc w:val="lef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 xml:space="preserve">iastolic pressure </w:t>
            </w: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/>
              </w:rPr>
              <w:t>mmHg)</w:t>
            </w:r>
          </w:p>
        </w:tc>
        <w:tc>
          <w:tcPr>
            <w:tcW w:w="2706" w:type="dxa"/>
          </w:tcPr>
          <w:p w14:paraId="3043CFD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93.77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13.180</w:t>
            </w:r>
          </w:p>
        </w:tc>
        <w:tc>
          <w:tcPr>
            <w:tcW w:w="3480" w:type="dxa"/>
          </w:tcPr>
          <w:p w14:paraId="34898B4E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 w:hint="eastAsia"/>
              </w:rPr>
              <w:t>8.93</w:t>
            </w:r>
            <w:r>
              <w:rPr>
                <w:rFonts w:ascii="Times New Roman" w:hAnsi="Times New Roman"/>
              </w:rPr>
              <w:t>±1</w:t>
            </w:r>
            <w:r>
              <w:rPr>
                <w:rFonts w:ascii="Times New Roman" w:hAnsi="Times New Roman" w:hint="eastAsia"/>
              </w:rPr>
              <w:t>2.199</w:t>
            </w:r>
          </w:p>
        </w:tc>
        <w:tc>
          <w:tcPr>
            <w:tcW w:w="1009" w:type="dxa"/>
          </w:tcPr>
          <w:p w14:paraId="1BB1F027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146</w:t>
            </w:r>
          </w:p>
        </w:tc>
      </w:tr>
      <w:tr w:rsidR="00FF00FF" w14:paraId="12F8CA0E" w14:textId="77777777" w:rsidTr="00012CF6">
        <w:trPr>
          <w:trHeight w:val="335"/>
        </w:trPr>
        <w:tc>
          <w:tcPr>
            <w:tcW w:w="2721" w:type="dxa"/>
          </w:tcPr>
          <w:p w14:paraId="5F18D2B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/>
              </w:rPr>
              <w:t>lood uric acid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umol/L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706" w:type="dxa"/>
          </w:tcPr>
          <w:p w14:paraId="5658EDC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 w:hint="eastAsia"/>
              </w:rPr>
              <w:t>2.03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76.288</w:t>
            </w:r>
          </w:p>
        </w:tc>
        <w:tc>
          <w:tcPr>
            <w:tcW w:w="3480" w:type="dxa"/>
          </w:tcPr>
          <w:p w14:paraId="2CA5EA3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398.87</w:t>
            </w:r>
            <w:r>
              <w:rPr>
                <w:rFonts w:ascii="Times New Roman" w:hAnsi="Times New Roman"/>
              </w:rPr>
              <w:t>±1</w:t>
            </w:r>
            <w:r>
              <w:rPr>
                <w:rFonts w:ascii="Times New Roman" w:hAnsi="Times New Roman" w:hint="eastAsia"/>
              </w:rPr>
              <w:t>23.196</w:t>
            </w:r>
          </w:p>
        </w:tc>
        <w:tc>
          <w:tcPr>
            <w:tcW w:w="1009" w:type="dxa"/>
          </w:tcPr>
          <w:p w14:paraId="741634E9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215</w:t>
            </w:r>
          </w:p>
        </w:tc>
      </w:tr>
      <w:tr w:rsidR="00FF00FF" w14:paraId="1FB8A0E9" w14:textId="77777777" w:rsidTr="00012CF6">
        <w:trPr>
          <w:trHeight w:val="335"/>
        </w:trPr>
        <w:tc>
          <w:tcPr>
            <w:tcW w:w="2721" w:type="dxa"/>
          </w:tcPr>
          <w:p w14:paraId="6D6C34DA" w14:textId="77777777" w:rsidR="00FF00FF" w:rsidRDefault="00FF00FF" w:rsidP="00012CF6">
            <w:pPr>
              <w:pStyle w:val="NormalWeb"/>
              <w:widowControl/>
              <w:spacing w:line="368" w:lineRule="atLeast"/>
              <w:jc w:val="lef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F</w:t>
            </w:r>
            <w:r>
              <w:rPr>
                <w:rFonts w:ascii="Times New Roman" w:hAnsi="Times New Roman"/>
              </w:rPr>
              <w:t xml:space="preserve">asting blood-glucose </w:t>
            </w:r>
            <w:r>
              <w:rPr>
                <w:rFonts w:ascii="Times New Roman" w:hAnsi="Times New Roman"/>
              </w:rPr>
              <w:t>（</w:t>
            </w:r>
            <w:r>
              <w:rPr>
                <w:rFonts w:ascii="Times New Roman" w:hAnsi="Times New Roman"/>
              </w:rPr>
              <w:t>mmol/L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2706" w:type="dxa"/>
          </w:tcPr>
          <w:p w14:paraId="6B34911E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 w:hint="eastAsia"/>
              </w:rPr>
              <w:t>25</w:t>
            </w:r>
            <w:r>
              <w:rPr>
                <w:rFonts w:ascii="Times New Roman" w:hAnsi="Times New Roman"/>
              </w:rPr>
              <w:t>±2.</w:t>
            </w:r>
            <w:r>
              <w:rPr>
                <w:rFonts w:ascii="Times New Roman" w:hAnsi="Times New Roman" w:hint="eastAsia"/>
              </w:rPr>
              <w:t>310</w:t>
            </w:r>
          </w:p>
        </w:tc>
        <w:tc>
          <w:tcPr>
            <w:tcW w:w="3480" w:type="dxa"/>
          </w:tcPr>
          <w:p w14:paraId="5AB02AE7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 w:hint="eastAsia"/>
              </w:rPr>
              <w:t>53</w:t>
            </w:r>
            <w:r>
              <w:rPr>
                <w:rFonts w:ascii="Times New Roman" w:hAnsi="Times New Roman"/>
              </w:rPr>
              <w:t>±1.7</w:t>
            </w:r>
            <w:r>
              <w:rPr>
                <w:rFonts w:ascii="Times New Roman" w:hAnsi="Times New Roman" w:hint="eastAsia"/>
              </w:rPr>
              <w:t>68</w:t>
            </w:r>
          </w:p>
        </w:tc>
        <w:tc>
          <w:tcPr>
            <w:tcW w:w="1009" w:type="dxa"/>
          </w:tcPr>
          <w:p w14:paraId="336AB543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182</w:t>
            </w:r>
          </w:p>
        </w:tc>
      </w:tr>
      <w:tr w:rsidR="00FF00FF" w14:paraId="2919C2ED" w14:textId="77777777" w:rsidTr="00012CF6">
        <w:trPr>
          <w:trHeight w:val="335"/>
        </w:trPr>
        <w:tc>
          <w:tcPr>
            <w:tcW w:w="2721" w:type="dxa"/>
          </w:tcPr>
          <w:p w14:paraId="0901CEC2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ALT(U/L)</w:t>
            </w:r>
          </w:p>
        </w:tc>
        <w:tc>
          <w:tcPr>
            <w:tcW w:w="2706" w:type="dxa"/>
          </w:tcPr>
          <w:p w14:paraId="2565A03A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58.56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57.749</w:t>
            </w:r>
          </w:p>
        </w:tc>
        <w:tc>
          <w:tcPr>
            <w:tcW w:w="3480" w:type="dxa"/>
          </w:tcPr>
          <w:p w14:paraId="46C089F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43.29</w:t>
            </w:r>
            <w:r>
              <w:rPr>
                <w:rFonts w:ascii="Times New Roman" w:hAnsi="Times New Roman"/>
              </w:rPr>
              <w:t>±4</w:t>
            </w:r>
            <w:r>
              <w:rPr>
                <w:rFonts w:ascii="Times New Roman" w:hAnsi="Times New Roman" w:hint="eastAsia"/>
              </w:rPr>
              <w:t>5.966</w:t>
            </w:r>
          </w:p>
        </w:tc>
        <w:tc>
          <w:tcPr>
            <w:tcW w:w="1009" w:type="dxa"/>
          </w:tcPr>
          <w:p w14:paraId="6378B738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262</w:t>
            </w:r>
          </w:p>
        </w:tc>
      </w:tr>
      <w:tr w:rsidR="00FF00FF" w14:paraId="5F0AE35A" w14:textId="77777777" w:rsidTr="00012CF6">
        <w:trPr>
          <w:trHeight w:val="335"/>
        </w:trPr>
        <w:tc>
          <w:tcPr>
            <w:tcW w:w="2721" w:type="dxa"/>
          </w:tcPr>
          <w:p w14:paraId="5C57C0EF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AST(U/L)</w:t>
            </w:r>
          </w:p>
        </w:tc>
        <w:tc>
          <w:tcPr>
            <w:tcW w:w="2706" w:type="dxa"/>
          </w:tcPr>
          <w:p w14:paraId="2D916B90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 w:hint="eastAsia"/>
              </w:rPr>
              <w:t>35.23</w:t>
            </w:r>
            <w:r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 w:hint="eastAsia"/>
              </w:rPr>
              <w:t>23.251</w:t>
            </w:r>
          </w:p>
        </w:tc>
        <w:tc>
          <w:tcPr>
            <w:tcW w:w="3480" w:type="dxa"/>
          </w:tcPr>
          <w:p w14:paraId="3ED84BE1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29.</w:t>
            </w:r>
            <w:r>
              <w:rPr>
                <w:rFonts w:ascii="Times New Roman" w:hAnsi="Times New Roman" w:hint="eastAsia"/>
              </w:rPr>
              <w:t>60</w:t>
            </w:r>
            <w:r>
              <w:rPr>
                <w:rFonts w:ascii="Times New Roman" w:hAnsi="Times New Roman"/>
              </w:rPr>
              <w:t>±27.</w:t>
            </w:r>
            <w:r>
              <w:rPr>
                <w:rFonts w:ascii="Times New Roman" w:hAnsi="Times New Roman" w:hint="eastAsia"/>
              </w:rPr>
              <w:t>836</w:t>
            </w:r>
          </w:p>
        </w:tc>
        <w:tc>
          <w:tcPr>
            <w:tcW w:w="1009" w:type="dxa"/>
          </w:tcPr>
          <w:p w14:paraId="0AE3C50B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  <w:spacing w:val="12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398</w:t>
            </w:r>
          </w:p>
        </w:tc>
      </w:tr>
    </w:tbl>
    <w:p w14:paraId="3FC0E1EA" w14:textId="77777777" w:rsidR="00FF00FF" w:rsidRDefault="00FF00FF" w:rsidP="00FF00FF">
      <w:pPr>
        <w:pStyle w:val="NormalWeb"/>
        <w:widowControl/>
        <w:spacing w:line="368" w:lineRule="atLeas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Note</w:t>
      </w:r>
      <w:r>
        <w:rPr>
          <w:rFonts w:ascii="Times New Roman" w:hAnsi="Times New Roman"/>
          <w:sz w:val="21"/>
          <w:szCs w:val="21"/>
        </w:rPr>
        <w:t>：</w:t>
      </w:r>
      <w:r>
        <w:rPr>
          <w:rFonts w:ascii="Times New Roman" w:hAnsi="Times New Roman"/>
          <w:sz w:val="21"/>
          <w:szCs w:val="21"/>
        </w:rPr>
        <w:t>Mean ±SD was for continuous variables. The percentage</w:t>
      </w:r>
      <w:r>
        <w:rPr>
          <w:rFonts w:ascii="Times New Roman" w:hAnsi="Times New Roman"/>
          <w:sz w:val="21"/>
          <w:szCs w:val="21"/>
        </w:rPr>
        <w:t>（</w:t>
      </w:r>
      <w:r>
        <w:rPr>
          <w:rFonts w:ascii="Times New Roman" w:hAnsi="Times New Roman"/>
          <w:sz w:val="21"/>
          <w:szCs w:val="21"/>
        </w:rPr>
        <w:t>95% confidence interval</w:t>
      </w:r>
      <w:r>
        <w:rPr>
          <w:rFonts w:ascii="Times New Roman" w:hAnsi="Times New Roman"/>
          <w:sz w:val="21"/>
          <w:szCs w:val="21"/>
        </w:rPr>
        <w:t>）</w:t>
      </w:r>
      <w:r>
        <w:rPr>
          <w:rFonts w:ascii="Times New Roman" w:hAnsi="Times New Roman"/>
          <w:sz w:val="21"/>
          <w:szCs w:val="21"/>
        </w:rPr>
        <w:t xml:space="preserve">was for categorical variables.*  </w:t>
      </w:r>
      <w:r>
        <w:rPr>
          <w:rFonts w:ascii="Times New Roman" w:hAnsi="Times New Roman"/>
          <w:i/>
          <w:iCs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＜</w:t>
      </w:r>
      <w:r>
        <w:rPr>
          <w:rFonts w:ascii="Times New Roman" w:hAnsi="Times New Roman"/>
          <w:sz w:val="21"/>
          <w:szCs w:val="21"/>
        </w:rPr>
        <w:t>0.05.</w:t>
      </w:r>
    </w:p>
    <w:p w14:paraId="65A7AF43" w14:textId="77777777" w:rsidR="00FF00FF" w:rsidRDefault="00FF00FF" w:rsidP="00FF00FF">
      <w:pPr>
        <w:pStyle w:val="NormalWeb"/>
        <w:widowControl/>
        <w:spacing w:line="368" w:lineRule="atLeas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Abbreviations</w:t>
      </w:r>
      <w:r>
        <w:rPr>
          <w:rFonts w:ascii="Times New Roman" w:hAnsi="Times New Roman"/>
          <w:sz w:val="21"/>
          <w:szCs w:val="21"/>
        </w:rPr>
        <w:t>：</w:t>
      </w:r>
      <w:r>
        <w:rPr>
          <w:rFonts w:ascii="Times New Roman" w:hAnsi="Times New Roman"/>
          <w:sz w:val="21"/>
          <w:szCs w:val="21"/>
        </w:rPr>
        <w:t>BMI</w:t>
      </w:r>
      <w:r>
        <w:rPr>
          <w:rFonts w:ascii="Times New Roman" w:hAnsi="Times New Roman" w:hint="eastAsia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>body mass index. ALT</w:t>
      </w:r>
      <w:r>
        <w:rPr>
          <w:rFonts w:ascii="Times New Roman" w:hAnsi="Times New Roman" w:hint="eastAsia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>alanine aminotransferase; AST, aspartate aminotransferase.</w:t>
      </w:r>
    </w:p>
    <w:p w14:paraId="6CFB94B3" w14:textId="77777777" w:rsidR="00FF00FF" w:rsidRDefault="00FF00FF" w:rsidP="00FF00FF"/>
    <w:p w14:paraId="0A847E6F" w14:textId="77777777" w:rsidR="00FF00FF" w:rsidRDefault="00FF00FF" w:rsidP="00FF00FF">
      <w:pPr>
        <w:widowControl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</w:t>
      </w:r>
      <w:r>
        <w:rPr>
          <w:rFonts w:ascii="Times New Roman" w:hAnsi="Times New Roman" w:hint="eastAsia"/>
          <w:b/>
          <w:bCs/>
          <w:sz w:val="24"/>
        </w:rPr>
        <w:t xml:space="preserve"> 2 </w:t>
      </w:r>
      <w:r>
        <w:rPr>
          <w:rFonts w:ascii="Times New Roman" w:hAnsi="Times New Roman"/>
          <w:sz w:val="24"/>
        </w:rPr>
        <w:t>Clinical data of the patients</w:t>
      </w:r>
    </w:p>
    <w:tbl>
      <w:tblPr>
        <w:tblW w:w="960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1"/>
        <w:gridCol w:w="2365"/>
        <w:gridCol w:w="2931"/>
        <w:gridCol w:w="990"/>
      </w:tblGrid>
      <w:tr w:rsidR="00FF00FF" w14:paraId="220CC899" w14:textId="77777777" w:rsidTr="00012CF6">
        <w:trPr>
          <w:trHeight w:val="292"/>
        </w:trPr>
        <w:tc>
          <w:tcPr>
            <w:tcW w:w="3321" w:type="dxa"/>
          </w:tcPr>
          <w:p w14:paraId="17F30EEA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variable</w:t>
            </w:r>
          </w:p>
        </w:tc>
        <w:tc>
          <w:tcPr>
            <w:tcW w:w="2365" w:type="dxa"/>
          </w:tcPr>
          <w:p w14:paraId="628FEF6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the supine </w:t>
            </w:r>
            <w:r>
              <w:rPr>
                <w:rFonts w:ascii="Times New Roman" w:hAnsi="Times New Roman" w:hint="eastAsia"/>
                <w:color w:val="333333"/>
                <w:sz w:val="24"/>
                <w:shd w:val="clear" w:color="auto" w:fill="FFFFFF"/>
              </w:rPr>
              <w:t>position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group</w:t>
            </w:r>
          </w:p>
        </w:tc>
        <w:tc>
          <w:tcPr>
            <w:tcW w:w="2931" w:type="dxa"/>
          </w:tcPr>
          <w:p w14:paraId="46DF94A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hint="eastAsia"/>
                <w:color w:val="333333"/>
                <w:sz w:val="24"/>
                <w:shd w:val="clear" w:color="auto" w:fill="FFFFFF"/>
              </w:rPr>
              <w:t>prone split-leg position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group</w:t>
            </w:r>
          </w:p>
        </w:tc>
        <w:tc>
          <w:tcPr>
            <w:tcW w:w="990" w:type="dxa"/>
          </w:tcPr>
          <w:p w14:paraId="0A560BBB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FF00FF" w14:paraId="51363E01" w14:textId="77777777" w:rsidTr="00012CF6">
        <w:tc>
          <w:tcPr>
            <w:tcW w:w="3321" w:type="dxa"/>
            <w:tcBorders>
              <w:bottom w:val="nil"/>
            </w:tcBorders>
          </w:tcPr>
          <w:p w14:paraId="5F7849E1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Preparation time before surgery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min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2365" w:type="dxa"/>
            <w:tcBorders>
              <w:bottom w:val="nil"/>
            </w:tcBorders>
          </w:tcPr>
          <w:p w14:paraId="24B734B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8.47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>12.128</w:t>
            </w:r>
          </w:p>
        </w:tc>
        <w:tc>
          <w:tcPr>
            <w:tcW w:w="2931" w:type="dxa"/>
            <w:tcBorders>
              <w:bottom w:val="nil"/>
            </w:tcBorders>
          </w:tcPr>
          <w:p w14:paraId="236D897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 w:hint="eastAsia"/>
                <w:sz w:val="24"/>
              </w:rPr>
              <w:t>8.17</w:t>
            </w:r>
            <w:r>
              <w:rPr>
                <w:rFonts w:ascii="Times New Roman" w:hAnsi="Times New Roman"/>
                <w:sz w:val="24"/>
              </w:rPr>
              <w:t>±1</w:t>
            </w:r>
            <w:r>
              <w:rPr>
                <w:rFonts w:ascii="Times New Roman" w:hAnsi="Times New Roman" w:hint="eastAsia"/>
                <w:sz w:val="24"/>
              </w:rPr>
              <w:t>3.867</w:t>
            </w:r>
          </w:p>
        </w:tc>
        <w:tc>
          <w:tcPr>
            <w:tcW w:w="990" w:type="dxa"/>
            <w:tcBorders>
              <w:bottom w:val="nil"/>
            </w:tcBorders>
          </w:tcPr>
          <w:p w14:paraId="3C3ED320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929</w:t>
            </w:r>
          </w:p>
        </w:tc>
      </w:tr>
      <w:tr w:rsidR="00FF00FF" w14:paraId="0794922E" w14:textId="77777777" w:rsidTr="00012CF6">
        <w:tc>
          <w:tcPr>
            <w:tcW w:w="3321" w:type="dxa"/>
            <w:tcBorders>
              <w:top w:val="nil"/>
              <w:bottom w:val="nil"/>
            </w:tcBorders>
          </w:tcPr>
          <w:p w14:paraId="28F57BDD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Operation time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min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C9D9C68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40.60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>32.256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14:paraId="75863ACA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68.23</w:t>
            </w:r>
            <w:r>
              <w:rPr>
                <w:rFonts w:ascii="Times New Roman" w:hAnsi="Times New Roman"/>
                <w:sz w:val="24"/>
              </w:rPr>
              <w:t>±4</w:t>
            </w:r>
            <w:r>
              <w:rPr>
                <w:rFonts w:ascii="Times New Roman" w:hAnsi="Times New Roman" w:hint="eastAsia"/>
                <w:sz w:val="24"/>
              </w:rPr>
              <w:t>6.24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98A3EB6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  <w:r>
              <w:rPr>
                <w:rFonts w:ascii="Times New Roman" w:hAnsi="Times New Roman" w:hint="eastAsia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</w:tr>
      <w:tr w:rsidR="00FF00FF" w14:paraId="63EA8598" w14:textId="77777777" w:rsidTr="00012CF6">
        <w:tc>
          <w:tcPr>
            <w:tcW w:w="3321" w:type="dxa"/>
            <w:tcBorders>
              <w:top w:val="nil"/>
              <w:bottom w:val="nil"/>
            </w:tcBorders>
          </w:tcPr>
          <w:p w14:paraId="69B89BD1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Anesthesia recovery time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min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2365" w:type="dxa"/>
            <w:tcBorders>
              <w:top w:val="nil"/>
              <w:bottom w:val="nil"/>
            </w:tcBorders>
          </w:tcPr>
          <w:p w14:paraId="6A3E881A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44.60</w:t>
            </w:r>
            <w:r>
              <w:rPr>
                <w:rFonts w:ascii="Times New Roman" w:hAnsi="Times New Roman"/>
                <w:sz w:val="24"/>
              </w:rPr>
              <w:t>±1</w:t>
            </w:r>
            <w:r>
              <w:rPr>
                <w:rFonts w:ascii="Times New Roman" w:hAnsi="Times New Roman" w:hint="eastAsia"/>
                <w:sz w:val="24"/>
              </w:rPr>
              <w:t>3.307</w:t>
            </w:r>
          </w:p>
        </w:tc>
        <w:tc>
          <w:tcPr>
            <w:tcW w:w="2931" w:type="dxa"/>
            <w:tcBorders>
              <w:top w:val="nil"/>
              <w:bottom w:val="nil"/>
            </w:tcBorders>
          </w:tcPr>
          <w:p w14:paraId="7BF82BDA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55.03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>21.392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AB7454D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</w:t>
            </w:r>
            <w:r>
              <w:rPr>
                <w:rFonts w:ascii="Times New Roman" w:hAnsi="Times New Roman" w:hint="eastAsia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</w:tr>
      <w:tr w:rsidR="00FF00FF" w14:paraId="20AE3BFB" w14:textId="77777777" w:rsidTr="00012CF6">
        <w:tc>
          <w:tcPr>
            <w:tcW w:w="3321" w:type="dxa"/>
            <w:tcBorders>
              <w:top w:val="nil"/>
            </w:tcBorders>
          </w:tcPr>
          <w:p w14:paraId="37140457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ospitalization time</w:t>
            </w:r>
            <w:r>
              <w:rPr>
                <w:rFonts w:ascii="Times New Roman" w:hAnsi="Times New Roman"/>
                <w:sz w:val="24"/>
              </w:rPr>
              <w:t>(day)</w:t>
            </w:r>
          </w:p>
        </w:tc>
        <w:tc>
          <w:tcPr>
            <w:tcW w:w="2365" w:type="dxa"/>
            <w:tcBorders>
              <w:top w:val="nil"/>
            </w:tcBorders>
          </w:tcPr>
          <w:p w14:paraId="15F75B92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3.86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 w:hint="eastAsia"/>
                <w:sz w:val="24"/>
              </w:rPr>
              <w:t>648</w:t>
            </w:r>
          </w:p>
        </w:tc>
        <w:tc>
          <w:tcPr>
            <w:tcW w:w="2931" w:type="dxa"/>
            <w:tcBorders>
              <w:top w:val="nil"/>
            </w:tcBorders>
          </w:tcPr>
          <w:p w14:paraId="4D809AF9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4.07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>0.640</w:t>
            </w:r>
          </w:p>
        </w:tc>
        <w:tc>
          <w:tcPr>
            <w:tcW w:w="990" w:type="dxa"/>
            <w:tcBorders>
              <w:top w:val="nil"/>
            </w:tcBorders>
          </w:tcPr>
          <w:p w14:paraId="59C61F5E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166</w:t>
            </w:r>
          </w:p>
        </w:tc>
      </w:tr>
    </w:tbl>
    <w:p w14:paraId="573FD610" w14:textId="77777777" w:rsidR="00FF00FF" w:rsidRDefault="00FF00FF" w:rsidP="00FF00FF">
      <w:pPr>
        <w:pStyle w:val="NormalWeb"/>
        <w:widowControl/>
        <w:spacing w:line="368" w:lineRule="atLeast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sz w:val="21"/>
          <w:szCs w:val="21"/>
        </w:rPr>
        <w:t>Note</w:t>
      </w:r>
      <w:r>
        <w:rPr>
          <w:rFonts w:ascii="Times New Roman" w:hAnsi="Times New Roman" w:hint="eastAsia"/>
          <w:sz w:val="21"/>
          <w:szCs w:val="21"/>
        </w:rPr>
        <w:t>：</w:t>
      </w:r>
      <w:r>
        <w:rPr>
          <w:rFonts w:ascii="Times New Roman" w:hAnsi="Times New Roman" w:hint="eastAsia"/>
          <w:sz w:val="21"/>
          <w:szCs w:val="21"/>
        </w:rPr>
        <w:t xml:space="preserve">Mean </w:t>
      </w:r>
      <w:r>
        <w:rPr>
          <w:rFonts w:ascii="Times New Roman" w:hAnsi="Times New Roman" w:hint="eastAsia"/>
          <w:sz w:val="21"/>
          <w:szCs w:val="21"/>
        </w:rPr>
        <w:t>±</w:t>
      </w:r>
      <w:r>
        <w:rPr>
          <w:rFonts w:ascii="Times New Roman" w:hAnsi="Times New Roman" w:hint="eastAsia"/>
          <w:sz w:val="21"/>
          <w:szCs w:val="21"/>
        </w:rPr>
        <w:t>SD was for continuous variables. The percentage</w:t>
      </w:r>
      <w:r>
        <w:rPr>
          <w:rFonts w:ascii="Times New Roman" w:hAnsi="Times New Roman" w:hint="eastAsia"/>
          <w:sz w:val="21"/>
          <w:szCs w:val="21"/>
        </w:rPr>
        <w:t>（</w:t>
      </w:r>
      <w:r>
        <w:rPr>
          <w:rFonts w:ascii="Times New Roman" w:hAnsi="Times New Roman" w:hint="eastAsia"/>
          <w:sz w:val="21"/>
          <w:szCs w:val="21"/>
        </w:rPr>
        <w:t>95% confidence interval</w:t>
      </w:r>
      <w:r>
        <w:rPr>
          <w:rFonts w:ascii="Times New Roman" w:hAnsi="Times New Roman" w:hint="eastAsia"/>
          <w:sz w:val="21"/>
          <w:szCs w:val="21"/>
        </w:rPr>
        <w:t>）</w:t>
      </w:r>
      <w:r>
        <w:rPr>
          <w:rFonts w:ascii="Times New Roman" w:hAnsi="Times New Roman" w:hint="eastAsia"/>
          <w:sz w:val="21"/>
          <w:szCs w:val="21"/>
        </w:rPr>
        <w:t>was for categorical variables.</w:t>
      </w:r>
      <w:r>
        <w:rPr>
          <w:rFonts w:ascii="Times New Roman" w:hAnsi="Times New Roman"/>
          <w:sz w:val="21"/>
          <w:szCs w:val="21"/>
        </w:rPr>
        <w:t xml:space="preserve">*  </w:t>
      </w:r>
      <w:r>
        <w:rPr>
          <w:rFonts w:ascii="Times New Roman" w:hAnsi="Times New Roman"/>
          <w:i/>
          <w:iCs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＜</w:t>
      </w:r>
      <w:r>
        <w:rPr>
          <w:rFonts w:ascii="Times New Roman" w:hAnsi="Times New Roman"/>
          <w:sz w:val="21"/>
          <w:szCs w:val="21"/>
        </w:rPr>
        <w:t>0.05</w:t>
      </w:r>
      <w:r>
        <w:rPr>
          <w:rFonts w:ascii="Times New Roman" w:hAnsi="Times New Roman" w:hint="eastAsia"/>
          <w:sz w:val="21"/>
          <w:szCs w:val="21"/>
        </w:rPr>
        <w:t>.</w:t>
      </w:r>
    </w:p>
    <w:p w14:paraId="47040166" w14:textId="77777777" w:rsidR="00FF00FF" w:rsidRDefault="00FF00FF" w:rsidP="00FF00FF">
      <w:pPr>
        <w:pStyle w:val="NormalWeb"/>
        <w:widowControl/>
        <w:spacing w:line="312" w:lineRule="atLeast"/>
        <w:ind w:firstLine="420"/>
        <w:rPr>
          <w:rFonts w:ascii="Times New Roman" w:hAnsi="Times New Roman"/>
          <w:b/>
          <w:bCs/>
        </w:rPr>
      </w:pPr>
    </w:p>
    <w:p w14:paraId="7FB67ADF" w14:textId="77777777" w:rsidR="00FF00FF" w:rsidRDefault="00FF00FF" w:rsidP="00FF00FF"/>
    <w:p w14:paraId="1694AE88" w14:textId="77777777" w:rsidR="00FF00FF" w:rsidRDefault="00FF00FF" w:rsidP="00FF00FF"/>
    <w:p w14:paraId="60F85213" w14:textId="77777777" w:rsidR="00FF00FF" w:rsidRDefault="00FF00FF" w:rsidP="00FF00FF"/>
    <w:p w14:paraId="3171855C" w14:textId="77777777" w:rsidR="00FF00FF" w:rsidRDefault="00FF00FF" w:rsidP="00FF00FF"/>
    <w:p w14:paraId="6B15E7D2" w14:textId="77777777" w:rsidR="00FF00FF" w:rsidRDefault="00FF00FF" w:rsidP="00FF00FF"/>
    <w:p w14:paraId="426B557B" w14:textId="77777777" w:rsidR="00FF00FF" w:rsidRDefault="00FF00FF" w:rsidP="00FF00FF"/>
    <w:p w14:paraId="2ABB22A1" w14:textId="77777777" w:rsidR="00FF00FF" w:rsidRDefault="00FF00FF" w:rsidP="00FF00FF"/>
    <w:p w14:paraId="682C573F" w14:textId="77777777" w:rsidR="00FF00FF" w:rsidRDefault="00FF00FF" w:rsidP="00FF00FF"/>
    <w:p w14:paraId="081C0726" w14:textId="77777777" w:rsidR="00FF00FF" w:rsidRDefault="00FF00FF" w:rsidP="00FF00FF"/>
    <w:p w14:paraId="364AE890" w14:textId="77777777" w:rsidR="00FF00FF" w:rsidRDefault="00FF00FF" w:rsidP="00FF00FF">
      <w:pPr>
        <w:pStyle w:val="NormalWeb"/>
        <w:widowControl/>
        <w:spacing w:line="312" w:lineRule="atLeast"/>
        <w:rPr>
          <w:rFonts w:ascii="Times New Roman" w:hAnsi="Times New Roman"/>
          <w:color w:val="333333"/>
          <w:shd w:val="clear" w:color="auto" w:fill="FFFFFF"/>
        </w:rPr>
      </w:pPr>
      <w:r>
        <w:rPr>
          <w:rFonts w:ascii="Times New Roman" w:hAnsi="Times New Roman"/>
          <w:b/>
          <w:bCs/>
        </w:rPr>
        <w:lastRenderedPageBreak/>
        <w:t>Table</w:t>
      </w:r>
      <w:r>
        <w:rPr>
          <w:rFonts w:ascii="Times New Roman" w:hAnsi="Times New Roman" w:hint="eastAsia"/>
          <w:b/>
          <w:bCs/>
        </w:rPr>
        <w:t xml:space="preserve"> 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A</w:t>
      </w:r>
      <w:r>
        <w:rPr>
          <w:rFonts w:ascii="Times New Roman" w:hAnsi="Times New Roman"/>
          <w:color w:val="000000"/>
        </w:rPr>
        <w:t>pplication</w:t>
      </w:r>
      <w:r>
        <w:rPr>
          <w:rFonts w:ascii="Times New Roman" w:hAnsi="Times New Roman" w:hint="eastAsia"/>
          <w:color w:val="000000"/>
        </w:rPr>
        <w:t xml:space="preserve"> of v</w:t>
      </w:r>
      <w:r>
        <w:rPr>
          <w:rFonts w:ascii="Times New Roman" w:hAnsi="Times New Roman"/>
          <w:color w:val="000000"/>
        </w:rPr>
        <w:t>omiting and antiemetic</w:t>
      </w:r>
      <w:r>
        <w:rPr>
          <w:rFonts w:ascii="Times New Roman" w:hAnsi="Times New Roman" w:hint="eastAsia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</w:t>
      </w:r>
    </w:p>
    <w:tbl>
      <w:tblPr>
        <w:tblpPr w:leftFromText="180" w:rightFromText="180" w:vertAnchor="text" w:horzAnchor="page" w:tblpX="1461" w:tblpY="153"/>
        <w:tblOverlap w:val="never"/>
        <w:tblW w:w="9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4"/>
        <w:gridCol w:w="2374"/>
        <w:gridCol w:w="2854"/>
        <w:gridCol w:w="990"/>
      </w:tblGrid>
      <w:tr w:rsidR="00FF00FF" w14:paraId="7D893013" w14:textId="77777777" w:rsidTr="00012CF6">
        <w:trPr>
          <w:trHeight w:val="338"/>
        </w:trPr>
        <w:tc>
          <w:tcPr>
            <w:tcW w:w="3334" w:type="dxa"/>
            <w:tcBorders>
              <w:left w:val="nil"/>
              <w:bottom w:val="single" w:sz="4" w:space="0" w:color="000000"/>
              <w:right w:val="nil"/>
            </w:tcBorders>
          </w:tcPr>
          <w:p w14:paraId="72C8B925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variable</w:t>
            </w:r>
          </w:p>
        </w:tc>
        <w:tc>
          <w:tcPr>
            <w:tcW w:w="2374" w:type="dxa"/>
            <w:tcBorders>
              <w:left w:val="nil"/>
              <w:bottom w:val="single" w:sz="4" w:space="0" w:color="000000"/>
              <w:right w:val="nil"/>
            </w:tcBorders>
          </w:tcPr>
          <w:p w14:paraId="1973C2AB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the supine </w:t>
            </w:r>
            <w:r>
              <w:rPr>
                <w:rFonts w:ascii="Times New Roman" w:hAnsi="Times New Roman" w:hint="eastAsia"/>
                <w:color w:val="333333"/>
                <w:sz w:val="24"/>
                <w:shd w:val="clear" w:color="auto" w:fill="FFFFFF"/>
              </w:rPr>
              <w:t>position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group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54" w:type="dxa"/>
            <w:tcBorders>
              <w:left w:val="nil"/>
              <w:bottom w:val="single" w:sz="4" w:space="0" w:color="000000"/>
              <w:right w:val="nil"/>
            </w:tcBorders>
          </w:tcPr>
          <w:p w14:paraId="08FFE846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hint="eastAsia"/>
                <w:color w:val="333333"/>
                <w:sz w:val="24"/>
                <w:shd w:val="clear" w:color="auto" w:fill="FFFFFF"/>
              </w:rPr>
              <w:t>prone split-leg position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group 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</w:tcPr>
          <w:p w14:paraId="5C7E8A36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 xml:space="preserve">P </w:t>
            </w:r>
            <w:r>
              <w:rPr>
                <w:rFonts w:ascii="Times New Roman" w:hAnsi="Times New Roman"/>
                <w:sz w:val="24"/>
              </w:rPr>
              <w:t>value</w:t>
            </w:r>
          </w:p>
        </w:tc>
      </w:tr>
      <w:tr w:rsidR="00FF00FF" w14:paraId="36B07A53" w14:textId="77777777" w:rsidTr="00012CF6">
        <w:trPr>
          <w:trHeight w:val="338"/>
        </w:trPr>
        <w:tc>
          <w:tcPr>
            <w:tcW w:w="33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064FC7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omiting</w:t>
            </w:r>
          </w:p>
        </w:tc>
        <w:tc>
          <w:tcPr>
            <w:tcW w:w="23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2F36F8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</w:t>
            </w: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36.7%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  <w:tc>
          <w:tcPr>
            <w:tcW w:w="28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5CB257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5</w:t>
            </w:r>
            <w:r>
              <w:rPr>
                <w:rFonts w:ascii="Times New Roman" w:hAnsi="Times New Roman" w:hint="eastAsia"/>
                <w:sz w:val="24"/>
              </w:rPr>
              <w:t>（</w:t>
            </w:r>
            <w:r>
              <w:rPr>
                <w:rFonts w:ascii="Times New Roman" w:hAnsi="Times New Roman" w:hint="eastAsia"/>
                <w:sz w:val="24"/>
              </w:rPr>
              <w:t>50.0%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32A35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297</w:t>
            </w:r>
          </w:p>
        </w:tc>
      </w:tr>
      <w:tr w:rsidR="00FF00FF" w14:paraId="1C97855A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2B518D75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Number of antiemetic</w:t>
            </w:r>
            <w:r>
              <w:rPr>
                <w:rFonts w:ascii="Times New Roman" w:hAnsi="Times New Roman" w:hint="eastAsia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applications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frequency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72AC8A08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60384E8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28F04C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42529E25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7BE39D57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66181607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511FB76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E8AD71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599</w:t>
            </w:r>
          </w:p>
        </w:tc>
      </w:tr>
      <w:tr w:rsidR="00FF00FF" w14:paraId="2A049DA7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7689BFF7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1D964E5C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2A48DAFE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060542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3E9B67F8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E20DFFF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1E3DE253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72055D4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899163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4D6DEC8F" w14:textId="77777777" w:rsidTr="00012CF6">
        <w:trPr>
          <w:trHeight w:val="59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6AF0693C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ime of application of vomiting medicine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24022254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0EBA9FD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E50E99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4A287349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D18FB66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12713C8B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1D2C54B9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BB07D6" w14:textId="77777777" w:rsidR="00FF00FF" w:rsidRDefault="00FF00FF" w:rsidP="00012CF6">
            <w:pPr>
              <w:pStyle w:val="NormalWeb"/>
              <w:widowControl/>
              <w:spacing w:line="368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 w:hint="eastAsia"/>
              </w:rPr>
              <w:t>736</w:t>
            </w:r>
          </w:p>
        </w:tc>
      </w:tr>
      <w:tr w:rsidR="00FF00FF" w14:paraId="3899A910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0CDB897F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0-6h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5D3675AC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0D4D2B98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8E0D1B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5E7010AE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14:paraId="79F7A5FF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6-12h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2CA82A03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</w:tcPr>
          <w:p w14:paraId="4A609107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A88E82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FF00FF" w14:paraId="114F1A26" w14:textId="77777777" w:rsidTr="00012CF6">
        <w:trPr>
          <w:trHeight w:val="338"/>
        </w:trPr>
        <w:tc>
          <w:tcPr>
            <w:tcW w:w="3334" w:type="dxa"/>
            <w:tcBorders>
              <w:top w:val="nil"/>
              <w:left w:val="nil"/>
              <w:right w:val="nil"/>
            </w:tcBorders>
          </w:tcPr>
          <w:p w14:paraId="0C3CBC01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>12h</w:t>
            </w:r>
          </w:p>
        </w:tc>
        <w:tc>
          <w:tcPr>
            <w:tcW w:w="2374" w:type="dxa"/>
            <w:tcBorders>
              <w:top w:val="nil"/>
              <w:left w:val="nil"/>
              <w:right w:val="nil"/>
            </w:tcBorders>
          </w:tcPr>
          <w:p w14:paraId="11052F35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</w:p>
        </w:tc>
        <w:tc>
          <w:tcPr>
            <w:tcW w:w="2854" w:type="dxa"/>
            <w:tcBorders>
              <w:top w:val="nil"/>
              <w:left w:val="nil"/>
              <w:right w:val="nil"/>
            </w:tcBorders>
          </w:tcPr>
          <w:p w14:paraId="0EF0CA9D" w14:textId="77777777" w:rsidR="00FF00FF" w:rsidRDefault="00FF00FF" w:rsidP="00012CF6">
            <w:pPr>
              <w:widowControl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699B204" w14:textId="77777777" w:rsidR="00FF00FF" w:rsidRDefault="00FF00FF" w:rsidP="00012CF6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</w:tbl>
    <w:p w14:paraId="22AADD5A" w14:textId="77777777" w:rsidR="00FF00FF" w:rsidRDefault="00FF00FF" w:rsidP="00FF00FF">
      <w:r>
        <w:rPr>
          <w:rFonts w:ascii="Times New Roman" w:hAnsi="Times New Roman" w:hint="eastAsia"/>
        </w:rPr>
        <w:t>Note</w:t>
      </w:r>
      <w:r>
        <w:rPr>
          <w:rFonts w:ascii="Times New Roman" w:hAnsi="Times New Roman" w:hint="eastAsia"/>
        </w:rPr>
        <w:t>：</w:t>
      </w:r>
      <w:r>
        <w:rPr>
          <w:rFonts w:ascii="Times New Roman" w:hAnsi="Times New Roman" w:hint="eastAsia"/>
        </w:rPr>
        <w:t xml:space="preserve">Mean </w:t>
      </w:r>
      <w:r>
        <w:rPr>
          <w:rFonts w:ascii="Times New Roman" w:hAnsi="Times New Roman" w:hint="eastAsia"/>
        </w:rPr>
        <w:t>±</w:t>
      </w:r>
      <w:r>
        <w:rPr>
          <w:rFonts w:ascii="Times New Roman" w:hAnsi="Times New Roman" w:hint="eastAsia"/>
        </w:rPr>
        <w:t>SD was for continuous variables. The percentage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95% confidence interval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was for categorical variables.</w:t>
      </w:r>
      <w:r>
        <w:rPr>
          <w:rFonts w:ascii="Times New Roman" w:hAnsi="Times New Roman"/>
        </w:rPr>
        <w:t xml:space="preserve">* 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＜</w:t>
      </w:r>
      <w:r>
        <w:rPr>
          <w:rFonts w:ascii="Times New Roman" w:hAnsi="Times New Roman"/>
        </w:rPr>
        <w:t>0.05</w:t>
      </w:r>
      <w:r>
        <w:rPr>
          <w:rFonts w:ascii="Times New Roman" w:hAnsi="Times New Roman" w:hint="eastAsia"/>
        </w:rPr>
        <w:t>.</w:t>
      </w:r>
    </w:p>
    <w:p w14:paraId="0FFA8C5B" w14:textId="77777777" w:rsidR="00FF00FF" w:rsidRDefault="00FF00FF" w:rsidP="00FF00FF">
      <w:pPr>
        <w:widowControl/>
        <w:ind w:firstLine="4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Table</w:t>
      </w:r>
      <w:r>
        <w:rPr>
          <w:rFonts w:ascii="Times New Roman" w:hAnsi="Times New Roman" w:hint="eastAsia"/>
          <w:b/>
          <w:bCs/>
          <w:sz w:val="24"/>
        </w:rPr>
        <w:t xml:space="preserve"> 4</w:t>
      </w:r>
      <w:r>
        <w:rPr>
          <w:rFonts w:ascii="Times New Roman" w:hAnsi="Times New Roman"/>
          <w:sz w:val="24"/>
        </w:rPr>
        <w:t xml:space="preserve"> Odds ratio (OR) and 95% conf</w:t>
      </w:r>
      <w:r>
        <w:rPr>
          <w:rFonts w:ascii="Times New Roman" w:hAnsi="Times New Roman" w:hint="eastAsia"/>
          <w:sz w:val="24"/>
        </w:rPr>
        <w:t>i</w:t>
      </w:r>
      <w:r>
        <w:rPr>
          <w:rFonts w:ascii="Times New Roman" w:hAnsi="Times New Roman"/>
          <w:sz w:val="24"/>
        </w:rPr>
        <w:t>dence intervals (CI) of risk factors for PONV after bariatric surgery</w:t>
      </w:r>
    </w:p>
    <w:tbl>
      <w:tblPr>
        <w:tblpPr w:leftFromText="180" w:rightFromText="180" w:vertAnchor="text" w:horzAnchor="page" w:tblpX="1575" w:tblpY="155"/>
        <w:tblOverlap w:val="never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2130"/>
        <w:gridCol w:w="1962"/>
        <w:gridCol w:w="1647"/>
        <w:gridCol w:w="1334"/>
      </w:tblGrid>
      <w:tr w:rsidR="00FF00FF" w14:paraId="07655ACB" w14:textId="77777777" w:rsidTr="00012CF6">
        <w:tc>
          <w:tcPr>
            <w:tcW w:w="253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9E73D8D" w14:textId="77777777" w:rsidR="00FF00FF" w:rsidRDefault="00FF00FF" w:rsidP="00012CF6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influencing factor</w:t>
            </w:r>
          </w:p>
        </w:tc>
        <w:tc>
          <w:tcPr>
            <w:tcW w:w="213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731106E" w14:textId="77777777" w:rsidR="00FF00FF" w:rsidRDefault="00FF00FF" w:rsidP="00012CF6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</w:t>
            </w:r>
          </w:p>
        </w:tc>
        <w:tc>
          <w:tcPr>
            <w:tcW w:w="196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0502D5F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</w:t>
            </w:r>
          </w:p>
        </w:tc>
        <w:tc>
          <w:tcPr>
            <w:tcW w:w="29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EE94E14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95% confidence interval</w:t>
            </w:r>
          </w:p>
        </w:tc>
      </w:tr>
      <w:tr w:rsidR="00FF00FF" w14:paraId="750FB1D1" w14:textId="77777777" w:rsidTr="00012CF6">
        <w:trPr>
          <w:trHeight w:val="330"/>
        </w:trPr>
        <w:tc>
          <w:tcPr>
            <w:tcW w:w="253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8C53B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35E13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CB91E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6B945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superior limit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E7231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lower limit </w:t>
            </w:r>
          </w:p>
        </w:tc>
      </w:tr>
      <w:tr w:rsidR="00FF00FF" w14:paraId="358EA7EC" w14:textId="77777777" w:rsidTr="00012CF6">
        <w:trPr>
          <w:trHeight w:val="295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58DF7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Position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4446E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 w:hint="eastAsia"/>
                <w:sz w:val="24"/>
              </w:rPr>
              <w:t>766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1E1A4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1.192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A1477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0.376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FE26F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3.778</w:t>
            </w:r>
          </w:p>
        </w:tc>
      </w:tr>
      <w:tr w:rsidR="00FF00FF" w14:paraId="2EC9B6F4" w14:textId="77777777" w:rsidTr="00012CF6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3CCCDC48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Gender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A2B7DF1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0.585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18B3A7B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0.603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54F2F71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0.098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69DBC2B6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3.712</w:t>
            </w:r>
          </w:p>
        </w:tc>
      </w:tr>
      <w:tr w:rsidR="00FF00FF" w14:paraId="53419CF2" w14:textId="77777777" w:rsidTr="00012CF6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0B7C8BA1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BMI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0562EC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0.515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14:paraId="1DB0E3DC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1.038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26222685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0.927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</w:tcPr>
          <w:p w14:paraId="072C8D9E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1.163</w:t>
            </w:r>
          </w:p>
        </w:tc>
      </w:tr>
      <w:tr w:rsidR="00FF00FF" w14:paraId="303A3F58" w14:textId="77777777" w:rsidTr="00012CF6">
        <w:tc>
          <w:tcPr>
            <w:tcW w:w="2538" w:type="dxa"/>
            <w:tcBorders>
              <w:top w:val="nil"/>
              <w:left w:val="nil"/>
              <w:right w:val="nil"/>
            </w:tcBorders>
          </w:tcPr>
          <w:p w14:paraId="172ED2BF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Smoking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</w:tcPr>
          <w:p w14:paraId="7A57B343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0.161</w:t>
            </w:r>
          </w:p>
        </w:tc>
        <w:tc>
          <w:tcPr>
            <w:tcW w:w="1962" w:type="dxa"/>
            <w:tcBorders>
              <w:top w:val="nil"/>
              <w:left w:val="nil"/>
              <w:right w:val="nil"/>
            </w:tcBorders>
          </w:tcPr>
          <w:p w14:paraId="1185154B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2.97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</w:tcPr>
          <w:p w14:paraId="398E8CC7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0.649</w:t>
            </w:r>
          </w:p>
        </w:tc>
        <w:tc>
          <w:tcPr>
            <w:tcW w:w="1334" w:type="dxa"/>
            <w:tcBorders>
              <w:top w:val="nil"/>
              <w:left w:val="nil"/>
              <w:right w:val="nil"/>
            </w:tcBorders>
          </w:tcPr>
          <w:p w14:paraId="2CBB806A" w14:textId="77777777" w:rsidR="00FF00FF" w:rsidRDefault="00FF00FF" w:rsidP="00012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13.592</w:t>
            </w:r>
          </w:p>
        </w:tc>
      </w:tr>
    </w:tbl>
    <w:p w14:paraId="459CEED5" w14:textId="77777777" w:rsidR="00FF00FF" w:rsidRDefault="00FF00FF" w:rsidP="00FF00FF">
      <w:pPr>
        <w:pStyle w:val="NormalWeb"/>
        <w:widowControl/>
        <w:spacing w:line="368" w:lineRule="atLeast"/>
        <w:rPr>
          <w:rFonts w:ascii="Times New Roman" w:hAnsi="Times New Roman"/>
          <w:b/>
          <w:bCs/>
          <w:color w:val="333333"/>
          <w:shd w:val="clear" w:color="auto" w:fill="FFFFFF"/>
        </w:rPr>
      </w:pPr>
      <w:r>
        <w:rPr>
          <w:rFonts w:ascii="Times New Roman" w:hAnsi="Times New Roman" w:hint="eastAsia"/>
        </w:rPr>
        <w:t>Note</w:t>
      </w:r>
      <w:r>
        <w:rPr>
          <w:rFonts w:ascii="Times New Roman" w:hAnsi="Times New Roman" w:hint="eastAsia"/>
        </w:rPr>
        <w:t>：</w:t>
      </w:r>
      <w:r>
        <w:rPr>
          <w:rFonts w:ascii="Times New Roman" w:hAnsi="Times New Roman" w:hint="eastAsia"/>
        </w:rPr>
        <w:t xml:space="preserve">Mean </w:t>
      </w:r>
      <w:r>
        <w:rPr>
          <w:rFonts w:ascii="Times New Roman" w:hAnsi="Times New Roman" w:hint="eastAsia"/>
        </w:rPr>
        <w:t>±</w:t>
      </w:r>
      <w:r>
        <w:rPr>
          <w:rFonts w:ascii="Times New Roman" w:hAnsi="Times New Roman" w:hint="eastAsia"/>
        </w:rPr>
        <w:t>SD was for continuous variables. The percentage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95% confidence interval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was for categorical variables.</w:t>
      </w:r>
      <w:r>
        <w:rPr>
          <w:rFonts w:ascii="Times New Roman" w:hAnsi="Times New Roman"/>
        </w:rPr>
        <w:t xml:space="preserve">* 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>＜</w:t>
      </w:r>
      <w:r>
        <w:rPr>
          <w:rFonts w:ascii="Times New Roman" w:hAnsi="Times New Roman"/>
        </w:rPr>
        <w:t>0.05</w:t>
      </w:r>
      <w:r>
        <w:rPr>
          <w:rFonts w:ascii="Times New Roman" w:hAnsi="Times New Roman" w:hint="eastAsia"/>
        </w:rPr>
        <w:t>.</w:t>
      </w:r>
    </w:p>
    <w:p w14:paraId="30832F61" w14:textId="77777777" w:rsidR="00FF00FF" w:rsidRDefault="00FF00FF" w:rsidP="00FF00FF"/>
    <w:p w14:paraId="662BD9AC" w14:textId="144D973A" w:rsidR="001760E5" w:rsidRDefault="00FF00FF" w:rsidP="00FF00FF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FF"/>
    <w:rsid w:val="006E225C"/>
    <w:rsid w:val="008A3324"/>
    <w:rsid w:val="0096107C"/>
    <w:rsid w:val="00996CDB"/>
    <w:rsid w:val="009B6A41"/>
    <w:rsid w:val="00BA546E"/>
    <w:rsid w:val="00E17A31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01B05"/>
  <w15:chartTrackingRefBased/>
  <w15:docId w15:val="{8BD5308E-F978-4E20-B36E-134BF0F1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0FF"/>
    <w:pPr>
      <w:widowControl w:val="0"/>
      <w:spacing w:after="0" w:line="240" w:lineRule="auto"/>
      <w:jc w:val="both"/>
    </w:pPr>
    <w:rPr>
      <w:rFonts w:ascii="Cambria Math" w:eastAsia="SimSun" w:hAnsi="Cambria Math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FF00FF"/>
    <w:rPr>
      <w:sz w:val="24"/>
    </w:rPr>
  </w:style>
  <w:style w:type="character" w:customStyle="1" w:styleId="NormalWebChar">
    <w:name w:val="Normal (Web) Char"/>
    <w:link w:val="NormalWeb"/>
    <w:rsid w:val="00FF00FF"/>
    <w:rPr>
      <w:rFonts w:ascii="Cambria Math" w:eastAsia="SimSun" w:hAnsi="Cambria Math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1899</Characters>
  <Application>Microsoft Office Word</Application>
  <DocSecurity>0</DocSecurity>
  <Lines>15</Lines>
  <Paragraphs>4</Paragraphs>
  <ScaleCrop>false</ScaleCrop>
  <Company>Springer Nature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2023-04-19T10:19:00Z</dcterms:created>
  <dcterms:modified xsi:type="dcterms:W3CDTF">2023-04-19T10:20:00Z</dcterms:modified>
</cp:coreProperties>
</file>