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D8D65" w14:textId="77777777" w:rsidR="00A463E3" w:rsidRPr="00696D0A" w:rsidRDefault="00A463E3" w:rsidP="00A463E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9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Supplementary figures</w:t>
      </w:r>
    </w:p>
    <w:p w14:paraId="315620B4" w14:textId="77777777" w:rsidR="00A463E3" w:rsidRPr="00696D0A" w:rsidRDefault="00A463E3" w:rsidP="00A463E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0A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7335E15C" wp14:editId="7513898B">
            <wp:extent cx="5731510" cy="4255135"/>
            <wp:effectExtent l="0" t="0" r="2540" b="0"/>
            <wp:docPr id="7" name="Picture 7" descr="https://lh3.googleusercontent.com/ls4GQfy9LjEsHox1eXWgy4p1R_Vs-bZKodVsPKAN1FpcM3Je2MXBrBUs9artABfUAQU-M_v9DH4k3aVdiefAeWNnSukhQiQwYm5GkvrFSMN0G_zSEr2-_jit7s6sjTbOYX9ZVg_BrJKfs0GQZg2X7gzUopu3yRr52eNy5BB4bbzHGtIhMWkoHKeKi9If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3.googleusercontent.com/ls4GQfy9LjEsHox1eXWgy4p1R_Vs-bZKodVsPKAN1FpcM3Je2MXBrBUs9artABfUAQU-M_v9DH4k3aVdiefAeWNnSukhQiQwYm5GkvrFSMN0G_zSEr2-_jit7s6sjTbOYX9ZVg_BrJKfs0GQZg2X7gzUopu3yRr52eNy5BB4bbzHGtIhMWkoHKeKi9If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5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15808" w14:textId="77777777" w:rsidR="00A463E3" w:rsidRPr="00696D0A" w:rsidRDefault="00A463E3" w:rsidP="00A463E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Supplementary Figure 1. </w:t>
      </w:r>
      <w:r w:rsidRPr="00696D0A">
        <w:rPr>
          <w:rFonts w:ascii="Times New Roman" w:eastAsia="Times New Roman" w:hAnsi="Times New Roman" w:cs="Times New Roman"/>
          <w:color w:val="000000"/>
          <w:sz w:val="24"/>
          <w:szCs w:val="24"/>
        </w:rPr>
        <w:t>Population structure of 219 sorghum accessions from SSR data resulting distinct grouping of accessions based on its geographical origin. Sub-population P1 (red) had most accessions from Ethiopia, Sub-population P2 (green) had most accessions from Central Africa and Sub-population P3 (blue) had most accessions from Cameroon.</w:t>
      </w:r>
    </w:p>
    <w:p w14:paraId="24DEBBEC" w14:textId="5E2BFE68" w:rsidR="00A463E3" w:rsidRPr="00696D0A" w:rsidRDefault="00A463E3" w:rsidP="00A463E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D0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</w:rPr>
        <w:lastRenderedPageBreak/>
        <w:drawing>
          <wp:inline distT="0" distB="0" distL="0" distR="0" wp14:anchorId="099094E8" wp14:editId="0AAD420E">
            <wp:extent cx="5154930" cy="3427095"/>
            <wp:effectExtent l="0" t="0" r="7620" b="1905"/>
            <wp:docPr id="6" name="Picture 6" descr="https://lh6.googleusercontent.com/Kzj7c1lF8mimt1zKhLv2EMvn6ciCyxZ6AJqzP5___t0Y0Atm3gqPXkixflY8PwVFXQkcIEO2kNcJZuteKm0yIERkZqMpHktCKJ5NGetTQ_U-6Ria-Hd7KrUcB_D2ReAQfy6xHcF4kT_bXN87pNvT4TGcXK3iobo3DcaMLUHNAeoc8JJBtQjab8yjpevs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6.googleusercontent.com/Kzj7c1lF8mimt1zKhLv2EMvn6ciCyxZ6AJqzP5___t0Y0Atm3gqPXkixflY8PwVFXQkcIEO2kNcJZuteKm0yIERkZqMpHktCKJ5NGetTQ_U-6Ria-Hd7KrUcB_D2ReAQfy6xHcF4kT_bXN87pNvT4TGcXK3iobo3DcaMLUHNAeoc8JJBtQjab8yjpevsD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930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Supplementary Figure 2. </w:t>
      </w:r>
      <w:r w:rsidRPr="00696D0A">
        <w:rPr>
          <w:rFonts w:ascii="Times New Roman" w:eastAsia="Times New Roman" w:hAnsi="Times New Roman" w:cs="Times New Roman"/>
          <w:color w:val="000000"/>
          <w:sz w:val="24"/>
          <w:szCs w:val="24"/>
        </w:rPr>
        <w:t>Chromosome wise distribution and density of filtered SNP set (43,452 SNPs) used in GWAS. Heatmap legend denotes the density of the SNPs present in that physical position.</w:t>
      </w:r>
    </w:p>
    <w:p w14:paraId="0FDC1797" w14:textId="77777777" w:rsidR="00A463E3" w:rsidRPr="00696D0A" w:rsidRDefault="00A463E3" w:rsidP="00A463E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81C0F1" w14:textId="77777777" w:rsidR="00A463E3" w:rsidRPr="00696D0A" w:rsidRDefault="00A463E3" w:rsidP="00A463E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0A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33CBC849" wp14:editId="2BCF7103">
            <wp:extent cx="4622800" cy="2311400"/>
            <wp:effectExtent l="0" t="0" r="6350" b="0"/>
            <wp:docPr id="5" name="Picture 5" descr="https://lh3.googleusercontent.com/JkUH_OM3j6hSmjs9tnzQKZKnCqCnEvOKUXxNenRbyoFh44bspycJeghxw90VzKkYgqkqfgpKlDLDfdGOWLSMxbZ-XdoqFoPVvvBg_qQ_bXa0yRePPDRX7iMpr6s8ehGIYw_PZVB9PlJKXbnHVTOSLNGeyBkH7JUAyXBwbQjMfYW8LPVK3CmhXdVWdrF0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3.googleusercontent.com/JkUH_OM3j6hSmjs9tnzQKZKnCqCnEvOKUXxNenRbyoFh44bspycJeghxw90VzKkYgqkqfgpKlDLDfdGOWLSMxbZ-XdoqFoPVvvBg_qQ_bXa0yRePPDRX7iMpr6s8ehGIYw_PZVB9PlJKXbnHVTOSLNGeyBkH7JUAyXBwbQjMfYW8LPVK3CmhXdVWdrF0p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559CF" w14:textId="01C03A08" w:rsidR="00A463E3" w:rsidRPr="00696D0A" w:rsidRDefault="00A463E3" w:rsidP="00A463E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Supplementary Figure 3</w:t>
      </w:r>
      <w:r w:rsidRPr="00696D0A">
        <w:rPr>
          <w:rFonts w:ascii="Times New Roman" w:eastAsia="Times New Roman" w:hAnsi="Times New Roman" w:cs="Times New Roman"/>
          <w:color w:val="000000"/>
          <w:sz w:val="24"/>
          <w:szCs w:val="24"/>
        </w:rPr>
        <w:t>. Frequency distribution of the constructed subset showing normal distribution with continuous variation for all the traits used in GWAS.</w:t>
      </w:r>
    </w:p>
    <w:p w14:paraId="1DD31DB6" w14:textId="77777777" w:rsidR="00A463E3" w:rsidRPr="00696D0A" w:rsidRDefault="00A463E3" w:rsidP="00A463E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0A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lastRenderedPageBreak/>
        <w:drawing>
          <wp:inline distT="0" distB="0" distL="0" distR="0" wp14:anchorId="502F476C" wp14:editId="40D3D114">
            <wp:extent cx="4419600" cy="2823507"/>
            <wp:effectExtent l="0" t="0" r="0" b="0"/>
            <wp:docPr id="4" name="Picture 4" descr="https://lh5.googleusercontent.com/_es39YHjPxJZyo0FXMpPYJHd7SddEZwOCowNwwBbh4qJDvMCZBbSQd5PqihsSA_tHeFE0plzqgeV-Hro4VSxMv_d-UE1Tpzn6W4IcQyp6j5sDYuKPGQhKvGnB-qgxoL6qkHJk7iUj5_60WjHVgrSMzoY8x_ffZOhl0nbQXnlJR2qSpiLLwXEMQ0gJ7m8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5.googleusercontent.com/_es39YHjPxJZyo0FXMpPYJHd7SddEZwOCowNwwBbh4qJDvMCZBbSQd5PqihsSA_tHeFE0plzqgeV-Hro4VSxMv_d-UE1Tpzn6W4IcQyp6j5sDYuKPGQhKvGnB-qgxoL6qkHJk7iUj5_60WjHVgrSMzoY8x_ffZOhl0nbQXnlJR2qSpiLLwXEMQ0gJ7m8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802" cy="282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DB35E" w14:textId="749F0773" w:rsidR="00A463E3" w:rsidRPr="00696D0A" w:rsidRDefault="00A463E3" w:rsidP="00A463E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Supplementary Figure 4</w:t>
      </w:r>
      <w:r w:rsidRPr="00696D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Genome-wide association studies for major agronomic traits on the representative subset using </w:t>
      </w:r>
      <w:proofErr w:type="spellStart"/>
      <w:r w:rsidRPr="00696D0A">
        <w:rPr>
          <w:rFonts w:ascii="Times New Roman" w:eastAsia="Times New Roman" w:hAnsi="Times New Roman" w:cs="Times New Roman"/>
          <w:color w:val="000000"/>
          <w:sz w:val="24"/>
          <w:szCs w:val="24"/>
        </w:rPr>
        <w:t>FarmCPU</w:t>
      </w:r>
      <w:proofErr w:type="spellEnd"/>
      <w:r w:rsidRPr="00696D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SUPER. Red line represents the Bonferroni threshold ((-log(p)≥5.93) and blue line represents significant threshold kept of this study (-log(p)≥4).</w:t>
      </w:r>
    </w:p>
    <w:p w14:paraId="32B71CE7" w14:textId="77777777" w:rsidR="00A463E3" w:rsidRPr="00696D0A" w:rsidRDefault="00A463E3" w:rsidP="00A463E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0A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1908B3C0" wp14:editId="7DE48B29">
            <wp:extent cx="4751705" cy="3427095"/>
            <wp:effectExtent l="0" t="0" r="0" b="1905"/>
            <wp:docPr id="3" name="Picture 3" descr="https://lh3.googleusercontent.com/FnR4meP0gCdYZdjOSi6d0YX7xnTtxwnoQb1r3eeEaX0xDr65hqos_DCRGhISm2FOQUL5-fBeZ-3GtbvNXbIESXkRVhp9S49c0VP5VyWRwf8Nn_tIKfQIRUVP3ljUzUtBMof8ThwJKWcTn_JPLCdQZ9XxGOnuagI4J--J6pvG23tz2FbmgKzackHGtgNF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3.googleusercontent.com/FnR4meP0gCdYZdjOSi6d0YX7xnTtxwnoQb1r3eeEaX0xDr65hqos_DCRGhISm2FOQUL5-fBeZ-3GtbvNXbIESXkRVhp9S49c0VP5VyWRwf8Nn_tIKfQIRUVP3ljUzUtBMof8ThwJKWcTn_JPLCdQZ9XxGOnuagI4J--J6pvG23tz2FbmgKzackHGtgNF5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05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86F10" w14:textId="20F4FF98" w:rsidR="00A463E3" w:rsidRPr="00696D0A" w:rsidRDefault="00A463E3" w:rsidP="00A463E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Supplementary Figure 5</w:t>
      </w:r>
      <w:r w:rsidRPr="00696D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Genome-wide association study using </w:t>
      </w:r>
      <w:proofErr w:type="spellStart"/>
      <w:r w:rsidRPr="00696D0A">
        <w:rPr>
          <w:rFonts w:ascii="Times New Roman" w:eastAsia="Times New Roman" w:hAnsi="Times New Roman" w:cs="Times New Roman"/>
          <w:color w:val="000000"/>
          <w:sz w:val="24"/>
          <w:szCs w:val="24"/>
        </w:rPr>
        <w:t>FarmCPU</w:t>
      </w:r>
      <w:proofErr w:type="spellEnd"/>
      <w:r w:rsidRPr="00696D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SUPER methods for the root morphological traits.</w:t>
      </w:r>
    </w:p>
    <w:p w14:paraId="6BDA5F20" w14:textId="7750FDF5" w:rsidR="00A463E3" w:rsidRPr="00696D0A" w:rsidRDefault="00A463E3" w:rsidP="00A463E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0A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lastRenderedPageBreak/>
        <w:drawing>
          <wp:inline distT="0" distB="0" distL="0" distR="0" wp14:anchorId="43BBAFDC" wp14:editId="12567074">
            <wp:extent cx="5731510" cy="5443220"/>
            <wp:effectExtent l="0" t="0" r="2540" b="5080"/>
            <wp:docPr id="2" name="Picture 2" descr="https://lh6.googleusercontent.com/JWJm_Ew02VKRDTibmkSZX0jS6hHo63wjQrlwFHxRirC87H9yQMA4STfV3EuW4P7Wbvy3ixJzFyG_JWU4VCg8_EBuyrFWgBaQ3VRgTiY5GE_cU5uK2h-U0JuMni5bUfseEVYreB2wMe8P2velRNE867bE2gEpwBMO3puTcqzCSewIzM01rmdHhKOzxWAX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6.googleusercontent.com/JWJm_Ew02VKRDTibmkSZX0jS6hHo63wjQrlwFHxRirC87H9yQMA4STfV3EuW4P7Wbvy3ixJzFyG_JWU4VCg8_EBuyrFWgBaQ3VRgTiY5GE_cU5uK2h-U0JuMni5bUfseEVYreB2wMe8P2velRNE867bE2gEpwBMO3puTcqzCSewIzM01rmdHhKOzxWAXM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44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Supplementary Figure 6.</w:t>
      </w:r>
      <w:r w:rsidRPr="00696D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Genome-wide association studies using </w:t>
      </w:r>
      <w:proofErr w:type="spellStart"/>
      <w:r w:rsidRPr="00696D0A">
        <w:rPr>
          <w:rFonts w:ascii="Times New Roman" w:eastAsia="Times New Roman" w:hAnsi="Times New Roman" w:cs="Times New Roman"/>
          <w:color w:val="000000"/>
          <w:sz w:val="24"/>
          <w:szCs w:val="24"/>
        </w:rPr>
        <w:t>FarmCPU</w:t>
      </w:r>
      <w:proofErr w:type="spellEnd"/>
      <w:r w:rsidRPr="00696D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SUPER methods for the physiological traits </w:t>
      </w:r>
    </w:p>
    <w:p w14:paraId="338031E8" w14:textId="77777777" w:rsidR="00A463E3" w:rsidRPr="00696D0A" w:rsidRDefault="00A463E3" w:rsidP="00A463E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075EAE" w14:textId="77777777" w:rsidR="00A463E3" w:rsidRPr="00696D0A" w:rsidRDefault="00A463E3" w:rsidP="00A463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D0A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 wp14:anchorId="1924CA57" wp14:editId="337327ED">
            <wp:extent cx="5731510" cy="1303020"/>
            <wp:effectExtent l="0" t="0" r="2540" b="0"/>
            <wp:docPr id="1" name="Picture 1" descr="https://lh5.googleusercontent.com/WJv9_rUwRT-xX8kOL2opK_u0L-aS4o6RBaL7XrGxnO09FqVHm3pP8fEQc6aP7UtTtewbIvVQildxoOJPE2CKsWSGGxWx_arn49zXFGAqT1xPG_sX0KxiB_MNjeNIy1hdbEPHnHyP_EJYZ7kJSt-IuU_9AxtTSk9zyOSzhPz2AuN8pD3tdTnXyyEwVb8p-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5.googleusercontent.com/WJv9_rUwRT-xX8kOL2opK_u0L-aS4o6RBaL7XrGxnO09FqVHm3pP8fEQc6aP7UtTtewbIvVQildxoOJPE2CKsWSGGxWx_arn49zXFGAqT1xPG_sX0KxiB_MNjeNIy1hdbEPHnHyP_EJYZ7kJSt-IuU_9AxtTSk9zyOSzhPz2AuN8pD3tdTnXyyEwVb8p-Q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80A9A" w14:textId="792BA2C0" w:rsidR="00017777" w:rsidRDefault="00A463E3" w:rsidP="00A463E3">
      <w:pPr>
        <w:spacing w:after="0" w:line="360" w:lineRule="auto"/>
      </w:pPr>
      <w:r w:rsidRPr="00696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Supplementary Figure 7</w:t>
      </w:r>
      <w:r w:rsidRPr="00696D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Q-Q plot showing less skewness of all the traits in the GWAS </w:t>
      </w:r>
    </w:p>
    <w:sectPr w:rsidR="000177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E2F"/>
    <w:rsid w:val="00017777"/>
    <w:rsid w:val="002C475B"/>
    <w:rsid w:val="009472B7"/>
    <w:rsid w:val="00A463E3"/>
    <w:rsid w:val="00DB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F6B0A"/>
  <w15:chartTrackingRefBased/>
  <w15:docId w15:val="{42C4E0DB-7BB1-4340-84A8-2A84D275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3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Ajay Prasanth Ramalingam</dc:creator>
  <cp:keywords/>
  <dc:description/>
  <cp:lastModifiedBy>Ram</cp:lastModifiedBy>
  <cp:revision>2</cp:revision>
  <dcterms:created xsi:type="dcterms:W3CDTF">2023-04-15T01:30:00Z</dcterms:created>
  <dcterms:modified xsi:type="dcterms:W3CDTF">2023-04-15T01:30:00Z</dcterms:modified>
</cp:coreProperties>
</file>