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2F2C" w14:textId="4F876C52" w:rsidR="008051EA" w:rsidRPr="008051EA" w:rsidRDefault="008051EA" w:rsidP="008051EA">
      <w:pPr>
        <w:jc w:val="center"/>
        <w:rPr>
          <w:b/>
          <w:bCs/>
          <w:sz w:val="24"/>
          <w:szCs w:val="24"/>
          <w:lang w:val="en-US"/>
        </w:rPr>
      </w:pPr>
      <w:r w:rsidRPr="008051EA">
        <w:rPr>
          <w:b/>
          <w:bCs/>
          <w:sz w:val="24"/>
          <w:szCs w:val="24"/>
          <w:lang w:val="en-US"/>
        </w:rPr>
        <w:t>SUPPORTING INFORMATION</w:t>
      </w:r>
    </w:p>
    <w:p w14:paraId="3ADAD877" w14:textId="77777777" w:rsidR="00D03FEC" w:rsidRPr="00D03FEC" w:rsidRDefault="00D03FEC" w:rsidP="00D03FEC">
      <w:pPr>
        <w:spacing w:line="360" w:lineRule="auto"/>
        <w:jc w:val="center"/>
        <w:rPr>
          <w:b/>
          <w:lang w:val="en-US"/>
        </w:rPr>
      </w:pPr>
      <w:r w:rsidRPr="00D03FEC">
        <w:rPr>
          <w:b/>
          <w:lang w:val="en-US"/>
        </w:rPr>
        <w:t>Fallopian tube lesions as potential precursors of early ovarian cancer: A comprehensive proteomic analysis.</w:t>
      </w:r>
    </w:p>
    <w:p w14:paraId="00FE1D2A" w14:textId="77777777" w:rsidR="00054B0A" w:rsidRPr="00054B0A" w:rsidRDefault="00054B0A" w:rsidP="00054B0A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</w:pP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Maxence Wisztorski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1*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Soulaimane</w:t>
      </w:r>
      <w:proofErr w:type="spellEnd"/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Aboulouard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1*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 xml:space="preserve"> 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Lucas Roussel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1*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Marie Duhamel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1*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Philippe Saudemont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Tristan Cardon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Fabrice Narducci,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1,2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Yves-Marie Robin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1,2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Anne-Sophie Lemaire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1,2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Delphine </w:t>
      </w:r>
      <w:proofErr w:type="spellStart"/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Bertin</w:t>
      </w:r>
      <w:proofErr w:type="spellEnd"/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1,2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Nawale</w:t>
      </w:r>
      <w:proofErr w:type="spellEnd"/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Hajjaji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1,3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Firas Kobeissy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4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Eric Leblanc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1,2</w:t>
      </w:r>
      <w:r w:rsidRPr="00054B0A">
        <w:rPr>
          <w:rFonts w:ascii="Calibri" w:eastAsia="Calibri" w:hAnsi="Calibri" w:cs="Calibri"/>
          <w:sz w:val="24"/>
          <w:szCs w:val="24"/>
          <w:vertAlign w:val="superscript"/>
          <w:lang w:val="en-US" w:eastAsia="fr-FR"/>
        </w:rPr>
        <w:t>ǂ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Isabelle Fournier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1,5</w:t>
      </w:r>
      <w:r w:rsidRPr="00054B0A">
        <w:rPr>
          <w:rFonts w:ascii="Calibri" w:eastAsia="Calibri" w:hAnsi="Calibri" w:cs="Calibri"/>
          <w:sz w:val="24"/>
          <w:szCs w:val="24"/>
          <w:vertAlign w:val="superscript"/>
          <w:lang w:val="en-US" w:eastAsia="fr-FR"/>
        </w:rPr>
        <w:t>ǂ*</w:t>
      </w:r>
      <w:r w:rsidRPr="00054B0A">
        <w:rPr>
          <w:rFonts w:ascii="Calibri" w:eastAsia="Calibri" w:hAnsi="Calibri" w:cs="Calibri"/>
          <w:sz w:val="24"/>
          <w:szCs w:val="24"/>
          <w:lang w:val="en-US" w:eastAsia="fr-FR"/>
        </w:rPr>
        <w:t xml:space="preserve">, </w:t>
      </w:r>
      <w:r w:rsidRPr="00054B0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Michel Salzet</w:t>
      </w:r>
      <w:r w:rsidRPr="00054B0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1,5</w:t>
      </w:r>
      <w:r w:rsidRPr="00054B0A">
        <w:rPr>
          <w:rFonts w:ascii="Calibri" w:eastAsia="Calibri" w:hAnsi="Calibri" w:cs="Calibri"/>
          <w:sz w:val="24"/>
          <w:szCs w:val="24"/>
          <w:vertAlign w:val="superscript"/>
          <w:lang w:val="en-US" w:eastAsia="fr-FR"/>
        </w:rPr>
        <w:t>ǂ*</w:t>
      </w:r>
    </w:p>
    <w:p w14:paraId="130C84B1" w14:textId="624B31F9" w:rsidR="008051EA" w:rsidRPr="00D03FEC" w:rsidRDefault="008051EA" w:rsidP="008051EA">
      <w:pPr>
        <w:jc w:val="center"/>
        <w:rPr>
          <w:sz w:val="24"/>
          <w:szCs w:val="24"/>
        </w:rPr>
      </w:pPr>
    </w:p>
    <w:p w14:paraId="79C8F5B8" w14:textId="00824293" w:rsidR="008051EA" w:rsidRPr="00294905" w:rsidRDefault="008051EA" w:rsidP="008051EA">
      <w:pPr>
        <w:rPr>
          <w:b/>
          <w:bCs/>
          <w:sz w:val="24"/>
          <w:szCs w:val="24"/>
          <w:lang w:val="en-US"/>
        </w:rPr>
      </w:pPr>
      <w:r w:rsidRPr="00294905">
        <w:rPr>
          <w:b/>
          <w:bCs/>
          <w:sz w:val="24"/>
          <w:szCs w:val="24"/>
          <w:lang w:val="en-US"/>
        </w:rPr>
        <w:t>TABLE of CONTENTS</w:t>
      </w:r>
    </w:p>
    <w:p w14:paraId="04C01EF5" w14:textId="5D2500F7" w:rsidR="008051EA" w:rsidRPr="00991A03" w:rsidRDefault="008051EA" w:rsidP="008051EA">
      <w:pPr>
        <w:rPr>
          <w:b/>
          <w:bCs/>
          <w:sz w:val="24"/>
          <w:szCs w:val="24"/>
          <w:lang w:val="en-US"/>
        </w:rPr>
      </w:pPr>
      <w:r w:rsidRPr="00991A03">
        <w:rPr>
          <w:b/>
          <w:bCs/>
          <w:sz w:val="24"/>
          <w:szCs w:val="24"/>
          <w:lang w:val="en-US"/>
        </w:rPr>
        <w:t>Supplementary files:</w:t>
      </w:r>
    </w:p>
    <w:p w14:paraId="2040A778" w14:textId="2AFDD29D" w:rsidR="008051EA" w:rsidRDefault="008051EA" w:rsidP="008051EA">
      <w:pPr>
        <w:rPr>
          <w:sz w:val="24"/>
          <w:szCs w:val="24"/>
          <w:lang w:val="en-US"/>
        </w:rPr>
      </w:pPr>
      <w:r w:rsidRPr="00991A03">
        <w:rPr>
          <w:b/>
          <w:bCs/>
          <w:sz w:val="24"/>
          <w:szCs w:val="24"/>
          <w:lang w:val="en-US"/>
        </w:rPr>
        <w:t>Supp. Data 1:</w:t>
      </w:r>
      <w:r>
        <w:rPr>
          <w:sz w:val="24"/>
          <w:szCs w:val="24"/>
          <w:lang w:val="en-US"/>
        </w:rPr>
        <w:t xml:space="preserve"> List of </w:t>
      </w:r>
      <w:r w:rsidR="001A30A1">
        <w:rPr>
          <w:sz w:val="24"/>
          <w:szCs w:val="24"/>
          <w:lang w:val="en-US"/>
        </w:rPr>
        <w:t xml:space="preserve">quantified </w:t>
      </w:r>
      <w:r>
        <w:rPr>
          <w:sz w:val="24"/>
          <w:szCs w:val="24"/>
          <w:lang w:val="en-US"/>
        </w:rPr>
        <w:t>proteins corresponding to Venn diagram for lesions comparison</w:t>
      </w:r>
    </w:p>
    <w:p w14:paraId="3471F22B" w14:textId="6F33276C" w:rsidR="008051EA" w:rsidRDefault="008051EA" w:rsidP="008051EA">
      <w:pPr>
        <w:rPr>
          <w:sz w:val="24"/>
          <w:szCs w:val="24"/>
          <w:lang w:val="en-US"/>
        </w:rPr>
      </w:pPr>
      <w:r w:rsidRPr="00991A03">
        <w:rPr>
          <w:b/>
          <w:bCs/>
          <w:sz w:val="24"/>
          <w:szCs w:val="24"/>
          <w:lang w:val="en-US"/>
        </w:rPr>
        <w:t>Supp. Data 2:</w:t>
      </w:r>
      <w:r>
        <w:rPr>
          <w:sz w:val="24"/>
          <w:szCs w:val="24"/>
          <w:lang w:val="en-US"/>
        </w:rPr>
        <w:t xml:space="preserve"> List of</w:t>
      </w:r>
      <w:r w:rsidR="001A30A1">
        <w:rPr>
          <w:sz w:val="24"/>
          <w:szCs w:val="24"/>
          <w:lang w:val="en-US"/>
        </w:rPr>
        <w:t xml:space="preserve"> quantified</w:t>
      </w:r>
      <w:r>
        <w:rPr>
          <w:sz w:val="24"/>
          <w:szCs w:val="24"/>
          <w:lang w:val="en-US"/>
        </w:rPr>
        <w:t xml:space="preserve"> proteins corresponding to Venn diagram for lesions and HGSC comparison</w:t>
      </w:r>
    </w:p>
    <w:p w14:paraId="78A08EE4" w14:textId="3F819E49" w:rsidR="008051EA" w:rsidRDefault="008051EA" w:rsidP="008051EA">
      <w:pPr>
        <w:rPr>
          <w:sz w:val="24"/>
          <w:szCs w:val="24"/>
          <w:lang w:val="en-US"/>
        </w:rPr>
      </w:pPr>
      <w:r w:rsidRPr="00991A03">
        <w:rPr>
          <w:b/>
          <w:bCs/>
          <w:sz w:val="24"/>
          <w:szCs w:val="24"/>
          <w:lang w:val="en-US"/>
        </w:rPr>
        <w:t>Supp. Data 3:</w:t>
      </w:r>
      <w:r>
        <w:rPr>
          <w:sz w:val="24"/>
          <w:szCs w:val="24"/>
          <w:lang w:val="en-US"/>
        </w:rPr>
        <w:t xml:space="preserve"> </w:t>
      </w:r>
      <w:r w:rsidR="00991A03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ist of </w:t>
      </w:r>
      <w:r w:rsidR="001A30A1">
        <w:rPr>
          <w:sz w:val="24"/>
          <w:szCs w:val="24"/>
          <w:lang w:val="en-US"/>
        </w:rPr>
        <w:t xml:space="preserve">quantified </w:t>
      </w:r>
      <w:r>
        <w:rPr>
          <w:sz w:val="24"/>
          <w:szCs w:val="24"/>
          <w:lang w:val="en-US"/>
        </w:rPr>
        <w:t>proteins significantly modified in the different preneoplastic lesions</w:t>
      </w:r>
    </w:p>
    <w:p w14:paraId="16026AEA" w14:textId="2272AEC8" w:rsidR="001A30A1" w:rsidRPr="008051EA" w:rsidRDefault="001A30A1" w:rsidP="001A30A1">
      <w:pPr>
        <w:rPr>
          <w:sz w:val="24"/>
          <w:szCs w:val="24"/>
          <w:lang w:val="en-US"/>
        </w:rPr>
      </w:pPr>
      <w:r w:rsidRPr="00991A03">
        <w:rPr>
          <w:b/>
          <w:bCs/>
          <w:sz w:val="24"/>
          <w:szCs w:val="24"/>
          <w:lang w:val="en-US"/>
        </w:rPr>
        <w:t>Supp. Data 4:</w:t>
      </w:r>
      <w:r>
        <w:rPr>
          <w:sz w:val="24"/>
          <w:szCs w:val="24"/>
          <w:lang w:val="en-US"/>
        </w:rPr>
        <w:t xml:space="preserve"> Significantly enriched pathways obtained by enrichment analysis using Panther Db</w:t>
      </w:r>
    </w:p>
    <w:p w14:paraId="2DF61C86" w14:textId="6C28B938" w:rsidR="008051EA" w:rsidRDefault="001A30A1" w:rsidP="008051EA">
      <w:pPr>
        <w:rPr>
          <w:sz w:val="24"/>
          <w:szCs w:val="24"/>
          <w:lang w:val="en-US"/>
        </w:rPr>
      </w:pPr>
      <w:r w:rsidRPr="00991A03">
        <w:rPr>
          <w:b/>
          <w:bCs/>
          <w:sz w:val="24"/>
          <w:szCs w:val="24"/>
          <w:lang w:val="en-US"/>
        </w:rPr>
        <w:t>Supp. Data 5:</w:t>
      </w:r>
      <w:r>
        <w:rPr>
          <w:sz w:val="24"/>
          <w:szCs w:val="24"/>
          <w:lang w:val="en-US"/>
        </w:rPr>
        <w:t xml:space="preserve"> Quantitative comparison of proteins modified between normal tissue and p53 signature</w:t>
      </w:r>
    </w:p>
    <w:p w14:paraId="26DEF324" w14:textId="7EB46374" w:rsidR="003F33E7" w:rsidRPr="003F33E7" w:rsidRDefault="003F33E7" w:rsidP="003F33E7">
      <w:pPr>
        <w:spacing w:after="0" w:line="276" w:lineRule="auto"/>
      </w:pPr>
      <w:r>
        <w:rPr>
          <w:b/>
        </w:rPr>
        <w:t>Supp. Data 6</w:t>
      </w:r>
      <w:r>
        <w:t xml:space="preserve"> : </w:t>
      </w:r>
      <w:proofErr w:type="spellStart"/>
      <w:r>
        <w:t>Immunohistochemistry</w:t>
      </w:r>
      <w:proofErr w:type="spellEnd"/>
      <w:r>
        <w:t xml:space="preserve"> </w:t>
      </w:r>
      <w:proofErr w:type="spellStart"/>
      <w:r>
        <w:t>experiments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by fluorescence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specific</w:t>
      </w:r>
      <w:proofErr w:type="spellEnd"/>
      <w:r>
        <w:t xml:space="preserve"> markers (CAVIN1,CAVIN2, EIF3B, SPTAN1)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neoplastic</w:t>
      </w:r>
      <w:proofErr w:type="spellEnd"/>
      <w:r>
        <w:t xml:space="preserve"> </w:t>
      </w:r>
      <w:proofErr w:type="spellStart"/>
      <w:r>
        <w:t>lesion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to </w:t>
      </w:r>
      <w:proofErr w:type="spellStart"/>
      <w:r>
        <w:t>healthy</w:t>
      </w:r>
      <w:proofErr w:type="spellEnd"/>
      <w:r>
        <w:t xml:space="preserve"> tissues. </w:t>
      </w:r>
    </w:p>
    <w:p w14:paraId="71569054" w14:textId="7EE98562" w:rsidR="001A30A1" w:rsidRDefault="001A30A1" w:rsidP="008051EA">
      <w:pPr>
        <w:rPr>
          <w:sz w:val="24"/>
          <w:szCs w:val="24"/>
          <w:lang w:val="en-US"/>
        </w:rPr>
      </w:pPr>
      <w:r w:rsidRPr="00991A03">
        <w:rPr>
          <w:b/>
          <w:bCs/>
          <w:sz w:val="24"/>
          <w:szCs w:val="24"/>
          <w:lang w:val="en-US"/>
        </w:rPr>
        <w:t xml:space="preserve">Supp. Data </w:t>
      </w:r>
      <w:r w:rsidR="003F33E7">
        <w:rPr>
          <w:b/>
          <w:bCs/>
          <w:sz w:val="24"/>
          <w:szCs w:val="24"/>
          <w:lang w:val="en-US"/>
        </w:rPr>
        <w:t>7</w:t>
      </w:r>
      <w:r w:rsidRPr="00991A03">
        <w:rPr>
          <w:b/>
          <w:bCs/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List of mutated peptides identified using the </w:t>
      </w:r>
      <w:proofErr w:type="spellStart"/>
      <w:r>
        <w:rPr>
          <w:sz w:val="24"/>
          <w:szCs w:val="24"/>
          <w:lang w:val="en-US"/>
        </w:rPr>
        <w:t>XMAn</w:t>
      </w:r>
      <w:proofErr w:type="spellEnd"/>
      <w:r>
        <w:rPr>
          <w:sz w:val="24"/>
          <w:szCs w:val="24"/>
          <w:lang w:val="en-US"/>
        </w:rPr>
        <w:t xml:space="preserve"> database</w:t>
      </w:r>
    </w:p>
    <w:p w14:paraId="1C22C3A3" w14:textId="56741F61" w:rsidR="001A30A1" w:rsidRPr="008051EA" w:rsidRDefault="001A30A1" w:rsidP="008051EA">
      <w:pPr>
        <w:rPr>
          <w:sz w:val="24"/>
          <w:szCs w:val="24"/>
          <w:lang w:val="en-US"/>
        </w:rPr>
      </w:pPr>
      <w:r w:rsidRPr="00991A03">
        <w:rPr>
          <w:b/>
          <w:bCs/>
          <w:sz w:val="24"/>
          <w:szCs w:val="24"/>
          <w:lang w:val="en-US"/>
        </w:rPr>
        <w:t xml:space="preserve">Supp. Data </w:t>
      </w:r>
      <w:r w:rsidR="003F33E7">
        <w:rPr>
          <w:b/>
          <w:bCs/>
          <w:sz w:val="24"/>
          <w:szCs w:val="24"/>
          <w:lang w:val="en-US"/>
        </w:rPr>
        <w:t>8</w:t>
      </w:r>
      <w:r w:rsidRPr="00991A03">
        <w:rPr>
          <w:b/>
          <w:bCs/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List of alternatives proteins identified </w:t>
      </w:r>
    </w:p>
    <w:p w14:paraId="6A5154A9" w14:textId="77777777" w:rsidR="00991A03" w:rsidRDefault="00991A03" w:rsidP="008051EA">
      <w:pPr>
        <w:rPr>
          <w:sz w:val="24"/>
          <w:szCs w:val="24"/>
          <w:lang w:val="en-US"/>
        </w:rPr>
      </w:pPr>
    </w:p>
    <w:p w14:paraId="19950A55" w14:textId="4D29D533" w:rsidR="001A30A1" w:rsidRDefault="001A30A1" w:rsidP="008051EA">
      <w:pPr>
        <w:rPr>
          <w:b/>
          <w:bCs/>
          <w:sz w:val="24"/>
          <w:szCs w:val="24"/>
          <w:lang w:val="en-US"/>
        </w:rPr>
      </w:pPr>
      <w:r w:rsidRPr="00991A03">
        <w:rPr>
          <w:b/>
          <w:bCs/>
          <w:sz w:val="24"/>
          <w:szCs w:val="24"/>
          <w:lang w:val="en-US"/>
        </w:rPr>
        <w:t>Supplementary figures</w:t>
      </w:r>
      <w:r w:rsidR="00991A03">
        <w:rPr>
          <w:b/>
          <w:bCs/>
          <w:sz w:val="24"/>
          <w:szCs w:val="24"/>
          <w:lang w:val="en-US"/>
        </w:rPr>
        <w:t>:</w:t>
      </w:r>
    </w:p>
    <w:p w14:paraId="5501D1E7" w14:textId="49A9F8B2" w:rsidR="00E86E16" w:rsidRPr="00991A03" w:rsidRDefault="00E86E16" w:rsidP="008051EA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Figure S1: </w:t>
      </w:r>
      <w:r w:rsidR="00BD4E6E" w:rsidRPr="00BD4E6E">
        <w:rPr>
          <w:sz w:val="24"/>
          <w:szCs w:val="24"/>
          <w:lang w:val="en-US"/>
        </w:rPr>
        <w:t>Mass Spectrometry Imaging of different preneoplastic lesions.</w:t>
      </w:r>
    </w:p>
    <w:p w14:paraId="32C8B711" w14:textId="77777777" w:rsidR="00BD4E6E" w:rsidRDefault="001A30A1">
      <w:pPr>
        <w:rPr>
          <w:sz w:val="24"/>
          <w:szCs w:val="24"/>
          <w:lang w:val="en-US"/>
        </w:rPr>
      </w:pPr>
      <w:r w:rsidRPr="00991A03">
        <w:rPr>
          <w:b/>
          <w:bCs/>
          <w:sz w:val="24"/>
          <w:szCs w:val="24"/>
          <w:lang w:val="en-US"/>
        </w:rPr>
        <w:t>Figure S1:</w:t>
      </w:r>
      <w:r>
        <w:rPr>
          <w:sz w:val="24"/>
          <w:szCs w:val="24"/>
          <w:lang w:val="en-US"/>
        </w:rPr>
        <w:t xml:space="preserve"> </w:t>
      </w:r>
      <w:r w:rsidR="003C362E">
        <w:rPr>
          <w:sz w:val="24"/>
          <w:szCs w:val="24"/>
          <w:lang w:val="en-US"/>
        </w:rPr>
        <w:t>Visualization of protein levels in the different lesions for proteins known to be involved in the Warburg effect.</w:t>
      </w:r>
    </w:p>
    <w:p w14:paraId="51621DC7" w14:textId="77777777" w:rsidR="00BD4E6E" w:rsidRDefault="00BD4E6E">
      <w:pPr>
        <w:rPr>
          <w:sz w:val="24"/>
          <w:szCs w:val="24"/>
          <w:lang w:val="en-US"/>
        </w:rPr>
      </w:pPr>
    </w:p>
    <w:p w14:paraId="6AC01C3E" w14:textId="77777777" w:rsidR="00CF3B39" w:rsidRPr="003136A6" w:rsidRDefault="00BD4E6E">
      <w:pPr>
        <w:rPr>
          <w:b/>
          <w:bCs/>
          <w:sz w:val="24"/>
          <w:szCs w:val="24"/>
          <w:lang w:val="en-US"/>
        </w:rPr>
      </w:pPr>
      <w:r w:rsidRPr="003136A6">
        <w:rPr>
          <w:b/>
          <w:bCs/>
          <w:sz w:val="24"/>
          <w:szCs w:val="24"/>
          <w:lang w:val="en-US"/>
        </w:rPr>
        <w:lastRenderedPageBreak/>
        <w:t>Supplementary Methods</w:t>
      </w:r>
      <w:r w:rsidR="00CF3B39" w:rsidRPr="003136A6">
        <w:rPr>
          <w:b/>
          <w:bCs/>
          <w:sz w:val="24"/>
          <w:szCs w:val="24"/>
          <w:lang w:val="en-US"/>
        </w:rPr>
        <w:t>:</w:t>
      </w:r>
    </w:p>
    <w:p w14:paraId="178BBF68" w14:textId="7E6799E3" w:rsidR="00991A03" w:rsidRDefault="00CF3B3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Mass spectrometry Imaging and data analysis</w:t>
      </w:r>
      <w:r w:rsidR="00991A03">
        <w:rPr>
          <w:sz w:val="24"/>
          <w:szCs w:val="24"/>
          <w:lang w:val="en-US"/>
        </w:rPr>
        <w:br w:type="page"/>
      </w:r>
    </w:p>
    <w:p w14:paraId="46265C66" w14:textId="77777777" w:rsidR="00134D5C" w:rsidRDefault="00AE5B24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6CD420B6" wp14:editId="13A2BB98">
            <wp:extent cx="6035675" cy="3420110"/>
            <wp:effectExtent l="0" t="0" r="3175" b="889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7256F" w14:textId="1F4F5F6F" w:rsidR="00AE5B24" w:rsidRDefault="00134D5C" w:rsidP="003E07CA">
      <w:pPr>
        <w:rPr>
          <w:sz w:val="24"/>
          <w:szCs w:val="24"/>
          <w:lang w:val="en-US"/>
        </w:rPr>
      </w:pPr>
      <w:r w:rsidRPr="00727B88">
        <w:rPr>
          <w:b/>
          <w:bCs/>
          <w:sz w:val="24"/>
          <w:szCs w:val="24"/>
          <w:lang w:val="en-US"/>
        </w:rPr>
        <w:t xml:space="preserve">Figure S1: Mass Spectrometry Imaging </w:t>
      </w:r>
      <w:r w:rsidR="00CA491E" w:rsidRPr="00727B88">
        <w:rPr>
          <w:b/>
          <w:bCs/>
          <w:sz w:val="24"/>
          <w:szCs w:val="24"/>
          <w:lang w:val="en-US"/>
        </w:rPr>
        <w:t xml:space="preserve">of </w:t>
      </w:r>
      <w:r w:rsidRPr="00727B88">
        <w:rPr>
          <w:b/>
          <w:bCs/>
          <w:sz w:val="24"/>
          <w:szCs w:val="24"/>
          <w:lang w:val="en-US"/>
        </w:rPr>
        <w:t xml:space="preserve">different </w:t>
      </w:r>
      <w:r w:rsidR="00727B88" w:rsidRPr="00727B88">
        <w:rPr>
          <w:b/>
          <w:bCs/>
          <w:sz w:val="24"/>
          <w:szCs w:val="24"/>
          <w:lang w:val="en-US"/>
        </w:rPr>
        <w:t xml:space="preserve">preneoplastic </w:t>
      </w:r>
      <w:r w:rsidRPr="00727B88">
        <w:rPr>
          <w:b/>
          <w:bCs/>
          <w:sz w:val="24"/>
          <w:szCs w:val="24"/>
          <w:lang w:val="en-US"/>
        </w:rPr>
        <w:t>lesions</w:t>
      </w:r>
      <w:r w:rsidRPr="00134D5C">
        <w:rPr>
          <w:b/>
          <w:bCs/>
          <w:sz w:val="24"/>
          <w:szCs w:val="24"/>
          <w:lang w:val="en-US"/>
        </w:rPr>
        <w:t>.</w:t>
      </w:r>
      <w:r w:rsidR="00727B88">
        <w:rPr>
          <w:b/>
          <w:bCs/>
          <w:sz w:val="24"/>
          <w:szCs w:val="24"/>
          <w:lang w:val="en-US"/>
        </w:rPr>
        <w:t xml:space="preserve"> </w:t>
      </w:r>
      <w:r w:rsidR="003E07CA" w:rsidRPr="003E07CA">
        <w:rPr>
          <w:sz w:val="24"/>
          <w:szCs w:val="24"/>
          <w:lang w:val="en-US"/>
        </w:rPr>
        <w:t>A) Optical visualization of a tissue section showing a highlighted region with a STIC.</w:t>
      </w:r>
      <w:r w:rsidR="003E07CA">
        <w:rPr>
          <w:sz w:val="24"/>
          <w:szCs w:val="24"/>
          <w:lang w:val="en-US"/>
        </w:rPr>
        <w:t xml:space="preserve"> </w:t>
      </w:r>
      <w:r w:rsidR="003E07CA" w:rsidRPr="003E07CA">
        <w:rPr>
          <w:sz w:val="24"/>
          <w:szCs w:val="24"/>
          <w:lang w:val="en-US"/>
        </w:rPr>
        <w:t>B) Spatial segmentation was used to identify and visualize regions with different molecular signatures. The image shows the extracted ions with m/z 3019.194 and m/z 2636.76.</w:t>
      </w:r>
      <w:r w:rsidR="003E07CA">
        <w:rPr>
          <w:sz w:val="24"/>
          <w:szCs w:val="24"/>
          <w:lang w:val="en-US"/>
        </w:rPr>
        <w:t xml:space="preserve"> </w:t>
      </w:r>
      <w:r w:rsidR="003E07CA" w:rsidRPr="003E07CA">
        <w:rPr>
          <w:sz w:val="24"/>
          <w:szCs w:val="24"/>
          <w:lang w:val="en-US"/>
        </w:rPr>
        <w:t>C) Spatial segmentation comparison between normal tissue and a tissue section with a region presenting a p53 signature.</w:t>
      </w:r>
      <w:r w:rsidR="003E07CA">
        <w:rPr>
          <w:sz w:val="24"/>
          <w:szCs w:val="24"/>
          <w:lang w:val="en-US"/>
        </w:rPr>
        <w:t xml:space="preserve"> </w:t>
      </w:r>
      <w:r w:rsidR="003E07CA" w:rsidRPr="003E07CA">
        <w:rPr>
          <w:sz w:val="24"/>
          <w:szCs w:val="24"/>
          <w:lang w:val="en-US"/>
        </w:rPr>
        <w:t xml:space="preserve">D) </w:t>
      </w:r>
      <w:r w:rsidR="003E6E03">
        <w:rPr>
          <w:sz w:val="24"/>
          <w:szCs w:val="24"/>
          <w:lang w:val="en-US"/>
        </w:rPr>
        <w:t>Example of a</w:t>
      </w:r>
      <w:r w:rsidR="003E07CA" w:rsidRPr="003E07CA">
        <w:rPr>
          <w:sz w:val="24"/>
          <w:szCs w:val="24"/>
          <w:lang w:val="en-US"/>
        </w:rPr>
        <w:t xml:space="preserve"> </w:t>
      </w:r>
      <w:r w:rsidR="003E6E03">
        <w:rPr>
          <w:sz w:val="24"/>
          <w:szCs w:val="24"/>
          <w:lang w:val="en-US"/>
        </w:rPr>
        <w:t>lesion</w:t>
      </w:r>
      <w:r w:rsidR="003E07CA" w:rsidRPr="003E07CA">
        <w:rPr>
          <w:sz w:val="24"/>
          <w:szCs w:val="24"/>
          <w:lang w:val="en-US"/>
        </w:rPr>
        <w:t xml:space="preserve"> region subjected to trypsin digestion and liquid microextraction, with the resulting visualization.</w:t>
      </w:r>
      <w:r w:rsidR="00AE5B24">
        <w:rPr>
          <w:sz w:val="24"/>
          <w:szCs w:val="24"/>
          <w:lang w:val="en-US"/>
        </w:rPr>
        <w:br w:type="page"/>
      </w:r>
    </w:p>
    <w:p w14:paraId="5F348C80" w14:textId="491F4501" w:rsidR="001A30A1" w:rsidRDefault="00991A03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6D3564E2" wp14:editId="14E7A6A9">
            <wp:extent cx="5760000" cy="319678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19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8B72F" w14:textId="31EF709B" w:rsidR="00991A03" w:rsidRDefault="00991A03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4655B9B5" wp14:editId="261C8AC1">
            <wp:extent cx="5760000" cy="3123877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123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FB4C9" w14:textId="26D334CA" w:rsidR="00991A03" w:rsidRDefault="00991A03" w:rsidP="008E33DC">
      <w:pPr>
        <w:jc w:val="both"/>
        <w:rPr>
          <w:sz w:val="24"/>
          <w:szCs w:val="24"/>
          <w:lang w:val="en-US"/>
        </w:rPr>
      </w:pPr>
      <w:bookmarkStart w:id="0" w:name="_Hlk131078913"/>
      <w:r>
        <w:rPr>
          <w:sz w:val="24"/>
          <w:szCs w:val="24"/>
          <w:lang w:val="en-US"/>
        </w:rPr>
        <w:t>Figure S</w:t>
      </w:r>
      <w:r w:rsidR="003136A6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 xml:space="preserve">: </w:t>
      </w:r>
      <w:r w:rsidR="003C362E" w:rsidRPr="003C362E">
        <w:rPr>
          <w:b/>
          <w:bCs/>
          <w:sz w:val="24"/>
          <w:szCs w:val="24"/>
          <w:lang w:val="en-US"/>
        </w:rPr>
        <w:t xml:space="preserve">Visualization </w:t>
      </w:r>
      <w:r w:rsidRPr="003C362E">
        <w:rPr>
          <w:b/>
          <w:bCs/>
          <w:sz w:val="24"/>
          <w:szCs w:val="24"/>
          <w:lang w:val="en-US"/>
        </w:rPr>
        <w:t>of protein level</w:t>
      </w:r>
      <w:r w:rsidR="003C362E" w:rsidRPr="003C362E">
        <w:rPr>
          <w:b/>
          <w:bCs/>
          <w:sz w:val="24"/>
          <w:szCs w:val="24"/>
          <w:lang w:val="en-US"/>
        </w:rPr>
        <w:t>s</w:t>
      </w:r>
      <w:r w:rsidRPr="003C362E">
        <w:rPr>
          <w:b/>
          <w:bCs/>
          <w:sz w:val="24"/>
          <w:szCs w:val="24"/>
          <w:lang w:val="en-US"/>
        </w:rPr>
        <w:t xml:space="preserve"> in the different lesions for proteins known to be involved in the Warburg effect.</w:t>
      </w:r>
      <w:bookmarkEnd w:id="0"/>
      <w:r>
        <w:rPr>
          <w:sz w:val="24"/>
          <w:szCs w:val="24"/>
          <w:lang w:val="en-US"/>
        </w:rPr>
        <w:t xml:space="preserve"> </w:t>
      </w:r>
      <w:r w:rsidR="003C362E">
        <w:rPr>
          <w:sz w:val="24"/>
          <w:szCs w:val="24"/>
          <w:lang w:val="en-US"/>
        </w:rPr>
        <w:t>Log(LFQ) values were used for the representation</w:t>
      </w:r>
      <w:r w:rsidR="008E33DC">
        <w:rPr>
          <w:sz w:val="24"/>
          <w:szCs w:val="24"/>
          <w:lang w:val="en-US"/>
        </w:rPr>
        <w:t xml:space="preserve"> of </w:t>
      </w:r>
      <w:r w:rsidR="008E33DC" w:rsidRPr="008E33DC">
        <w:rPr>
          <w:sz w:val="24"/>
          <w:szCs w:val="24"/>
          <w:lang w:val="en-US"/>
        </w:rPr>
        <w:t>Fructose-bisphosphate aldolase A</w:t>
      </w:r>
      <w:r w:rsidR="008E33DC">
        <w:rPr>
          <w:sz w:val="24"/>
          <w:szCs w:val="24"/>
          <w:lang w:val="en-US"/>
        </w:rPr>
        <w:t xml:space="preserve"> (ALDOA), </w:t>
      </w:r>
      <w:r w:rsidR="008E33DC" w:rsidRPr="008E33DC">
        <w:rPr>
          <w:sz w:val="24"/>
          <w:szCs w:val="24"/>
          <w:lang w:val="en-US"/>
        </w:rPr>
        <w:t>Triosephosphate isomerase</w:t>
      </w:r>
      <w:r w:rsidR="008E33DC">
        <w:rPr>
          <w:sz w:val="24"/>
          <w:szCs w:val="24"/>
          <w:lang w:val="en-US"/>
        </w:rPr>
        <w:t xml:space="preserve"> (TPI1), </w:t>
      </w:r>
      <w:r w:rsidR="008E33DC" w:rsidRPr="008E33DC">
        <w:rPr>
          <w:rFonts w:ascii="Calibri" w:eastAsia="Times New Roman" w:hAnsi="Calibri" w:cs="Calibri"/>
          <w:color w:val="000000"/>
          <w:lang w:val="en-US" w:eastAsia="fr-FR"/>
        </w:rPr>
        <w:t>Glyceraldehyde-3-phosphate dehydrogenase</w:t>
      </w:r>
      <w:r w:rsidR="008E33DC">
        <w:rPr>
          <w:rFonts w:ascii="Calibri" w:eastAsia="Times New Roman" w:hAnsi="Calibri" w:cs="Calibri"/>
          <w:color w:val="000000"/>
          <w:lang w:val="en-US" w:eastAsia="fr-FR"/>
        </w:rPr>
        <w:t xml:space="preserve"> (GAPDH), </w:t>
      </w:r>
      <w:r w:rsidR="008E33DC" w:rsidRPr="008E33DC">
        <w:rPr>
          <w:rFonts w:ascii="Calibri" w:eastAsia="Times New Roman" w:hAnsi="Calibri" w:cs="Calibri"/>
          <w:color w:val="000000"/>
          <w:lang w:val="en-US" w:eastAsia="fr-FR"/>
        </w:rPr>
        <w:t>Alpha-enolase</w:t>
      </w:r>
      <w:r w:rsidR="008E33DC">
        <w:rPr>
          <w:rFonts w:ascii="Calibri" w:eastAsia="Times New Roman" w:hAnsi="Calibri" w:cs="Calibri"/>
          <w:color w:val="000000"/>
          <w:lang w:val="en-US" w:eastAsia="fr-FR"/>
        </w:rPr>
        <w:t xml:space="preserve"> (ENO1), </w:t>
      </w:r>
      <w:r w:rsidR="008E33DC" w:rsidRPr="008E33DC">
        <w:rPr>
          <w:rFonts w:ascii="Calibri" w:eastAsia="Times New Roman" w:hAnsi="Calibri" w:cs="Calibri"/>
          <w:color w:val="000000"/>
          <w:lang w:val="en-US" w:eastAsia="fr-FR"/>
        </w:rPr>
        <w:t>Pyruvate kinase PKM</w:t>
      </w:r>
      <w:r w:rsidR="008E33DC">
        <w:rPr>
          <w:rFonts w:ascii="Calibri" w:eastAsia="Times New Roman" w:hAnsi="Calibri" w:cs="Calibri"/>
          <w:color w:val="000000"/>
          <w:lang w:val="en-US" w:eastAsia="fr-FR"/>
        </w:rPr>
        <w:t xml:space="preserve"> (PKM), </w:t>
      </w:r>
      <w:r w:rsidR="008E33DC" w:rsidRPr="008E33DC">
        <w:rPr>
          <w:rFonts w:ascii="Calibri" w:eastAsia="Times New Roman" w:hAnsi="Calibri" w:cs="Calibri"/>
          <w:color w:val="000000"/>
          <w:lang w:val="en-US" w:eastAsia="fr-FR"/>
        </w:rPr>
        <w:t>Hexokinase-1</w:t>
      </w:r>
      <w:r w:rsidR="008E33DC">
        <w:rPr>
          <w:rFonts w:ascii="Calibri" w:eastAsia="Times New Roman" w:hAnsi="Calibri" w:cs="Calibri"/>
          <w:color w:val="000000"/>
          <w:lang w:val="en-US" w:eastAsia="fr-FR"/>
        </w:rPr>
        <w:t xml:space="preserve"> (HK1), </w:t>
      </w:r>
      <w:r w:rsidR="008E33DC" w:rsidRPr="008E33DC">
        <w:rPr>
          <w:rFonts w:ascii="Calibri" w:eastAsia="Times New Roman" w:hAnsi="Calibri" w:cs="Calibri"/>
          <w:color w:val="000000"/>
          <w:lang w:val="en-US" w:eastAsia="fr-FR"/>
        </w:rPr>
        <w:t>Glucose-6-phosphate isomerase</w:t>
      </w:r>
      <w:r w:rsidR="008E33DC">
        <w:rPr>
          <w:rFonts w:ascii="Calibri" w:eastAsia="Times New Roman" w:hAnsi="Calibri" w:cs="Calibri"/>
          <w:color w:val="000000"/>
          <w:lang w:val="en-US" w:eastAsia="fr-FR"/>
        </w:rPr>
        <w:t xml:space="preserve"> (GPI) and </w:t>
      </w:r>
      <w:r w:rsidR="008E33DC" w:rsidRPr="008E33DC">
        <w:rPr>
          <w:rFonts w:ascii="Calibri" w:eastAsia="Times New Roman" w:hAnsi="Calibri" w:cs="Calibri"/>
          <w:color w:val="000000"/>
          <w:lang w:val="en-US" w:eastAsia="fr-FR"/>
        </w:rPr>
        <w:t>L-lactate dehydrogenase A chain</w:t>
      </w:r>
      <w:r w:rsidR="008E33DC">
        <w:rPr>
          <w:rFonts w:ascii="Calibri" w:eastAsia="Times New Roman" w:hAnsi="Calibri" w:cs="Calibri"/>
          <w:color w:val="000000"/>
          <w:lang w:val="en-US" w:eastAsia="fr-FR"/>
        </w:rPr>
        <w:t xml:space="preserve"> (LDHA). A</w:t>
      </w:r>
      <w:r w:rsidR="003C362E">
        <w:rPr>
          <w:sz w:val="24"/>
          <w:szCs w:val="24"/>
          <w:lang w:val="en-US"/>
        </w:rPr>
        <w:t xml:space="preserve"> t-test is used to compare the value between normal tissue and each lesion. P-value is represented by stars </w:t>
      </w:r>
      <w:r w:rsidR="002B4A45">
        <w:rPr>
          <w:sz w:val="24"/>
          <w:szCs w:val="24"/>
          <w:lang w:val="en-US"/>
        </w:rPr>
        <w:t>(*</w:t>
      </w:r>
      <w:r w:rsidR="003C362E">
        <w:rPr>
          <w:sz w:val="24"/>
          <w:szCs w:val="24"/>
          <w:lang w:val="en-US"/>
        </w:rPr>
        <w:t>** p &lt; 0.001, ** p &lt; 0.01 , * p &lt; 0.05 no star for p &gt; 0.05)</w:t>
      </w:r>
      <w:r w:rsidR="008E33DC">
        <w:rPr>
          <w:sz w:val="24"/>
          <w:szCs w:val="24"/>
          <w:lang w:val="en-US"/>
        </w:rPr>
        <w:t>.</w:t>
      </w:r>
    </w:p>
    <w:p w14:paraId="15A5927A" w14:textId="0BF10EDE" w:rsidR="003136A6" w:rsidRDefault="003136A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73ACB8DA" w14:textId="77777777" w:rsidR="00ED5008" w:rsidRDefault="003136A6" w:rsidP="003F684F">
      <w:pPr>
        <w:spacing w:after="200"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Supplem</w:t>
      </w:r>
      <w:r w:rsidR="003F684F">
        <w:rPr>
          <w:sz w:val="24"/>
          <w:szCs w:val="24"/>
          <w:lang w:val="en-US"/>
        </w:rPr>
        <w:t xml:space="preserve">entary Methods : </w:t>
      </w:r>
    </w:p>
    <w:p w14:paraId="0936F1F9" w14:textId="3AFF6AB0" w:rsidR="003F684F" w:rsidRPr="0009619A" w:rsidRDefault="003F684F" w:rsidP="003F684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09619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MALDI mass spectrometry imaging (MALDI MSI)</w:t>
      </w:r>
    </w:p>
    <w:p w14:paraId="1BED8A31" w14:textId="2C373157" w:rsidR="003F684F" w:rsidRPr="0009619A" w:rsidRDefault="00404B27" w:rsidP="003F684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this study, 7 µm-thick FFPE tissue sections were used for MALDI MSI analysis, following previously established protocols (Fournier et al., 2003; Lemaire et al., 2007; Lemaire et al., 2006a; Lemaire et al., 2006b; Wisztorski et al., 2007). To ensure optimal trypsin digestion, a trypsin solution (60 </w:t>
      </w:r>
      <w:proofErr w:type="spellStart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μg</w:t>
      </w:r>
      <w:proofErr w:type="spellEnd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/mL in NH4HCO3 50 mM) was uniformly sprayed onto the tissue surface for 15 minutes using an electrospray nebulizer connected to a syringe pump (flow rate 180 </w:t>
      </w:r>
      <w:proofErr w:type="spellStart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nL</w:t>
      </w:r>
      <w:proofErr w:type="spellEnd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/min). The incubation chamber, ImagePrep (Bruker </w:t>
      </w:r>
      <w:proofErr w:type="spellStart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Daltonics</w:t>
      </w:r>
      <w:proofErr w:type="spellEnd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Bremen, Germany), was used to </w:t>
      </w:r>
      <w:proofErr w:type="spellStart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microspray</w:t>
      </w:r>
      <w:proofErr w:type="spellEnd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water heated to 37°C for 2 hours with a constant humidity atmosphere maintained by filling a small container with 95°C water. After digestion, a solid ionic matrix, HCCA/ANI (Lemaire et al., 2006), was deposited using ImagePrep, where 36 </w:t>
      </w:r>
      <w:proofErr w:type="spellStart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μL</w:t>
      </w:r>
      <w:proofErr w:type="spellEnd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of aniline were added to 5 mL of a solution of 10 mg/mL HCCA dissolved in ACN/0.1% TFA aqueous (7:3, v/v). A uniform layer of matrix was achieved by monitoring scattered light in real-time. MALDI MSI experiments were performed on an </w:t>
      </w:r>
      <w:proofErr w:type="spellStart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Ultraflex</w:t>
      </w:r>
      <w:proofErr w:type="spellEnd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II MALDI-TOF/TOF instrument (Bruker) with a </w:t>
      </w:r>
      <w:proofErr w:type="spellStart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smartbeam</w:t>
      </w:r>
      <w:proofErr w:type="spellEnd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II solid state laser, acquiring mass spectra in positive reflector mode between 800-4000 m/z range. Spectra were recorded by averaging 400 laser shots per pixel, with a 70 </w:t>
      </w:r>
      <w:proofErr w:type="spellStart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μm</w:t>
      </w:r>
      <w:proofErr w:type="spellEnd"/>
      <w:r w:rsidRPr="00404B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spatial resolution raster and a laser repletion rate of 200Hz.</w:t>
      </w:r>
    </w:p>
    <w:p w14:paraId="02DB3E24" w14:textId="77777777" w:rsidR="003F684F" w:rsidRPr="0009619A" w:rsidRDefault="003F684F" w:rsidP="003F684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09619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MALDI MSI data processing and analysis</w:t>
      </w:r>
    </w:p>
    <w:p w14:paraId="418EDDE6" w14:textId="23A80674" w:rsidR="00ED5008" w:rsidRPr="00ED5008" w:rsidRDefault="00ED5008" w:rsidP="00ED500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D50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MALDI-MSI data were analyzed using </w:t>
      </w:r>
      <w:proofErr w:type="spellStart"/>
      <w:r w:rsidRPr="00ED50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SCiLS</w:t>
      </w:r>
      <w:proofErr w:type="spellEnd"/>
      <w:r w:rsidRPr="00ED50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Lab software (</w:t>
      </w:r>
      <w:proofErr w:type="spellStart"/>
      <w:r w:rsidRPr="00ED50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SCiLS</w:t>
      </w:r>
      <w:proofErr w:type="spellEnd"/>
      <w:r w:rsidRPr="00ED50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Lab 2019, </w:t>
      </w:r>
      <w:proofErr w:type="spellStart"/>
      <w:r w:rsidRPr="00ED50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SCiLS</w:t>
      </w:r>
      <w:proofErr w:type="spellEnd"/>
      <w:r w:rsidRPr="00ED50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GmbH) in accordance with standard processing methods for MALDI MSI. First, a convolution method was used to remove the baseline and then the data were normalized using the Total Ion Count (TIC) method (Klein et al., 2014; </w:t>
      </w:r>
      <w:proofErr w:type="spellStart"/>
      <w:r w:rsidRPr="00ED50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Trede</w:t>
      </w:r>
      <w:proofErr w:type="spellEnd"/>
      <w:r w:rsidRPr="00ED50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et al., 2012). Next, the bisecting k-means algorithm (Alexandrov et al., 2010) was employed to cluster the pre-processed data, resulting in a spatial segmentation.</w:t>
      </w:r>
    </w:p>
    <w:p w14:paraId="39D40522" w14:textId="20E38FAE" w:rsidR="003136A6" w:rsidRDefault="00ED5008" w:rsidP="00ED500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D50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 minimize pixel-to-pixel variability, the clusters were subjected to edge-preserving image denoising and arbitrarily assigned a color. It should be noted that multiple disconnected regions may have the same color, indicating similar molecular content. The resulting spatial segmentation maps were displayed as a dendrogram generated through hierarchical clustering, with the dendrogram branches determined by a distance calculation between each cluster. Selection of different dendrogram branches enabled the differentiation and color-coding of distinct molecular composition regions.</w:t>
      </w:r>
    </w:p>
    <w:p w14:paraId="733B22E9" w14:textId="77777777" w:rsidR="006147A8" w:rsidRDefault="006147A8" w:rsidP="00ED500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2D8CAD12" w14:textId="77777777" w:rsidR="00DC586E" w:rsidRDefault="00DC586E" w:rsidP="00DC586E">
      <w:pPr>
        <w:spacing w:line="276" w:lineRule="auto"/>
      </w:pPr>
      <w:r>
        <w:rPr>
          <w:b/>
        </w:rPr>
        <w:t>NanoLC-ESI-MS²</w:t>
      </w:r>
      <w:r>
        <w:t xml:space="preserve">. </w:t>
      </w:r>
    </w:p>
    <w:p w14:paraId="7B23C8DB" w14:textId="1956AF38" w:rsidR="00DC586E" w:rsidRDefault="00DC586E" w:rsidP="00DC586E">
      <w:pPr>
        <w:spacing w:line="276" w:lineRule="auto"/>
      </w:pPr>
      <w:proofErr w:type="spellStart"/>
      <w:r>
        <w:t>After</w:t>
      </w:r>
      <w:proofErr w:type="spellEnd"/>
      <w:r>
        <w:t xml:space="preserve"> the </w:t>
      </w:r>
      <w:proofErr w:type="spellStart"/>
      <w:r>
        <w:t>liquid</w:t>
      </w:r>
      <w:proofErr w:type="spellEnd"/>
      <w:r>
        <w:t xml:space="preserve"> extraction, </w:t>
      </w:r>
      <w:proofErr w:type="spellStart"/>
      <w:r>
        <w:t>samples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freeze-</w:t>
      </w:r>
      <w:proofErr w:type="spellStart"/>
      <w:r>
        <w:t>dried</w:t>
      </w:r>
      <w:proofErr w:type="spellEnd"/>
      <w:r>
        <w:t xml:space="preserve"> in a </w:t>
      </w:r>
      <w:proofErr w:type="spellStart"/>
      <w:r>
        <w:t>SpeedVac</w:t>
      </w:r>
      <w:proofErr w:type="spellEnd"/>
      <w:r>
        <w:t xml:space="preserve"> </w:t>
      </w:r>
      <w:proofErr w:type="spellStart"/>
      <w:r>
        <w:t>concentrator</w:t>
      </w:r>
      <w:proofErr w:type="spellEnd"/>
      <w:r>
        <w:t xml:space="preserve"> (SPD131DPA, Thermo Scientific, Waltham, Massachusetts, USA), </w:t>
      </w:r>
      <w:proofErr w:type="spellStart"/>
      <w:r>
        <w:t>reconstituted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10µL 0.1% TFA and </w:t>
      </w:r>
      <w:proofErr w:type="spellStart"/>
      <w:r>
        <w:t>subjected</w:t>
      </w:r>
      <w:proofErr w:type="spellEnd"/>
      <w:r>
        <w:t xml:space="preserve"> to </w:t>
      </w:r>
      <w:proofErr w:type="spellStart"/>
      <w:r>
        <w:t>solid</w:t>
      </w:r>
      <w:proofErr w:type="spellEnd"/>
      <w:r>
        <w:t xml:space="preserve">-phase extraction to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salts</w:t>
      </w:r>
      <w:proofErr w:type="spellEnd"/>
      <w:r>
        <w:t xml:space="preserve"> and </w:t>
      </w:r>
      <w:proofErr w:type="spellStart"/>
      <w:r>
        <w:t>concentrate</w:t>
      </w:r>
      <w:proofErr w:type="spellEnd"/>
      <w:r>
        <w:t xml:space="preserve"> the peptides. This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a C-18 </w:t>
      </w:r>
      <w:proofErr w:type="spellStart"/>
      <w:r>
        <w:t>Ziptip</w:t>
      </w:r>
      <w:proofErr w:type="spellEnd"/>
      <w:r>
        <w:t xml:space="preserve"> (Millipore, Saint-Quentin-en-Yvelines, France), </w:t>
      </w:r>
      <w:proofErr w:type="spellStart"/>
      <w:r>
        <w:t>eluted</w:t>
      </w:r>
      <w:proofErr w:type="spellEnd"/>
      <w:r>
        <w:t xml:space="preserve"> by an ACN/0.1% TFA (8:2, v/v) and </w:t>
      </w:r>
      <w:proofErr w:type="spellStart"/>
      <w:r>
        <w:t>then</w:t>
      </w:r>
      <w:proofErr w:type="spellEnd"/>
      <w:r>
        <w:t xml:space="preserve"> the </w:t>
      </w:r>
      <w:proofErr w:type="spellStart"/>
      <w:r>
        <w:t>samples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dried</w:t>
      </w:r>
      <w:proofErr w:type="spellEnd"/>
      <w:r>
        <w:t xml:space="preserve"> for </w:t>
      </w:r>
      <w:proofErr w:type="spellStart"/>
      <w:r>
        <w:t>storage</w:t>
      </w:r>
      <w:proofErr w:type="spellEnd"/>
      <w:r>
        <w:t xml:space="preserve">.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</w:t>
      </w:r>
      <w:proofErr w:type="spellStart"/>
      <w:r>
        <w:t>samples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suspended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20µL ACN/0.1% FA (2:98, v/v), </w:t>
      </w:r>
      <w:proofErr w:type="spellStart"/>
      <w:r>
        <w:t>deposited</w:t>
      </w:r>
      <w:proofErr w:type="spellEnd"/>
      <w:r>
        <w:t xml:space="preserve"> in </w:t>
      </w:r>
      <w:proofErr w:type="spellStart"/>
      <w:r>
        <w:t>vials</w:t>
      </w:r>
      <w:proofErr w:type="spellEnd"/>
      <w:r>
        <w:t xml:space="preserve">, and 10µLs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injected</w:t>
      </w:r>
      <w:proofErr w:type="spellEnd"/>
      <w:r>
        <w:t xml:space="preserve"> for </w:t>
      </w:r>
      <w:proofErr w:type="spellStart"/>
      <w:r>
        <w:t>analysis</w:t>
      </w:r>
      <w:proofErr w:type="spellEnd"/>
      <w:r>
        <w:t xml:space="preserve">. The </w:t>
      </w:r>
      <w:proofErr w:type="spellStart"/>
      <w:r>
        <w:t>separation</w:t>
      </w:r>
      <w:proofErr w:type="spellEnd"/>
      <w:r>
        <w:t xml:space="preserve">, </w:t>
      </w:r>
      <w:proofErr w:type="spellStart"/>
      <w:r>
        <w:t>prior</w:t>
      </w:r>
      <w:proofErr w:type="spellEnd"/>
      <w:r>
        <w:t xml:space="preserve"> to MS, </w:t>
      </w:r>
      <w:proofErr w:type="spellStart"/>
      <w:r>
        <w:t>used</w:t>
      </w:r>
      <w:proofErr w:type="spellEnd"/>
      <w:r>
        <w:t xml:space="preserve"> online </w:t>
      </w:r>
      <w:proofErr w:type="spellStart"/>
      <w:r>
        <w:t>reversed</w:t>
      </w:r>
      <w:proofErr w:type="spellEnd"/>
      <w:r>
        <w:t xml:space="preserve">-phase </w:t>
      </w:r>
      <w:proofErr w:type="spellStart"/>
      <w:r>
        <w:t>chromatography</w:t>
      </w:r>
      <w:proofErr w:type="spellEnd"/>
      <w:r>
        <w:t xml:space="preserve"> </w:t>
      </w:r>
      <w:proofErr w:type="spellStart"/>
      <w:r>
        <w:t>realized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Proxeon</w:t>
      </w:r>
      <w:proofErr w:type="spellEnd"/>
      <w:r>
        <w:t xml:space="preserve"> Easy-nLC-1000 system (Thermo </w:t>
      </w:r>
      <w:r>
        <w:lastRenderedPageBreak/>
        <w:t xml:space="preserve">Scientific) </w:t>
      </w:r>
      <w:proofErr w:type="spellStart"/>
      <w:r>
        <w:t>equipped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Acclaim</w:t>
      </w:r>
      <w:proofErr w:type="spellEnd"/>
      <w:r>
        <w:t xml:space="preserve"> </w:t>
      </w:r>
      <w:proofErr w:type="spellStart"/>
      <w:r>
        <w:t>PepMap</w:t>
      </w:r>
      <w:proofErr w:type="spellEnd"/>
      <w:r>
        <w:t xml:space="preserve"> trap </w:t>
      </w:r>
      <w:proofErr w:type="spellStart"/>
      <w:r>
        <w:t>column</w:t>
      </w:r>
      <w:proofErr w:type="spellEnd"/>
      <w:r>
        <w:t xml:space="preserve"> (75 μm ID x 2 cm, Thermo Scientific) and C18 </w:t>
      </w:r>
      <w:proofErr w:type="spellStart"/>
      <w:r>
        <w:t>packed</w:t>
      </w:r>
      <w:proofErr w:type="spellEnd"/>
      <w:r>
        <w:t xml:space="preserve"> </w:t>
      </w:r>
      <w:proofErr w:type="spellStart"/>
      <w:r>
        <w:t>tip</w:t>
      </w:r>
      <w:proofErr w:type="spellEnd"/>
      <w:r>
        <w:t xml:space="preserve"> </w:t>
      </w:r>
      <w:proofErr w:type="spellStart"/>
      <w:r>
        <w:t>Acclaim</w:t>
      </w:r>
      <w:proofErr w:type="spellEnd"/>
      <w:r>
        <w:t xml:space="preserve"> </w:t>
      </w:r>
      <w:proofErr w:type="spellStart"/>
      <w:r>
        <w:t>PepMap</w:t>
      </w:r>
      <w:proofErr w:type="spellEnd"/>
      <w:r>
        <w:t xml:space="preserve"> RSLC </w:t>
      </w:r>
      <w:proofErr w:type="spellStart"/>
      <w:r>
        <w:t>column</w:t>
      </w:r>
      <w:proofErr w:type="spellEnd"/>
      <w:r>
        <w:t xml:space="preserve"> (75 μm ID x 50 cm, Thermo Scientific). Peptides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separated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an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of </w:t>
      </w:r>
      <w:proofErr w:type="spellStart"/>
      <w:r>
        <w:t>acetonitrile</w:t>
      </w:r>
      <w:proofErr w:type="spellEnd"/>
      <w:r>
        <w:t xml:space="preserve"> (5%-40% over 140 minutes) </w:t>
      </w:r>
      <w:proofErr w:type="spellStart"/>
      <w:r>
        <w:t>with</w:t>
      </w:r>
      <w:proofErr w:type="spellEnd"/>
      <w:r>
        <w:t xml:space="preserve"> a flow rate of 300 </w:t>
      </w:r>
      <w:proofErr w:type="spellStart"/>
      <w:r>
        <w:t>nL</w:t>
      </w:r>
      <w:proofErr w:type="spellEnd"/>
      <w:r>
        <w:t xml:space="preserve">/min. The LC </w:t>
      </w:r>
      <w:proofErr w:type="spellStart"/>
      <w:r>
        <w:t>eluent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electrosprayed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analytical</w:t>
      </w:r>
      <w:proofErr w:type="spellEnd"/>
      <w:r>
        <w:t xml:space="preserve"> </w:t>
      </w:r>
      <w:proofErr w:type="spellStart"/>
      <w:r>
        <w:t>column</w:t>
      </w:r>
      <w:proofErr w:type="spellEnd"/>
      <w:r>
        <w:t xml:space="preserve"> and a voltage of 2 kV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via the </w:t>
      </w:r>
      <w:proofErr w:type="spellStart"/>
      <w:r>
        <w:t>liquid</w:t>
      </w:r>
      <w:proofErr w:type="spellEnd"/>
      <w:r>
        <w:t xml:space="preserve"> </w:t>
      </w:r>
      <w:proofErr w:type="spellStart"/>
      <w:r>
        <w:t>junction</w:t>
      </w:r>
      <w:proofErr w:type="spellEnd"/>
      <w:r>
        <w:t xml:space="preserve"> of the </w:t>
      </w:r>
      <w:proofErr w:type="spellStart"/>
      <w:r>
        <w:t>nanospray</w:t>
      </w:r>
      <w:proofErr w:type="spellEnd"/>
      <w:r>
        <w:t xml:space="preserve"> source. </w:t>
      </w:r>
    </w:p>
    <w:p w14:paraId="26DD6CA6" w14:textId="77777777" w:rsidR="00DC586E" w:rsidRDefault="00DC586E" w:rsidP="00DC586E">
      <w:pPr>
        <w:spacing w:line="276" w:lineRule="auto"/>
      </w:pPr>
      <w:r>
        <w:t xml:space="preserve">The </w:t>
      </w:r>
      <w:proofErr w:type="spellStart"/>
      <w:r>
        <w:t>chromatography</w:t>
      </w:r>
      <w:proofErr w:type="spellEnd"/>
      <w:r>
        <w:t xml:space="preserve"> system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coupled</w:t>
      </w:r>
      <w:proofErr w:type="spellEnd"/>
      <w:r>
        <w:t xml:space="preserve"> to a Thermo Scientific Q-</w:t>
      </w:r>
      <w:proofErr w:type="spellStart"/>
      <w:r>
        <w:t>Exactive</w:t>
      </w:r>
      <w:proofErr w:type="spellEnd"/>
      <w:r>
        <w:t xml:space="preserve"> mass </w:t>
      </w:r>
      <w:proofErr w:type="spellStart"/>
      <w:r>
        <w:t>spectrometer</w:t>
      </w:r>
      <w:proofErr w:type="spellEnd"/>
      <w:r>
        <w:t xml:space="preserve">. The mass </w:t>
      </w:r>
      <w:proofErr w:type="spellStart"/>
      <w:r>
        <w:t>spectrometer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programmed</w:t>
      </w:r>
      <w:proofErr w:type="spellEnd"/>
      <w:r>
        <w:t xml:space="preserve"> to </w:t>
      </w:r>
      <w:proofErr w:type="spellStart"/>
      <w:r>
        <w:t>acquire</w:t>
      </w:r>
      <w:proofErr w:type="spellEnd"/>
      <w:r>
        <w:t xml:space="preserve"> in a data-</w:t>
      </w:r>
      <w:proofErr w:type="spellStart"/>
      <w:r>
        <w:t>dependent</w:t>
      </w:r>
      <w:proofErr w:type="spellEnd"/>
      <w:r>
        <w:t xml:space="preserve"> mode for the 10 </w:t>
      </w:r>
      <w:proofErr w:type="spellStart"/>
      <w:r>
        <w:t>most</w:t>
      </w:r>
      <w:proofErr w:type="spellEnd"/>
      <w:r>
        <w:t xml:space="preserve"> intense </w:t>
      </w:r>
      <w:proofErr w:type="spellStart"/>
      <w:r>
        <w:t>peaks</w:t>
      </w:r>
      <w:proofErr w:type="spellEnd"/>
      <w:r>
        <w:t xml:space="preserve">. The </w:t>
      </w:r>
      <w:proofErr w:type="spellStart"/>
      <w:r>
        <w:t>survey</w:t>
      </w:r>
      <w:proofErr w:type="spellEnd"/>
      <w:r>
        <w:t xml:space="preserve"> scans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in the </w:t>
      </w:r>
      <w:proofErr w:type="spellStart"/>
      <w:r>
        <w:t>Orbitrap</w:t>
      </w:r>
      <w:proofErr w:type="spellEnd"/>
      <w:r>
        <w:t xml:space="preserve"> mass </w:t>
      </w:r>
      <w:proofErr w:type="spellStart"/>
      <w:r>
        <w:t>analyzer</w:t>
      </w:r>
      <w:proofErr w:type="spellEnd"/>
      <w:r>
        <w:t xml:space="preserve"> </w:t>
      </w:r>
      <w:proofErr w:type="spellStart"/>
      <w:r>
        <w:t>operated</w:t>
      </w:r>
      <w:proofErr w:type="spellEnd"/>
      <w:r>
        <w:t xml:space="preserve"> at 70,000 (FWHM) </w:t>
      </w:r>
      <w:proofErr w:type="spellStart"/>
      <w:r>
        <w:t>resolving</w:t>
      </w:r>
      <w:proofErr w:type="spellEnd"/>
      <w:r>
        <w:t xml:space="preserve"> power. A mass range of 200 to 2000 m/z and a </w:t>
      </w:r>
      <w:proofErr w:type="spellStart"/>
      <w:r>
        <w:t>target</w:t>
      </w:r>
      <w:proofErr w:type="spellEnd"/>
      <w:r>
        <w:t xml:space="preserve"> of 3E6 ions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the </w:t>
      </w:r>
      <w:proofErr w:type="spellStart"/>
      <w:r>
        <w:t>survey</w:t>
      </w:r>
      <w:proofErr w:type="spellEnd"/>
      <w:r>
        <w:t xml:space="preserve"> scans. The MSMS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HCD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normalized</w:t>
      </w:r>
      <w:proofErr w:type="spellEnd"/>
      <w:r>
        <w:t xml:space="preserve"> collision </w:t>
      </w:r>
      <w:proofErr w:type="spellStart"/>
      <w:r>
        <w:t>energy</w:t>
      </w:r>
      <w:proofErr w:type="spellEnd"/>
      <w:r>
        <w:t xml:space="preserve"> of 30 eV, a mass range </w:t>
      </w:r>
      <w:proofErr w:type="spellStart"/>
      <w:r>
        <w:t>between</w:t>
      </w:r>
      <w:proofErr w:type="spellEnd"/>
      <w:r>
        <w:t xml:space="preserve"> 200 to 2000, an AGC of 5e4 ions, a maximum injection time of 60ms and a </w:t>
      </w:r>
      <w:proofErr w:type="spellStart"/>
      <w:r>
        <w:t>resolution</w:t>
      </w:r>
      <w:proofErr w:type="spellEnd"/>
      <w:r>
        <w:t xml:space="preserve"> set at 17,500 FWHM. The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set to </w:t>
      </w:r>
      <w:proofErr w:type="spellStart"/>
      <w:r>
        <w:t>analyze</w:t>
      </w:r>
      <w:proofErr w:type="spellEnd"/>
      <w:r>
        <w:t xml:space="preserve"> the top 10 </w:t>
      </w:r>
      <w:proofErr w:type="spellStart"/>
      <w:r>
        <w:t>most</w:t>
      </w:r>
      <w:proofErr w:type="spellEnd"/>
      <w:r>
        <w:t xml:space="preserve"> intense ions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survey</w:t>
      </w:r>
      <w:proofErr w:type="spellEnd"/>
      <w:r>
        <w:t xml:space="preserve"> scan and </w:t>
      </w:r>
      <w:proofErr w:type="spellStart"/>
      <w:r>
        <w:t>dynamic</w:t>
      </w:r>
      <w:proofErr w:type="spellEnd"/>
      <w:r>
        <w:t xml:space="preserve"> exclusion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for 20 s.</w:t>
      </w:r>
    </w:p>
    <w:p w14:paraId="156C2684" w14:textId="63DEF32C" w:rsidR="006147A8" w:rsidRDefault="006147A8" w:rsidP="00ED500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EF9E01E" w14:textId="77777777" w:rsidR="001D4090" w:rsidRDefault="001D4090" w:rsidP="00ED500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576EE7D4" w14:textId="16D9B73C" w:rsidR="001D4090" w:rsidRDefault="001D4090" w:rsidP="00ED5008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Spidermass Technology : </w:t>
      </w:r>
    </w:p>
    <w:p w14:paraId="270FC97A" w14:textId="77777777" w:rsidR="001D4090" w:rsidRDefault="001D4090" w:rsidP="001D4090">
      <w:pPr>
        <w:spacing w:after="0" w:line="276" w:lineRule="auto"/>
      </w:pPr>
      <w:r>
        <w:t xml:space="preserve">The global design of the </w:t>
      </w:r>
      <w:proofErr w:type="spellStart"/>
      <w:r>
        <w:t>SpiderMass</w:t>
      </w:r>
      <w:proofErr w:type="spellEnd"/>
      <w:r>
        <w:t xml:space="preserve"> instrument setup has been </w:t>
      </w:r>
      <w:proofErr w:type="spellStart"/>
      <w:r>
        <w:t>described</w:t>
      </w:r>
      <w:proofErr w:type="spellEnd"/>
      <w:r>
        <w:t xml:space="preserve"> in </w:t>
      </w:r>
      <w:proofErr w:type="spellStart"/>
      <w:r>
        <w:t>detail</w:t>
      </w:r>
      <w:proofErr w:type="spellEnd"/>
      <w:r>
        <w:t xml:space="preserve"> elsewhere</w:t>
      </w:r>
      <w:r>
        <w:rPr>
          <w:vertAlign w:val="superscript"/>
        </w:rPr>
        <w:t>49</w:t>
      </w:r>
      <w:r>
        <w:t xml:space="preserve">. </w:t>
      </w:r>
      <w:proofErr w:type="spellStart"/>
      <w:r>
        <w:t>Briefly</w:t>
      </w:r>
      <w:proofErr w:type="spellEnd"/>
      <w:r>
        <w:t xml:space="preserve">, the system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composed</w:t>
      </w:r>
      <w:proofErr w:type="spellEnd"/>
      <w:r>
        <w:t xml:space="preserve"> of </w:t>
      </w:r>
      <w:proofErr w:type="spellStart"/>
      <w:r>
        <w:t>three</w:t>
      </w:r>
      <w:proofErr w:type="spellEnd"/>
      <w:r>
        <w:t xml:space="preserve"> parts </w:t>
      </w:r>
      <w:proofErr w:type="spellStart"/>
      <w:r>
        <w:t>including</w:t>
      </w:r>
      <w:proofErr w:type="spellEnd"/>
      <w:r>
        <w:t xml:space="preserve"> a laser system for micro-sampling of tissues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set </w:t>
      </w:r>
      <w:proofErr w:type="spellStart"/>
      <w:r>
        <w:t>remotely</w:t>
      </w:r>
      <w:proofErr w:type="spellEnd"/>
      <w:r>
        <w:t xml:space="preserve">, a </w:t>
      </w:r>
      <w:proofErr w:type="spellStart"/>
      <w:r>
        <w:t>transfer</w:t>
      </w:r>
      <w:proofErr w:type="spellEnd"/>
      <w:r>
        <w:t xml:space="preserve"> line </w:t>
      </w:r>
      <w:proofErr w:type="spellStart"/>
      <w:r>
        <w:t>allowing</w:t>
      </w:r>
      <w:proofErr w:type="spellEnd"/>
      <w:r>
        <w:t xml:space="preserve"> for </w:t>
      </w:r>
      <w:proofErr w:type="spellStart"/>
      <w:r>
        <w:t>transfer</w:t>
      </w:r>
      <w:proofErr w:type="spellEnd"/>
      <w:r>
        <w:t xml:space="preserve"> of the micro-</w:t>
      </w:r>
      <w:proofErr w:type="spellStart"/>
      <w:r>
        <w:t>sampled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to the </w:t>
      </w:r>
      <w:proofErr w:type="spellStart"/>
      <w:r>
        <w:t>third</w:t>
      </w:r>
      <w:proofErr w:type="spellEnd"/>
      <w:r>
        <w:t xml:space="preserve"> part,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mass </w:t>
      </w:r>
      <w:proofErr w:type="spellStart"/>
      <w:r>
        <w:t>spectrometer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r>
        <w:rPr>
          <w:vertAlign w:val="superscript"/>
        </w:rPr>
        <w:t>50</w:t>
      </w:r>
      <w:r>
        <w:t xml:space="preserve">. The first part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composed</w:t>
      </w:r>
      <w:proofErr w:type="spellEnd"/>
      <w:r>
        <w:t xml:space="preserve"> of a </w:t>
      </w:r>
      <w:proofErr w:type="spellStart"/>
      <w:r>
        <w:t>tunable</w:t>
      </w:r>
      <w:proofErr w:type="spellEnd"/>
      <w:r>
        <w:t xml:space="preserve"> </w:t>
      </w:r>
      <w:proofErr w:type="spellStart"/>
      <w:r>
        <w:t>wavelength</w:t>
      </w:r>
      <w:proofErr w:type="spellEnd"/>
      <w:r>
        <w:t xml:space="preserve"> OPO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tunable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2.8 µm to 3.1 µm (Radiant version 1.0.1, OPOTEK Inc., Carlsbad, CA, USA) </w:t>
      </w:r>
      <w:proofErr w:type="spellStart"/>
      <w:r>
        <w:t>pumped</w:t>
      </w:r>
      <w:proofErr w:type="spellEnd"/>
      <w:r>
        <w:t xml:space="preserve"> by a </w:t>
      </w:r>
      <w:proofErr w:type="spellStart"/>
      <w:r>
        <w:t>pulsed</w:t>
      </w:r>
      <w:proofErr w:type="spellEnd"/>
      <w:r>
        <w:t xml:space="preserve"> </w:t>
      </w:r>
      <w:proofErr w:type="spellStart"/>
      <w:r>
        <w:t>Nd:YAG</w:t>
      </w:r>
      <w:proofErr w:type="spellEnd"/>
      <w:r>
        <w:t xml:space="preserve"> laser (pulse duration: 5 ns, λ=1064 nm, </w:t>
      </w:r>
      <w:proofErr w:type="spellStart"/>
      <w:r>
        <w:t>Quantel</w:t>
      </w:r>
      <w:proofErr w:type="spellEnd"/>
      <w:r>
        <w:t xml:space="preserve">, Les Ulis, France). A biocompatible laser </w:t>
      </w:r>
      <w:proofErr w:type="spellStart"/>
      <w:r>
        <w:t>fiber</w:t>
      </w:r>
      <w:proofErr w:type="spellEnd"/>
      <w:r>
        <w:t xml:space="preserve"> (450 µm </w:t>
      </w:r>
      <w:proofErr w:type="spellStart"/>
      <w:r>
        <w:t>inner</w:t>
      </w:r>
      <w:proofErr w:type="spellEnd"/>
      <w:r>
        <w:t xml:space="preserve"> </w:t>
      </w:r>
      <w:proofErr w:type="spellStart"/>
      <w:r>
        <w:t>diameter</w:t>
      </w:r>
      <w:proofErr w:type="spellEnd"/>
      <w:r>
        <w:t xml:space="preserve">; </w:t>
      </w:r>
      <w:proofErr w:type="spellStart"/>
      <w:r>
        <w:t>length</w:t>
      </w:r>
      <w:proofErr w:type="spellEnd"/>
      <w:r>
        <w:t xml:space="preserve"> of 1 m; </w:t>
      </w:r>
      <w:proofErr w:type="spellStart"/>
      <w:r>
        <w:t>Infrared</w:t>
      </w:r>
      <w:proofErr w:type="spellEnd"/>
      <w:r>
        <w:t xml:space="preserve"> </w:t>
      </w:r>
      <w:proofErr w:type="spellStart"/>
      <w:r>
        <w:t>Fiber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Silver Spring, CO, USA)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to the laser system output and a </w:t>
      </w:r>
      <w:proofErr w:type="spellStart"/>
      <w:r>
        <w:t>handpiece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a 4 cm </w:t>
      </w:r>
      <w:proofErr w:type="spellStart"/>
      <w:r>
        <w:t>focusing</w:t>
      </w:r>
      <w:proofErr w:type="spellEnd"/>
      <w:r>
        <w:t xml:space="preserve"> </w:t>
      </w:r>
      <w:proofErr w:type="spellStart"/>
      <w:r>
        <w:t>lens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to the end of the laser </w:t>
      </w:r>
      <w:proofErr w:type="spellStart"/>
      <w:r>
        <w:t>fiber</w:t>
      </w:r>
      <w:proofErr w:type="spellEnd"/>
      <w:r>
        <w:t xml:space="preserve">. The </w:t>
      </w:r>
      <w:proofErr w:type="spellStart"/>
      <w:r>
        <w:t>handpiece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4 cm </w:t>
      </w:r>
      <w:proofErr w:type="spellStart"/>
      <w:r>
        <w:t>focusing</w:t>
      </w:r>
      <w:proofErr w:type="spellEnd"/>
      <w:r>
        <w:t xml:space="preserve"> </w:t>
      </w:r>
      <w:proofErr w:type="spellStart"/>
      <w:r>
        <w:t>lens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the user to </w:t>
      </w:r>
      <w:proofErr w:type="spellStart"/>
      <w:r>
        <w:t>hold</w:t>
      </w:r>
      <w:proofErr w:type="spellEnd"/>
      <w:r>
        <w:t xml:space="preserve"> the system and screen the surface of </w:t>
      </w:r>
      <w:proofErr w:type="spellStart"/>
      <w:r>
        <w:t>raw</w:t>
      </w:r>
      <w:proofErr w:type="spellEnd"/>
      <w:r>
        <w:t xml:space="preserve"> tissues at a </w:t>
      </w:r>
      <w:proofErr w:type="spellStart"/>
      <w:r>
        <w:t>resolution</w:t>
      </w:r>
      <w:proofErr w:type="spellEnd"/>
      <w:r>
        <w:t xml:space="preserve"> of 400 µm. In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experiments</w:t>
      </w:r>
      <w:proofErr w:type="spellEnd"/>
      <w:r>
        <w:t xml:space="preserve"> the irradiation time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fixed</w:t>
      </w:r>
      <w:proofErr w:type="spellEnd"/>
      <w:r>
        <w:t xml:space="preserve"> to 10 sec at 4 </w:t>
      </w:r>
      <w:proofErr w:type="spellStart"/>
      <w:r>
        <w:t>mJ</w:t>
      </w:r>
      <w:proofErr w:type="spellEnd"/>
      <w:r>
        <w:t xml:space="preserve">/pulse laser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corresponding</w:t>
      </w:r>
      <w:proofErr w:type="spellEnd"/>
      <w:r>
        <w:t xml:space="preserve"> to a laser fluence of ~3 J/cm2. The laser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measured</w:t>
      </w:r>
      <w:proofErr w:type="spellEnd"/>
      <w:r>
        <w:t xml:space="preserve"> at the focal point of the </w:t>
      </w:r>
      <w:proofErr w:type="spellStart"/>
      <w:r>
        <w:t>focusing</w:t>
      </w:r>
      <w:proofErr w:type="spellEnd"/>
      <w:r>
        <w:t xml:space="preserve"> </w:t>
      </w:r>
      <w:proofErr w:type="spellStart"/>
      <w:r>
        <w:t>lens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a power </w:t>
      </w:r>
      <w:proofErr w:type="spellStart"/>
      <w:r>
        <w:t>meter</w:t>
      </w:r>
      <w:proofErr w:type="spellEnd"/>
      <w:r>
        <w:t xml:space="preserve"> (</w:t>
      </w:r>
      <w:proofErr w:type="spellStart"/>
      <w:r>
        <w:t>ThorLabs</w:t>
      </w:r>
      <w:proofErr w:type="spellEnd"/>
      <w:r>
        <w:t xml:space="preserve">, Maisons-Laffitte, France). The second part of the system corresponds to a 3-meter </w:t>
      </w:r>
      <w:proofErr w:type="spellStart"/>
      <w:r>
        <w:t>length</w:t>
      </w:r>
      <w:proofErr w:type="spellEnd"/>
      <w:r>
        <w:t xml:space="preserve"> </w:t>
      </w:r>
      <w:proofErr w:type="spellStart"/>
      <w:r>
        <w:t>transfer</w:t>
      </w:r>
      <w:proofErr w:type="spellEnd"/>
      <w:r>
        <w:t xml:space="preserve"> line made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Tygon</w:t>
      </w:r>
      <w:proofErr w:type="spellEnd"/>
      <w:r>
        <w:t xml:space="preserve"> ND 100-65 tubing (2.4 mm </w:t>
      </w:r>
      <w:proofErr w:type="spellStart"/>
      <w:r>
        <w:t>inner</w:t>
      </w:r>
      <w:proofErr w:type="spellEnd"/>
      <w:r>
        <w:t xml:space="preserve"> </w:t>
      </w:r>
      <w:proofErr w:type="spellStart"/>
      <w:r>
        <w:t>diameter</w:t>
      </w:r>
      <w:proofErr w:type="spellEnd"/>
      <w:r>
        <w:t xml:space="preserve">, 4 mm </w:t>
      </w:r>
      <w:proofErr w:type="spellStart"/>
      <w:r>
        <w:t>outer</w:t>
      </w:r>
      <w:proofErr w:type="spellEnd"/>
      <w:r>
        <w:t xml:space="preserve"> </w:t>
      </w:r>
      <w:proofErr w:type="spellStart"/>
      <w:r>
        <w:t>diameter</w:t>
      </w:r>
      <w:proofErr w:type="spellEnd"/>
      <w:r>
        <w:t xml:space="preserve">, Akron, USA). The </w:t>
      </w:r>
      <w:proofErr w:type="spellStart"/>
      <w:r>
        <w:t>transfer</w:t>
      </w:r>
      <w:proofErr w:type="spellEnd"/>
      <w:r>
        <w:t xml:space="preserve"> line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on one </w:t>
      </w:r>
      <w:proofErr w:type="spellStart"/>
      <w:r>
        <w:t>side</w:t>
      </w:r>
      <w:proofErr w:type="spellEnd"/>
      <w:r>
        <w:t xml:space="preserve"> onto the laser hand </w:t>
      </w:r>
      <w:proofErr w:type="spellStart"/>
      <w:r>
        <w:t>piece</w:t>
      </w:r>
      <w:proofErr w:type="spellEnd"/>
      <w:r>
        <w:t xml:space="preserve"> at the end of the laser </w:t>
      </w:r>
      <w:proofErr w:type="spellStart"/>
      <w:r>
        <w:t>fiber</w:t>
      </w:r>
      <w:proofErr w:type="spellEnd"/>
      <w:r>
        <w:t xml:space="preserve"> and on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to the mass </w:t>
      </w:r>
      <w:proofErr w:type="spellStart"/>
      <w:r>
        <w:t>spectrometer</w:t>
      </w:r>
      <w:proofErr w:type="spellEnd"/>
      <w:r>
        <w:t xml:space="preserve"> (</w:t>
      </w:r>
      <w:proofErr w:type="spellStart"/>
      <w:r>
        <w:t>Xevo</w:t>
      </w:r>
      <w:proofErr w:type="spellEnd"/>
      <w:r>
        <w:t xml:space="preserve">, Waters, Manchester, United </w:t>
      </w:r>
      <w:proofErr w:type="spellStart"/>
      <w:r>
        <w:t>Kingdom</w:t>
      </w:r>
      <w:proofErr w:type="spellEnd"/>
      <w:r>
        <w:t xml:space="preserve">)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the </w:t>
      </w:r>
      <w:proofErr w:type="spellStart"/>
      <w:r>
        <w:t>conventional</w:t>
      </w:r>
      <w:proofErr w:type="spellEnd"/>
      <w:r>
        <w:t xml:space="preserve"> </w:t>
      </w:r>
      <w:proofErr w:type="spellStart"/>
      <w:r>
        <w:t>electrospray</w:t>
      </w:r>
      <w:proofErr w:type="spellEnd"/>
      <w:r>
        <w:t xml:space="preserve"> source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removed</w:t>
      </w:r>
      <w:proofErr w:type="spellEnd"/>
      <w:r>
        <w:t xml:space="preserve"> and </w:t>
      </w:r>
      <w:proofErr w:type="spellStart"/>
      <w:r>
        <w:t>replaced</w:t>
      </w:r>
      <w:proofErr w:type="spellEnd"/>
      <w:r>
        <w:t xml:space="preserve"> by an </w:t>
      </w:r>
      <w:proofErr w:type="spellStart"/>
      <w:r>
        <w:t>atmospheric</w:t>
      </w:r>
      <w:proofErr w:type="spellEnd"/>
      <w:r>
        <w:t xml:space="preserve"> pressure interface</w:t>
      </w:r>
      <w:r>
        <w:rPr>
          <w:vertAlign w:val="superscript"/>
        </w:rPr>
        <w:t>50</w:t>
      </w:r>
      <w:r>
        <w:t xml:space="preserve">. Spectral acquisition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in positive ion </w:t>
      </w:r>
      <w:proofErr w:type="spellStart"/>
      <w:r>
        <w:t>resolution</w:t>
      </w:r>
      <w:proofErr w:type="spellEnd"/>
      <w:r>
        <w:t xml:space="preserve"> mode </w:t>
      </w:r>
      <w:proofErr w:type="spellStart"/>
      <w:r>
        <w:t>with</w:t>
      </w:r>
      <w:proofErr w:type="spellEnd"/>
      <w:r>
        <w:t xml:space="preserve"> a scan time of 1 sec. Prior to </w:t>
      </w:r>
      <w:proofErr w:type="spellStart"/>
      <w:r>
        <w:t>SpiderMass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the </w:t>
      </w:r>
      <w:proofErr w:type="spellStart"/>
      <w:r>
        <w:t>samples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taken</w:t>
      </w:r>
      <w:proofErr w:type="spellEnd"/>
      <w:r>
        <w:t xml:space="preserve"> out of the -20°C freezer and </w:t>
      </w:r>
      <w:proofErr w:type="spellStart"/>
      <w:r>
        <w:t>thawed</w:t>
      </w:r>
      <w:proofErr w:type="spellEnd"/>
      <w:r>
        <w:t xml:space="preserve"> to RT for 30 s. The spectral acquisition </w:t>
      </w:r>
      <w:proofErr w:type="spellStart"/>
      <w:r>
        <w:t>sequence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composed</w:t>
      </w:r>
      <w:proofErr w:type="spellEnd"/>
      <w:r>
        <w:t xml:space="preserve"> of 2 or 3 acquisitions </w:t>
      </w:r>
      <w:proofErr w:type="spellStart"/>
      <w:r>
        <w:t>using</w:t>
      </w:r>
      <w:proofErr w:type="spellEnd"/>
      <w:r>
        <w:t xml:space="preserve"> 1-sec irradiation </w:t>
      </w:r>
      <w:proofErr w:type="spellStart"/>
      <w:r>
        <w:t>periods</w:t>
      </w:r>
      <w:proofErr w:type="spellEnd"/>
      <w:r>
        <w:t xml:space="preserve">. The ROI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double IHC </w:t>
      </w:r>
      <w:proofErr w:type="spellStart"/>
      <w:r>
        <w:t>against</w:t>
      </w:r>
      <w:proofErr w:type="spellEnd"/>
      <w:r>
        <w:t xml:space="preserve"> p53 and Ki67. </w:t>
      </w:r>
    </w:p>
    <w:p w14:paraId="601F2D0A" w14:textId="77777777" w:rsidR="001D4090" w:rsidRPr="008051EA" w:rsidRDefault="001D4090" w:rsidP="00ED5008">
      <w:pPr>
        <w:jc w:val="both"/>
        <w:rPr>
          <w:sz w:val="24"/>
          <w:szCs w:val="24"/>
          <w:lang w:val="en-US"/>
        </w:rPr>
      </w:pPr>
    </w:p>
    <w:sectPr w:rsidR="001D4090" w:rsidRPr="00805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EA"/>
    <w:rsid w:val="00054B0A"/>
    <w:rsid w:val="000C3924"/>
    <w:rsid w:val="000F6478"/>
    <w:rsid w:val="000F771F"/>
    <w:rsid w:val="00134D5C"/>
    <w:rsid w:val="001A30A1"/>
    <w:rsid w:val="001C32D0"/>
    <w:rsid w:val="001D4090"/>
    <w:rsid w:val="00294905"/>
    <w:rsid w:val="002B4A45"/>
    <w:rsid w:val="003136A6"/>
    <w:rsid w:val="00354F9E"/>
    <w:rsid w:val="003C362E"/>
    <w:rsid w:val="003D4F3C"/>
    <w:rsid w:val="003E07CA"/>
    <w:rsid w:val="003E6E03"/>
    <w:rsid w:val="003F33E7"/>
    <w:rsid w:val="003F684F"/>
    <w:rsid w:val="00404B27"/>
    <w:rsid w:val="004E0A4A"/>
    <w:rsid w:val="005F28B2"/>
    <w:rsid w:val="006147A8"/>
    <w:rsid w:val="0070792D"/>
    <w:rsid w:val="00727B88"/>
    <w:rsid w:val="008051EA"/>
    <w:rsid w:val="008E33DC"/>
    <w:rsid w:val="00972749"/>
    <w:rsid w:val="00991A03"/>
    <w:rsid w:val="00A92E56"/>
    <w:rsid w:val="00AE5B24"/>
    <w:rsid w:val="00BD4E6E"/>
    <w:rsid w:val="00CA491E"/>
    <w:rsid w:val="00CA5B82"/>
    <w:rsid w:val="00CF0F16"/>
    <w:rsid w:val="00CF3B39"/>
    <w:rsid w:val="00D03FEC"/>
    <w:rsid w:val="00DB2F3F"/>
    <w:rsid w:val="00DC586E"/>
    <w:rsid w:val="00E86E16"/>
    <w:rsid w:val="00ED5008"/>
    <w:rsid w:val="00F8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4DE8"/>
  <w15:chartTrackingRefBased/>
  <w15:docId w15:val="{7BE73F76-1DC9-43A7-B435-5D27CCB3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3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1435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Maxence Wisztorski</dc:creator>
  <cp:keywords/>
  <dc:description/>
  <cp:lastModifiedBy>Maxence Wisztorski</cp:lastModifiedBy>
  <cp:revision>4</cp:revision>
  <dcterms:created xsi:type="dcterms:W3CDTF">2023-03-30T12:58:00Z</dcterms:created>
  <dcterms:modified xsi:type="dcterms:W3CDTF">2023-04-13T15:28:00Z</dcterms:modified>
</cp:coreProperties>
</file>