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3B8" w:rsidRPr="00CD0459" w:rsidRDefault="00E253B8" w:rsidP="00E253B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MATERIAL</w:t>
      </w:r>
    </w:p>
    <w:p w:rsidR="00E253B8" w:rsidRPr="00CD0459" w:rsidRDefault="00E253B8" w:rsidP="00E253B8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253B8" w:rsidRPr="00CD0459" w:rsidRDefault="00E253B8" w:rsidP="00E253B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D0459">
        <w:rPr>
          <w:rFonts w:ascii="Arial" w:hAnsi="Arial" w:cs="Arial"/>
          <w:sz w:val="22"/>
          <w:szCs w:val="22"/>
        </w:rPr>
        <w:t>Invited Original Research Manuscript</w:t>
      </w:r>
    </w:p>
    <w:p w:rsidR="00E253B8" w:rsidRPr="00CD0459" w:rsidRDefault="00E253B8" w:rsidP="00E253B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D0459">
        <w:rPr>
          <w:rFonts w:ascii="Arial" w:hAnsi="Arial" w:cs="Arial"/>
          <w:sz w:val="22"/>
          <w:szCs w:val="22"/>
        </w:rPr>
        <w:t xml:space="preserve">Med </w:t>
      </w:r>
      <w:proofErr w:type="spellStart"/>
      <w:r w:rsidRPr="00CD0459">
        <w:rPr>
          <w:rFonts w:ascii="Arial" w:hAnsi="Arial" w:cs="Arial"/>
          <w:sz w:val="22"/>
          <w:szCs w:val="22"/>
        </w:rPr>
        <w:t>Chem</w:t>
      </w:r>
      <w:proofErr w:type="spellEnd"/>
      <w:r w:rsidRPr="00CD0459">
        <w:rPr>
          <w:rFonts w:ascii="Arial" w:hAnsi="Arial" w:cs="Arial"/>
          <w:sz w:val="22"/>
          <w:szCs w:val="22"/>
        </w:rPr>
        <w:t xml:space="preserve"> Research</w:t>
      </w:r>
    </w:p>
    <w:p w:rsidR="00E253B8" w:rsidRPr="00CD0459" w:rsidRDefault="00E253B8" w:rsidP="00E253B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D0459">
        <w:rPr>
          <w:rFonts w:ascii="Arial" w:hAnsi="Arial" w:cs="Arial"/>
          <w:sz w:val="22"/>
          <w:szCs w:val="22"/>
        </w:rPr>
        <w:t xml:space="preserve">Issue Honoring Nicholas </w:t>
      </w:r>
      <w:proofErr w:type="spellStart"/>
      <w:r w:rsidRPr="00CD0459">
        <w:rPr>
          <w:rFonts w:ascii="Arial" w:hAnsi="Arial" w:cs="Arial"/>
          <w:sz w:val="22"/>
          <w:szCs w:val="22"/>
        </w:rPr>
        <w:t>Meanwell</w:t>
      </w:r>
      <w:proofErr w:type="spellEnd"/>
    </w:p>
    <w:p w:rsidR="00E253B8" w:rsidRPr="00CD0459" w:rsidRDefault="00E253B8" w:rsidP="00E253B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253B8" w:rsidRPr="00CD0459" w:rsidRDefault="00E253B8" w:rsidP="00E253B8">
      <w:pPr>
        <w:tabs>
          <w:tab w:val="left" w:pos="1278"/>
        </w:tabs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CD0459">
        <w:rPr>
          <w:rFonts w:ascii="Arial" w:hAnsi="Arial" w:cs="Arial"/>
          <w:b/>
          <w:bCs/>
          <w:sz w:val="22"/>
          <w:szCs w:val="22"/>
        </w:rPr>
        <w:t>Title:</w:t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E253B8" w:rsidRPr="00CD0459" w:rsidRDefault="00E253B8" w:rsidP="00E253B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D0459">
        <w:rPr>
          <w:rFonts w:ascii="Arial" w:hAnsi="Arial" w:cs="Arial"/>
          <w:sz w:val="22"/>
          <w:szCs w:val="22"/>
        </w:rPr>
        <w:t xml:space="preserve">Pharmacophore Variants of the </w:t>
      </w:r>
      <w:proofErr w:type="spellStart"/>
      <w:r w:rsidRPr="00CD0459">
        <w:rPr>
          <w:rFonts w:ascii="Arial" w:hAnsi="Arial" w:cs="Arial"/>
          <w:sz w:val="22"/>
          <w:szCs w:val="22"/>
        </w:rPr>
        <w:t>Macrocyclic</w:t>
      </w:r>
      <w:proofErr w:type="spellEnd"/>
      <w:r w:rsidRPr="00CD0459">
        <w:rPr>
          <w:rFonts w:ascii="Arial" w:hAnsi="Arial" w:cs="Arial"/>
          <w:sz w:val="22"/>
          <w:szCs w:val="22"/>
        </w:rPr>
        <w:t xml:space="preserve"> Peptide Triazole </w:t>
      </w:r>
      <w:proofErr w:type="spellStart"/>
      <w:r w:rsidRPr="00CD0459">
        <w:rPr>
          <w:rFonts w:ascii="Arial" w:hAnsi="Arial" w:cs="Arial"/>
          <w:sz w:val="22"/>
          <w:szCs w:val="22"/>
        </w:rPr>
        <w:t>Inactivator</w:t>
      </w:r>
      <w:proofErr w:type="spellEnd"/>
      <w:r w:rsidRPr="00CD0459">
        <w:rPr>
          <w:rFonts w:ascii="Arial" w:hAnsi="Arial" w:cs="Arial"/>
          <w:sz w:val="22"/>
          <w:szCs w:val="22"/>
        </w:rPr>
        <w:t xml:space="preserve"> of HIV-1 Env</w:t>
      </w:r>
    </w:p>
    <w:p w:rsidR="00E253B8" w:rsidRPr="00CD0459" w:rsidRDefault="00E253B8" w:rsidP="00E253B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253B8" w:rsidRPr="00CD0459" w:rsidRDefault="00E253B8" w:rsidP="00E253B8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CD0459">
        <w:rPr>
          <w:rFonts w:ascii="Arial" w:hAnsi="Arial" w:cs="Arial"/>
          <w:b/>
          <w:bCs/>
          <w:sz w:val="22"/>
          <w:szCs w:val="22"/>
        </w:rPr>
        <w:t>Authors:</w:t>
      </w:r>
    </w:p>
    <w:p w:rsidR="00E253B8" w:rsidRDefault="00E253B8" w:rsidP="00E253B8">
      <w:pPr>
        <w:spacing w:line="360" w:lineRule="auto"/>
        <w:jc w:val="both"/>
      </w:pPr>
      <w:proofErr w:type="spellStart"/>
      <w:r w:rsidRPr="00CD0459">
        <w:rPr>
          <w:rFonts w:ascii="Arial" w:hAnsi="Arial" w:cs="Arial"/>
          <w:sz w:val="22"/>
          <w:szCs w:val="22"/>
        </w:rPr>
        <w:t>Monisha</w:t>
      </w:r>
      <w:proofErr w:type="spellEnd"/>
      <w:r w:rsidRPr="00CD0459">
        <w:rPr>
          <w:rFonts w:ascii="Arial" w:hAnsi="Arial" w:cs="Arial"/>
          <w:sz w:val="22"/>
          <w:szCs w:val="22"/>
        </w:rPr>
        <w:t xml:space="preserve"> Gupta</w:t>
      </w:r>
      <w:r w:rsidRPr="00743A7D">
        <w:rPr>
          <w:rFonts w:ascii="Arial" w:hAnsi="Arial" w:cs="Arial"/>
          <w:sz w:val="22"/>
          <w:szCs w:val="22"/>
          <w:vertAlign w:val="superscript"/>
        </w:rPr>
        <w:t>1</w:t>
      </w:r>
      <w:proofErr w:type="gramStart"/>
      <w:r>
        <w:rPr>
          <w:rFonts w:ascii="Arial" w:hAnsi="Arial" w:cs="Arial"/>
          <w:sz w:val="22"/>
          <w:szCs w:val="22"/>
          <w:vertAlign w:val="superscript"/>
        </w:rPr>
        <w:t>,2</w:t>
      </w:r>
      <w:proofErr w:type="gramEnd"/>
      <w:r w:rsidRPr="00CD0459">
        <w:rPr>
          <w:rFonts w:ascii="Arial" w:hAnsi="Arial" w:cs="Arial"/>
          <w:sz w:val="22"/>
          <w:szCs w:val="22"/>
        </w:rPr>
        <w:t>*, Gabriela Canziani</w:t>
      </w:r>
      <w:r w:rsidRPr="00743A7D">
        <w:rPr>
          <w:rFonts w:ascii="Arial" w:hAnsi="Arial" w:cs="Arial"/>
          <w:sz w:val="22"/>
          <w:szCs w:val="22"/>
          <w:vertAlign w:val="superscript"/>
        </w:rPr>
        <w:t>1</w:t>
      </w:r>
      <w:r w:rsidRPr="00CD0459">
        <w:rPr>
          <w:rFonts w:ascii="Arial" w:hAnsi="Arial" w:cs="Arial"/>
          <w:sz w:val="22"/>
          <w:szCs w:val="22"/>
        </w:rPr>
        <w:t>*, Charles Ang</w:t>
      </w:r>
      <w:r w:rsidRPr="00743A7D">
        <w:rPr>
          <w:rFonts w:ascii="Arial" w:hAnsi="Arial" w:cs="Arial"/>
          <w:sz w:val="22"/>
          <w:szCs w:val="22"/>
          <w:vertAlign w:val="superscript"/>
        </w:rPr>
        <w:t>1</w:t>
      </w:r>
      <w:r w:rsidRPr="00CD0459">
        <w:rPr>
          <w:rFonts w:ascii="Arial" w:hAnsi="Arial" w:cs="Arial"/>
          <w:sz w:val="22"/>
          <w:szCs w:val="22"/>
        </w:rPr>
        <w:t xml:space="preserve">*, </w:t>
      </w:r>
      <w:proofErr w:type="spellStart"/>
      <w:r w:rsidRPr="00CD0459">
        <w:rPr>
          <w:rFonts w:ascii="Arial" w:hAnsi="Arial" w:cs="Arial"/>
          <w:sz w:val="22"/>
          <w:szCs w:val="22"/>
        </w:rPr>
        <w:t>Mohammadjavad</w:t>
      </w:r>
      <w:proofErr w:type="spellEnd"/>
      <w:r w:rsidRPr="00CD0459">
        <w:rPr>
          <w:rFonts w:ascii="Arial" w:hAnsi="Arial" w:cs="Arial"/>
          <w:sz w:val="22"/>
          <w:szCs w:val="22"/>
        </w:rPr>
        <w:t xml:space="preserve"> Mohammadi</w:t>
      </w:r>
      <w:r>
        <w:rPr>
          <w:rFonts w:ascii="Arial" w:hAnsi="Arial" w:cs="Arial"/>
          <w:sz w:val="22"/>
          <w:szCs w:val="22"/>
          <w:vertAlign w:val="superscript"/>
        </w:rPr>
        <w:t>3</w:t>
      </w:r>
      <w:r w:rsidRPr="00CD0459">
        <w:rPr>
          <w:rFonts w:ascii="Arial" w:hAnsi="Arial" w:cs="Arial"/>
          <w:sz w:val="22"/>
          <w:szCs w:val="22"/>
        </w:rPr>
        <w:t>*, Cameron F. Abrams</w:t>
      </w:r>
      <w:r>
        <w:rPr>
          <w:rFonts w:ascii="Arial" w:hAnsi="Arial" w:cs="Arial"/>
          <w:sz w:val="22"/>
          <w:szCs w:val="22"/>
          <w:vertAlign w:val="superscript"/>
        </w:rPr>
        <w:t>3</w:t>
      </w:r>
      <w:r w:rsidRPr="00CD0459">
        <w:rPr>
          <w:rFonts w:ascii="Arial" w:hAnsi="Arial" w:cs="Arial"/>
          <w:sz w:val="22"/>
          <w:szCs w:val="22"/>
        </w:rPr>
        <w:t>, Derek Yang</w:t>
      </w:r>
      <w:r>
        <w:rPr>
          <w:rFonts w:ascii="Arial" w:hAnsi="Arial" w:cs="Arial"/>
          <w:sz w:val="22"/>
          <w:szCs w:val="22"/>
          <w:vertAlign w:val="superscript"/>
        </w:rPr>
        <w:t>4</w:t>
      </w:r>
      <w:r w:rsidRPr="00CD0459">
        <w:rPr>
          <w:rFonts w:ascii="Arial" w:hAnsi="Arial" w:cs="Arial"/>
          <w:sz w:val="22"/>
          <w:szCs w:val="22"/>
        </w:rPr>
        <w:t xml:space="preserve">, Amos </w:t>
      </w:r>
      <w:r>
        <w:rPr>
          <w:rFonts w:ascii="Arial" w:hAnsi="Arial" w:cs="Arial"/>
          <w:sz w:val="22"/>
          <w:szCs w:val="22"/>
        </w:rPr>
        <w:t xml:space="preserve">B. </w:t>
      </w:r>
      <w:r w:rsidRPr="00CD0459">
        <w:rPr>
          <w:rFonts w:ascii="Arial" w:hAnsi="Arial" w:cs="Arial"/>
          <w:sz w:val="22"/>
          <w:szCs w:val="22"/>
        </w:rPr>
        <w:t>Smith III</w:t>
      </w:r>
      <w:r>
        <w:rPr>
          <w:rFonts w:ascii="Arial" w:hAnsi="Arial" w:cs="Arial"/>
          <w:sz w:val="22"/>
          <w:szCs w:val="22"/>
          <w:vertAlign w:val="superscript"/>
        </w:rPr>
        <w:t>4</w:t>
      </w:r>
      <w:r w:rsidRPr="00CD0459">
        <w:rPr>
          <w:rFonts w:ascii="Arial" w:hAnsi="Arial" w:cs="Arial"/>
          <w:sz w:val="22"/>
          <w:szCs w:val="22"/>
        </w:rPr>
        <w:t xml:space="preserve">, Irwin </w:t>
      </w:r>
      <w:r w:rsidRPr="00CC0080">
        <w:rPr>
          <w:rFonts w:ascii="Arial" w:hAnsi="Arial" w:cs="Arial"/>
          <w:sz w:val="22"/>
          <w:szCs w:val="22"/>
        </w:rPr>
        <w:t>Chaiken</w:t>
      </w:r>
      <w:r w:rsidRPr="00743A7D">
        <w:rPr>
          <w:rFonts w:ascii="Arial" w:hAnsi="Arial" w:cs="Arial"/>
          <w:sz w:val="22"/>
          <w:szCs w:val="22"/>
          <w:vertAlign w:val="superscript"/>
        </w:rPr>
        <w:t>1</w:t>
      </w:r>
    </w:p>
    <w:p w:rsidR="00E253B8" w:rsidRDefault="00E253B8" w:rsidP="00E253B8">
      <w:pPr>
        <w:jc w:val="both"/>
        <w:rPr>
          <w:rFonts w:ascii="Arial" w:hAnsi="Arial" w:cs="Arial"/>
          <w:sz w:val="22"/>
          <w:szCs w:val="22"/>
        </w:rPr>
      </w:pPr>
      <w:r w:rsidRPr="00743A7D">
        <w:rPr>
          <w:rFonts w:ascii="Arial" w:hAnsi="Arial" w:cs="Arial"/>
          <w:sz w:val="22"/>
          <w:szCs w:val="22"/>
          <w:vertAlign w:val="superscript"/>
        </w:rPr>
        <w:t>1</w:t>
      </w:r>
      <w:r w:rsidRPr="00743A7D">
        <w:rPr>
          <w:rFonts w:ascii="Arial" w:hAnsi="Arial" w:cs="Arial"/>
          <w:sz w:val="22"/>
          <w:szCs w:val="22"/>
        </w:rPr>
        <w:t xml:space="preserve">Department of Biochemistry and Molecular Biology, College of Medicine, </w:t>
      </w:r>
      <w:r>
        <w:rPr>
          <w:rFonts w:ascii="Arial" w:hAnsi="Arial" w:cs="Arial"/>
          <w:sz w:val="22"/>
          <w:szCs w:val="22"/>
        </w:rPr>
        <w:t xml:space="preserve">Drexel University, </w:t>
      </w:r>
      <w:r w:rsidRPr="00743A7D">
        <w:rPr>
          <w:rFonts w:ascii="Arial" w:hAnsi="Arial" w:cs="Arial"/>
          <w:sz w:val="22"/>
          <w:szCs w:val="22"/>
        </w:rPr>
        <w:t>Philadelphia, Pennsylvania 19102, United States</w:t>
      </w:r>
    </w:p>
    <w:p w:rsidR="00E253B8" w:rsidRDefault="00E253B8" w:rsidP="00E253B8">
      <w:pPr>
        <w:jc w:val="both"/>
        <w:rPr>
          <w:rFonts w:ascii="Arial" w:hAnsi="Arial" w:cs="Arial"/>
          <w:sz w:val="22"/>
          <w:szCs w:val="22"/>
        </w:rPr>
      </w:pPr>
      <w:r w:rsidRPr="00164180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Department of Chemistry, College of Arts and Sciences, Drexel University, Philadelphia, Pennsylvania 19102, United States </w:t>
      </w:r>
    </w:p>
    <w:p w:rsidR="00E253B8" w:rsidRDefault="00E253B8" w:rsidP="00E253B8">
      <w:pPr>
        <w:jc w:val="both"/>
        <w:rPr>
          <w:rFonts w:ascii="Arial" w:hAnsi="Arial" w:cs="Arial"/>
          <w:sz w:val="22"/>
          <w:szCs w:val="22"/>
        </w:rPr>
      </w:pPr>
      <w:r w:rsidRPr="00164180">
        <w:rPr>
          <w:rFonts w:ascii="Arial" w:hAnsi="Arial" w:cs="Arial"/>
          <w:sz w:val="22"/>
          <w:szCs w:val="22"/>
          <w:vertAlign w:val="superscript"/>
        </w:rPr>
        <w:t>3</w:t>
      </w:r>
      <w:r w:rsidRPr="00ED0410">
        <w:rPr>
          <w:rFonts w:ascii="Arial" w:hAnsi="Arial" w:cs="Arial"/>
          <w:sz w:val="22"/>
          <w:szCs w:val="22"/>
        </w:rPr>
        <w:t>Department of Chemical &amp; Biological Engineering</w:t>
      </w:r>
      <w:r>
        <w:rPr>
          <w:rFonts w:ascii="Arial" w:hAnsi="Arial" w:cs="Arial"/>
          <w:sz w:val="22"/>
          <w:szCs w:val="22"/>
        </w:rPr>
        <w:t>, College of Engineering, Drexel University, Philadelphia, Pennsylvania 19102, United States</w:t>
      </w:r>
    </w:p>
    <w:p w:rsidR="00E253B8" w:rsidRPr="00ED0410" w:rsidRDefault="00E253B8" w:rsidP="00E253B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vertAlign w:val="superscript"/>
        </w:rPr>
        <w:t>4</w:t>
      </w:r>
      <w:r>
        <w:rPr>
          <w:rFonts w:ascii="Arial" w:hAnsi="Arial" w:cs="Arial"/>
          <w:sz w:val="22"/>
          <w:szCs w:val="22"/>
        </w:rPr>
        <w:t>Department of Chemistry, School of Arts and Sciences, University of Pennsylvania, Philadelphia, Pennsylvania 19104, United States</w:t>
      </w:r>
    </w:p>
    <w:p w:rsidR="00E253B8" w:rsidRPr="00CC0080" w:rsidRDefault="00E253B8" w:rsidP="00E253B8">
      <w:pPr>
        <w:spacing w:line="360" w:lineRule="auto"/>
        <w:jc w:val="both"/>
        <w:rPr>
          <w:rStyle w:val="eop"/>
          <w:rFonts w:ascii="Arial" w:hAnsi="Arial" w:cs="Arial"/>
          <w:sz w:val="22"/>
          <w:szCs w:val="22"/>
          <w:shd w:val="clear" w:color="auto" w:fill="FFFFFF"/>
        </w:rPr>
      </w:pPr>
      <w:r w:rsidRPr="00CC0080">
        <w:rPr>
          <w:rStyle w:val="normaltextrun"/>
          <w:rFonts w:ascii="Arial" w:hAnsi="Arial" w:cs="Arial"/>
          <w:sz w:val="22"/>
          <w:szCs w:val="22"/>
          <w:shd w:val="clear" w:color="auto" w:fill="FFFFFF"/>
        </w:rPr>
        <w:t>*M.G., G.C., C.A. and M.M. contributed equally to this work.</w:t>
      </w:r>
      <w:r w:rsidRPr="00CC0080">
        <w:rPr>
          <w:rStyle w:val="eop"/>
          <w:rFonts w:ascii="Arial" w:hAnsi="Arial" w:cs="Arial"/>
          <w:sz w:val="22"/>
          <w:szCs w:val="22"/>
          <w:shd w:val="clear" w:color="auto" w:fill="FFFFFF"/>
        </w:rPr>
        <w:t> </w:t>
      </w:r>
    </w:p>
    <w:p w:rsidR="00E253B8" w:rsidRDefault="00E253B8">
      <w:pPr>
        <w:spacing w:after="160" w:line="259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b/>
          <w:bCs/>
          <w:sz w:val="20"/>
          <w:szCs w:val="20"/>
        </w:rPr>
        <w:lastRenderedPageBreak/>
        <w:t xml:space="preserve">Figure S1: </w:t>
      </w:r>
      <w:proofErr w:type="gramStart"/>
      <w:r w:rsidRPr="007E04C1">
        <w:rPr>
          <w:rFonts w:ascii="Arial" w:hAnsi="Arial" w:cs="Arial"/>
          <w:b/>
          <w:bCs/>
          <w:sz w:val="20"/>
          <w:szCs w:val="20"/>
        </w:rPr>
        <w:t>cPT</w:t>
      </w:r>
      <w:proofErr w:type="gramEnd"/>
      <w:r w:rsidRPr="007E04C1">
        <w:rPr>
          <w:rFonts w:ascii="Arial" w:hAnsi="Arial" w:cs="Arial"/>
          <w:b/>
          <w:bCs/>
          <w:sz w:val="20"/>
          <w:szCs w:val="20"/>
        </w:rPr>
        <w:t xml:space="preserve"> analytical HPLC chromatograms and mass spectra used to gauge homogeneity and validate syntheses. </w:t>
      </w:r>
      <w:r w:rsidRPr="007E04C1">
        <w:rPr>
          <w:rFonts w:ascii="Arial" w:hAnsi="Arial" w:cs="Arial"/>
          <w:sz w:val="20"/>
          <w:szCs w:val="20"/>
        </w:rPr>
        <w:t xml:space="preserve">All chromatograms are traces at 280nm. These were obtained via Empower HPLC software. The mass spectra attached reflect mass fragmentation of the major peak per chromatogram. A common mass fragmentation pattern is (M+2)/2 where the total mass is split and </w:t>
      </w:r>
      <w:proofErr w:type="spellStart"/>
      <w:r w:rsidRPr="007E04C1">
        <w:rPr>
          <w:rFonts w:ascii="Arial" w:hAnsi="Arial" w:cs="Arial"/>
          <w:sz w:val="20"/>
          <w:szCs w:val="20"/>
        </w:rPr>
        <w:t>protonated</w:t>
      </w:r>
      <w:proofErr w:type="spellEnd"/>
      <w:r w:rsidRPr="007E04C1">
        <w:rPr>
          <w:rFonts w:ascii="Arial" w:hAnsi="Arial" w:cs="Arial"/>
          <w:sz w:val="20"/>
          <w:szCs w:val="20"/>
        </w:rPr>
        <w:t xml:space="preserve">. Some compounds have other peaks listed which could stem from metal </w:t>
      </w:r>
      <w:proofErr w:type="spellStart"/>
      <w:r w:rsidRPr="007E04C1">
        <w:rPr>
          <w:rFonts w:ascii="Arial" w:hAnsi="Arial" w:cs="Arial"/>
          <w:sz w:val="20"/>
          <w:szCs w:val="20"/>
        </w:rPr>
        <w:t>cations</w:t>
      </w:r>
      <w:proofErr w:type="spellEnd"/>
      <w:r w:rsidRPr="007E04C1">
        <w:rPr>
          <w:rFonts w:ascii="Arial" w:hAnsi="Arial" w:cs="Arial"/>
          <w:sz w:val="20"/>
          <w:szCs w:val="20"/>
        </w:rPr>
        <w:t xml:space="preserve"> </w:t>
      </w:r>
      <w:r w:rsidRPr="007E04C1">
        <w:rPr>
          <w:rFonts w:ascii="Arial" w:hAnsi="Arial" w:cs="Arial"/>
          <w:i/>
          <w:iCs/>
          <w:sz w:val="20"/>
          <w:szCs w:val="20"/>
        </w:rPr>
        <w:t>via</w:t>
      </w:r>
      <w:r w:rsidRPr="007E04C1">
        <w:rPr>
          <w:rFonts w:ascii="Arial" w:hAnsi="Arial" w:cs="Arial"/>
          <w:sz w:val="20"/>
          <w:szCs w:val="20"/>
        </w:rPr>
        <w:t xml:space="preserve"> sodium (+22.). 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6266180" cy="5823585"/>
            <wp:effectExtent l="19050" t="0" r="1270" b="0"/>
            <wp:docPr id="4" name="Picture 1" descr="C:\Users\Sanja\Dropbox\Manuscript - MedChemRes cPT\20230412\FigS1Ar4 N2(final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nja\Dropbox\Manuscript - MedChemRes cPT\20230412\FigS1Ar4 N2(final)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180" cy="582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Pr="007E04C1" w:rsidRDefault="00E253B8" w:rsidP="00E253B8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Figure S1A: AAR029N2 – Parent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>Expected molecular weight: 978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 xml:space="preserve">(978+2)/2 = 490, peaks </w:t>
      </w:r>
      <w:r>
        <w:rPr>
          <w:rFonts w:ascii="Arial" w:hAnsi="Arial" w:cs="Arial"/>
          <w:sz w:val="20"/>
          <w:szCs w:val="20"/>
        </w:rPr>
        <w:t xml:space="preserve">observed </w:t>
      </w:r>
      <w:r w:rsidRPr="007E04C1">
        <w:rPr>
          <w:rFonts w:ascii="Arial" w:hAnsi="Arial" w:cs="Arial"/>
          <w:sz w:val="20"/>
          <w:szCs w:val="20"/>
        </w:rPr>
        <w:t>at 489.93, 490.79 and 978.69</w:t>
      </w: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  <w:u w:val="single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6266180" cy="5726430"/>
            <wp:effectExtent l="19050" t="0" r="1270" b="0"/>
            <wp:docPr id="5" name="Picture 2" descr="C:\Users\Sanja\Dropbox\Manuscript - MedChemRes cPT\20230412\FigS1Br4 N2-Br (final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nja\Dropbox\Manuscript - MedChemRes cPT\20230412\FigS1Br4 N2-Br (final)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180" cy="572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Pr="007E04C1" w:rsidRDefault="00E253B8" w:rsidP="00E253B8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Figure S1B: MG-I-13 (N2-Br)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>Expected molecular weight: 1056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 xml:space="preserve">(978+2)/2 = 529, peaks </w:t>
      </w:r>
      <w:r>
        <w:rPr>
          <w:rFonts w:ascii="Arial" w:hAnsi="Arial" w:cs="Arial"/>
          <w:sz w:val="20"/>
          <w:szCs w:val="20"/>
        </w:rPr>
        <w:t xml:space="preserve">observed </w:t>
      </w:r>
      <w:r w:rsidRPr="007E04C1">
        <w:rPr>
          <w:rFonts w:ascii="Arial" w:hAnsi="Arial" w:cs="Arial"/>
          <w:sz w:val="20"/>
          <w:szCs w:val="20"/>
        </w:rPr>
        <w:t xml:space="preserve">at 528.87, 529.90, </w:t>
      </w:r>
      <w:proofErr w:type="gramStart"/>
      <w:r w:rsidRPr="007E04C1">
        <w:rPr>
          <w:rFonts w:ascii="Arial" w:hAnsi="Arial" w:cs="Arial"/>
          <w:sz w:val="20"/>
          <w:szCs w:val="20"/>
        </w:rPr>
        <w:t>530.55</w:t>
      </w:r>
      <w:proofErr w:type="gramEnd"/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:rsidR="00E253B8" w:rsidRPr="007E04C1" w:rsidRDefault="00E253B8" w:rsidP="00E253B8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>
            <wp:extent cx="6266180" cy="5890895"/>
            <wp:effectExtent l="19050" t="0" r="1270" b="0"/>
            <wp:docPr id="8" name="Picture 3" descr="C:\Users\Sanja\Dropbox\Manuscript - MedChemRes cPT\20230412\FigS1Cr4 N14 (final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nja\Dropbox\Manuscript - MedChemRes cPT\20230412\FigS1Cr4 N14 (final)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180" cy="589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  <w:u w:val="single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Figure S1C: MG-I-33 (N14)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>Expected molecular weight: 1012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 xml:space="preserve">(1012+2)/2 = 507, peaks </w:t>
      </w:r>
      <w:r>
        <w:rPr>
          <w:rFonts w:ascii="Arial" w:hAnsi="Arial" w:cs="Arial"/>
          <w:sz w:val="20"/>
          <w:szCs w:val="20"/>
        </w:rPr>
        <w:t xml:space="preserve">observed </w:t>
      </w:r>
      <w:r w:rsidRPr="007E04C1">
        <w:rPr>
          <w:rFonts w:ascii="Arial" w:hAnsi="Arial" w:cs="Arial"/>
          <w:sz w:val="20"/>
          <w:szCs w:val="20"/>
        </w:rPr>
        <w:t>at 507.27, 597.77</w:t>
      </w: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6266180" cy="6325870"/>
            <wp:effectExtent l="19050" t="0" r="1270" b="0"/>
            <wp:docPr id="14" name="Picture 4" descr="C:\Users\Sanja\Dropbox\Manuscript - MedChemRes cPT\20230412\FigS1Dr4 N14b (final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nja\Dropbox\Manuscript - MedChemRes cPT\20230412\FigS1Dr4 N14b (final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180" cy="6325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Pr="007E04C1" w:rsidRDefault="00E253B8" w:rsidP="00E253B8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Figure S1D: MG-II-20 (N14b)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>Expected molecular weight: 962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7E04C1">
        <w:rPr>
          <w:rFonts w:ascii="Arial" w:hAnsi="Arial" w:cs="Arial"/>
          <w:sz w:val="20"/>
          <w:szCs w:val="20"/>
        </w:rPr>
        <w:t xml:space="preserve">eaks </w:t>
      </w:r>
      <w:r>
        <w:rPr>
          <w:rFonts w:ascii="Arial" w:hAnsi="Arial" w:cs="Arial"/>
          <w:sz w:val="20"/>
          <w:szCs w:val="20"/>
        </w:rPr>
        <w:t xml:space="preserve">observed </w:t>
      </w:r>
      <w:r w:rsidRPr="007E04C1">
        <w:rPr>
          <w:rFonts w:ascii="Arial" w:hAnsi="Arial" w:cs="Arial"/>
          <w:sz w:val="20"/>
          <w:szCs w:val="20"/>
        </w:rPr>
        <w:t xml:space="preserve">at 962.43, 984.84, 985.66, (984.84 and 985.66 peaks could be from sodium </w:t>
      </w:r>
      <w:proofErr w:type="spellStart"/>
      <w:r w:rsidRPr="007E04C1">
        <w:rPr>
          <w:rFonts w:ascii="Arial" w:hAnsi="Arial" w:cs="Arial"/>
          <w:sz w:val="20"/>
          <w:szCs w:val="20"/>
        </w:rPr>
        <w:t>cations</w:t>
      </w:r>
      <w:proofErr w:type="spellEnd"/>
      <w:r w:rsidRPr="007E04C1">
        <w:rPr>
          <w:rFonts w:ascii="Arial" w:hAnsi="Arial" w:cs="Arial"/>
          <w:sz w:val="20"/>
          <w:szCs w:val="20"/>
        </w:rPr>
        <w:t>)</w:t>
      </w: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br w:type="page"/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6266180" cy="5988685"/>
            <wp:effectExtent l="19050" t="0" r="1270" b="0"/>
            <wp:docPr id="18" name="Picture 5" descr="C:\Users\Sanja\Dropbox\Manuscript - MedChemRes cPT\20230412\FigS1Er4 N2-Me (final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nja\Dropbox\Manuscript - MedChemRes cPT\20230412\FigS1Er4 N2-Me (final)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180" cy="598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Pr="007E04C1" w:rsidRDefault="00E253B8" w:rsidP="00E253B8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Figure S1E: MG-II-39 (N2-Me)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>Expected molecular weight: 992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>(992+2)/2 = 497, peaks</w:t>
      </w:r>
      <w:r>
        <w:rPr>
          <w:rFonts w:ascii="Arial" w:hAnsi="Arial" w:cs="Arial"/>
          <w:sz w:val="20"/>
          <w:szCs w:val="20"/>
        </w:rPr>
        <w:t xml:space="preserve"> observed</w:t>
      </w:r>
      <w:r w:rsidRPr="007E04C1">
        <w:rPr>
          <w:rFonts w:ascii="Arial" w:hAnsi="Arial" w:cs="Arial"/>
          <w:sz w:val="20"/>
          <w:szCs w:val="20"/>
        </w:rPr>
        <w:t xml:space="preserve"> at 497.06, 497.74</w:t>
      </w: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6266180" cy="5988685"/>
            <wp:effectExtent l="19050" t="0" r="1270" b="0"/>
            <wp:docPr id="19" name="Picture 6" descr="C:\Users\Sanja\Dropbox\Manuscript - MedChemRes cPT\20230412\FigS1Fr4 N14b-Br (final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nja\Dropbox\Manuscript - MedChemRes cPT\20230412\FigS1Fr4 N14b-Br (final)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180" cy="598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Pr="007E04C1" w:rsidRDefault="00E253B8" w:rsidP="00E253B8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Figure S1F: MG-II-55 (N14b-Br)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>Expected molecular weight: 1040</w:t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t xml:space="preserve">(1040+2)/2 = 521, peaks </w:t>
      </w:r>
      <w:r>
        <w:rPr>
          <w:rFonts w:ascii="Arial" w:hAnsi="Arial" w:cs="Arial"/>
          <w:sz w:val="20"/>
          <w:szCs w:val="20"/>
        </w:rPr>
        <w:t xml:space="preserve">observed </w:t>
      </w:r>
      <w:r w:rsidRPr="007E04C1">
        <w:rPr>
          <w:rFonts w:ascii="Arial" w:hAnsi="Arial" w:cs="Arial"/>
          <w:sz w:val="20"/>
          <w:szCs w:val="20"/>
        </w:rPr>
        <w:t xml:space="preserve">at 521.07, 521.85, 543.32 (additional +22 </w:t>
      </w:r>
      <w:proofErr w:type="spellStart"/>
      <w:r w:rsidRPr="007E04C1">
        <w:rPr>
          <w:rFonts w:ascii="Arial" w:hAnsi="Arial" w:cs="Arial"/>
          <w:sz w:val="20"/>
          <w:szCs w:val="20"/>
        </w:rPr>
        <w:t>cationization</w:t>
      </w:r>
      <w:proofErr w:type="spellEnd"/>
      <w:r w:rsidRPr="007E04C1">
        <w:rPr>
          <w:rFonts w:ascii="Arial" w:hAnsi="Arial" w:cs="Arial"/>
          <w:sz w:val="20"/>
          <w:szCs w:val="20"/>
        </w:rPr>
        <w:t xml:space="preserve"> may be Na+)</w:t>
      </w:r>
    </w:p>
    <w:p w:rsidR="00E253B8" w:rsidRPr="007E04C1" w:rsidRDefault="00E253B8" w:rsidP="00E253B8">
      <w:pPr>
        <w:rPr>
          <w:rFonts w:ascii="Arial" w:hAnsi="Arial" w:cs="Arial"/>
          <w:sz w:val="20"/>
          <w:szCs w:val="20"/>
        </w:rPr>
      </w:pPr>
      <w:r w:rsidRPr="007E04C1">
        <w:rPr>
          <w:rFonts w:ascii="Arial" w:hAnsi="Arial" w:cs="Arial"/>
          <w:sz w:val="20"/>
          <w:szCs w:val="20"/>
        </w:rPr>
        <w:br w:type="page"/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6309909" cy="1989438"/>
            <wp:effectExtent l="0" t="0" r="0" b="0"/>
            <wp:docPr id="1679555532" name="Picture 10" descr="D:\Users\Subtended\Dropbox\Manuscript - MedChemRes cPT\20230407\Fig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Subtended\Dropbox\Manuscript - MedChemRes cPT\20230407\FigS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870" cy="1990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E253B8" w:rsidRDefault="00E253B8" w:rsidP="00E253B8">
      <w:pPr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Figure S2: Sensorgrams for gp120 binding kinetics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to </w:t>
      </w: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MG-I-13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(A) </w:t>
      </w: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and MG-II-55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(B). 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Duplicate samples diluted in running buffer with 2 and 5% DMSO, respectively, were injected at increasing concentrations. </w:t>
      </w:r>
      <w:r w:rsidRPr="00B51B11">
        <w:rPr>
          <w:rFonts w:ascii="Arial" w:hAnsi="Arial" w:cs="Arial"/>
          <w:b/>
          <w:bCs/>
          <w:color w:val="000000" w:themeColor="text1"/>
          <w:sz w:val="20"/>
          <w:szCs w:val="20"/>
        </w:rPr>
        <w:t>(A)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MG-1-13 (8.2 to 2000 nM, 2.5-fold dilutions); </w:t>
      </w:r>
      <w:r w:rsidRPr="00B51B11">
        <w:rPr>
          <w:rFonts w:ascii="Arial" w:hAnsi="Arial" w:cs="Arial"/>
          <w:b/>
          <w:bCs/>
          <w:color w:val="000000" w:themeColor="text1"/>
          <w:sz w:val="20"/>
          <w:szCs w:val="20"/>
        </w:rPr>
        <w:t>(B)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MG-II-55 (8.2 to 800 nM, 2.5-fold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 dilutions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>, with 1.3-fold dilutions from 22.8 and 128 nM); data in black; fit to a 1:1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 interaction model in red. Inse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t: steady state binding </w:t>
      </w:r>
      <w:r w:rsidRPr="00D60BEE">
        <w:rPr>
          <w:rFonts w:ascii="Arial" w:hAnsi="Arial" w:cs="Arial"/>
          <w:bCs/>
          <w:color w:val="000000" w:themeColor="text1"/>
          <w:sz w:val="20"/>
          <w:szCs w:val="20"/>
        </w:rPr>
        <w:t xml:space="preserve">isotherm fits reveal: </w:t>
      </w:r>
      <w:r w:rsidRPr="00D60BEE">
        <w:rPr>
          <w:rFonts w:ascii="Arial" w:hAnsi="Arial" w:cs="Arial"/>
          <w:b/>
          <w:bCs/>
          <w:color w:val="000000" w:themeColor="text1"/>
          <w:sz w:val="20"/>
          <w:szCs w:val="20"/>
        </w:rPr>
        <w:t>A)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K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  <w:vertAlign w:val="subscript"/>
        </w:rPr>
        <w:t>D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= 90.9±3 nM; </w:t>
      </w:r>
      <w:r w:rsidRPr="00DE5077">
        <w:rPr>
          <w:rFonts w:ascii="Arial" w:hAnsi="Arial" w:cs="Arial"/>
          <w:b/>
          <w:bCs/>
          <w:color w:val="000000" w:themeColor="text1"/>
          <w:sz w:val="20"/>
          <w:szCs w:val="20"/>
        </w:rPr>
        <w:t>B)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K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  <w:vertAlign w:val="subscript"/>
        </w:rPr>
        <w:t>D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= 100±12 nM, with fixed </w:t>
      </w:r>
      <w:proofErr w:type="spellStart"/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>Rmax</w:t>
      </w:r>
      <w:proofErr w:type="spellEnd"/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10.32 RU. </w:t>
      </w:r>
      <w:proofErr w:type="spellStart"/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>Ligand</w:t>
      </w:r>
      <w:proofErr w:type="spellEnd"/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YU2: </w:t>
      </w:r>
      <w:r w:rsidRPr="00DE5077">
        <w:rPr>
          <w:rFonts w:ascii="Arial" w:hAnsi="Arial" w:cs="Arial"/>
          <w:b/>
          <w:bCs/>
          <w:color w:val="000000" w:themeColor="text1"/>
          <w:sz w:val="20"/>
          <w:szCs w:val="20"/>
        </w:rPr>
        <w:t>A)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1320 RU; </w:t>
      </w:r>
      <w:r w:rsidRPr="00DE5077">
        <w:rPr>
          <w:rFonts w:ascii="Arial" w:hAnsi="Arial" w:cs="Arial"/>
          <w:b/>
          <w:bCs/>
          <w:color w:val="000000" w:themeColor="text1"/>
          <w:sz w:val="20"/>
          <w:szCs w:val="20"/>
        </w:rPr>
        <w:t>B)</w:t>
      </w:r>
      <w:r w:rsidRPr="007E04C1">
        <w:rPr>
          <w:rFonts w:ascii="Arial" w:hAnsi="Arial" w:cs="Arial"/>
          <w:bCs/>
          <w:color w:val="000000" w:themeColor="text1"/>
          <w:sz w:val="20"/>
          <w:szCs w:val="20"/>
        </w:rPr>
        <w:t xml:space="preserve"> 1600 RU.</w:t>
      </w:r>
    </w:p>
    <w:p w:rsidR="00E253B8" w:rsidRDefault="00E253B8" w:rsidP="00E253B8">
      <w:pPr>
        <w:rPr>
          <w:rFonts w:ascii="Arial" w:hAnsi="Arial" w:cs="Arial"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</w:rPr>
        <w:br w:type="page"/>
      </w: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E253B8" w:rsidRPr="007E04C1" w:rsidRDefault="00E253B8" w:rsidP="00E253B8">
      <w:pPr>
        <w:jc w:val="both"/>
        <w:rPr>
          <w:rFonts w:ascii="Arial" w:hAnsi="Arial" w:cs="Arial"/>
          <w:sz w:val="20"/>
          <w:szCs w:val="20"/>
        </w:rPr>
      </w:pP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3105785" cy="2708910"/>
            <wp:effectExtent l="19050" t="0" r="0" b="0"/>
            <wp:docPr id="13" name="Picture 4" descr="C:\Users\Sanja\Dropbox\Manuscript - MedChemRes cPT\20230410\FigS3r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nja\Dropbox\Manuscript - MedChemRes cPT\20230410\FigS3r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785" cy="270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Default="00E253B8" w:rsidP="00E253B8">
      <w:pPr>
        <w:jc w:val="both"/>
        <w:rPr>
          <w:rFonts w:ascii="Arial" w:hAnsi="Arial" w:cs="Arial"/>
          <w:b/>
          <w:sz w:val="20"/>
          <w:szCs w:val="20"/>
        </w:rPr>
      </w:pPr>
    </w:p>
    <w:p w:rsidR="00E253B8" w:rsidRPr="00512434" w:rsidRDefault="00E253B8" w:rsidP="00E253B8">
      <w:pPr>
        <w:jc w:val="both"/>
        <w:rPr>
          <w:rFonts w:ascii="Arial" w:hAnsi="Arial" w:cs="Arial"/>
          <w:sz w:val="20"/>
          <w:szCs w:val="20"/>
        </w:rPr>
      </w:pPr>
      <w:r w:rsidRPr="00512434">
        <w:rPr>
          <w:rFonts w:ascii="Arial" w:hAnsi="Arial" w:cs="Arial"/>
          <w:b/>
          <w:sz w:val="20"/>
          <w:szCs w:val="20"/>
        </w:rPr>
        <w:t xml:space="preserve">Figure S3: Affinity distribution of </w:t>
      </w:r>
      <w:proofErr w:type="gramStart"/>
      <w:r w:rsidRPr="00512434">
        <w:rPr>
          <w:rFonts w:ascii="Arial" w:hAnsi="Arial" w:cs="Arial"/>
          <w:b/>
          <w:sz w:val="20"/>
          <w:szCs w:val="20"/>
        </w:rPr>
        <w:t>cPT</w:t>
      </w:r>
      <w:proofErr w:type="gramEnd"/>
      <w:r w:rsidRPr="00512434">
        <w:rPr>
          <w:rFonts w:ascii="Arial" w:hAnsi="Arial" w:cs="Arial"/>
          <w:b/>
          <w:sz w:val="20"/>
          <w:szCs w:val="20"/>
        </w:rPr>
        <w:t xml:space="preserve"> variant complexes with YU2 gp120.</w:t>
      </w:r>
      <w:r w:rsidRPr="00512434">
        <w:rPr>
          <w:rFonts w:ascii="Arial" w:hAnsi="Arial" w:cs="Arial"/>
          <w:sz w:val="20"/>
          <w:szCs w:val="20"/>
        </w:rPr>
        <w:t xml:space="preserve"> Kinetic coordinates of binding determined by SPR (data from Table S1) are plotted to show their relationships along affinity isotherm lines (in gray). Data are included from </w:t>
      </w:r>
      <w:r>
        <w:rPr>
          <w:rFonts w:ascii="Arial" w:hAnsi="Arial" w:cs="Arial"/>
          <w:sz w:val="20"/>
          <w:szCs w:val="20"/>
        </w:rPr>
        <w:t xml:space="preserve">assays in </w:t>
      </w:r>
      <w:r w:rsidRPr="00512434">
        <w:rPr>
          <w:rFonts w:ascii="Arial" w:hAnsi="Arial" w:cs="Arial"/>
          <w:sz w:val="20"/>
          <w:szCs w:val="20"/>
        </w:rPr>
        <w:t>both 2% (open symbols) and 5% (closed circles) DMSO buffer to show the impact of DMSO concentration. For all variants, there was a shift to faster on and off rates with decreased DMSO, but with no loss of interaction affinity.</w:t>
      </w:r>
      <w:r w:rsidRPr="00512434">
        <w:rPr>
          <w:rFonts w:ascii="Arial" w:hAnsi="Arial" w:cs="Arial"/>
          <w:sz w:val="20"/>
          <w:szCs w:val="20"/>
        </w:rPr>
        <w:br w:type="page"/>
      </w:r>
    </w:p>
    <w:p w:rsidR="00E253B8" w:rsidRPr="007E04C1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3447536" cy="2117357"/>
            <wp:effectExtent l="0" t="0" r="0" b="0"/>
            <wp:docPr id="1679555534" name="Picture 12" descr="D:\Users\Subtended\Dropbox\Manuscript - MedChemRes cPT\20230407\Fig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s\Subtended\Dropbox\Manuscript - MedChemRes cPT\20230407\FigS4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331" cy="21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>Figure S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: Kinetics of MG-I-33 binding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to </w:t>
      </w:r>
      <w:r w:rsidRPr="007E04C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gp120. </w:t>
      </w:r>
      <w:r w:rsidRPr="007E04C1">
        <w:rPr>
          <w:rFonts w:ascii="Arial" w:hAnsi="Arial" w:cs="Arial"/>
          <w:color w:val="000000" w:themeColor="text1"/>
          <w:sz w:val="20"/>
          <w:szCs w:val="20"/>
        </w:rPr>
        <w:t xml:space="preserve">Duplicate samples diluted in running buffer with 5% DMSO, were injected at concentrations spanning 8.2 to 2000 nM, 3-fold. </w:t>
      </w:r>
      <w:r>
        <w:rPr>
          <w:rFonts w:ascii="Arial" w:hAnsi="Arial" w:cs="Arial"/>
          <w:color w:val="000000" w:themeColor="text1"/>
          <w:sz w:val="20"/>
          <w:szCs w:val="20"/>
        </w:rPr>
        <w:t>B</w:t>
      </w:r>
      <w:r w:rsidRPr="007E04C1">
        <w:rPr>
          <w:rFonts w:ascii="Arial" w:hAnsi="Arial" w:cs="Arial"/>
          <w:color w:val="000000" w:themeColor="text1"/>
          <w:sz w:val="20"/>
          <w:szCs w:val="20"/>
        </w:rPr>
        <w:t>lack traces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are experimental data, with</w:t>
      </w:r>
      <w:r w:rsidRPr="007E04C1">
        <w:rPr>
          <w:rFonts w:ascii="Arial" w:hAnsi="Arial" w:cs="Arial"/>
          <w:color w:val="000000" w:themeColor="text1"/>
          <w:sz w:val="20"/>
          <w:szCs w:val="20"/>
        </w:rPr>
        <w:t xml:space="preserve"> fit</w:t>
      </w:r>
      <w:r>
        <w:rPr>
          <w:rFonts w:ascii="Arial" w:hAnsi="Arial" w:cs="Arial"/>
          <w:color w:val="000000" w:themeColor="text1"/>
          <w:sz w:val="20"/>
          <w:szCs w:val="20"/>
        </w:rPr>
        <w:t>s</w:t>
      </w:r>
      <w:r w:rsidRPr="007E04C1">
        <w:rPr>
          <w:rFonts w:ascii="Arial" w:hAnsi="Arial" w:cs="Arial"/>
          <w:color w:val="000000" w:themeColor="text1"/>
          <w:sz w:val="20"/>
          <w:szCs w:val="20"/>
        </w:rPr>
        <w:t xml:space="preserve"> to a 1:1 interaction model </w:t>
      </w:r>
      <w:r>
        <w:rPr>
          <w:rFonts w:ascii="Arial" w:hAnsi="Arial" w:cs="Arial"/>
          <w:color w:val="000000" w:themeColor="text1"/>
          <w:sz w:val="20"/>
          <w:szCs w:val="20"/>
        </w:rPr>
        <w:t>in</w:t>
      </w:r>
      <w:r w:rsidRPr="007E04C1">
        <w:rPr>
          <w:rFonts w:ascii="Arial" w:hAnsi="Arial" w:cs="Arial"/>
          <w:color w:val="000000" w:themeColor="text1"/>
          <w:sz w:val="20"/>
          <w:szCs w:val="20"/>
        </w:rPr>
        <w:t xml:space="preserve"> red traces</w:t>
      </w:r>
      <w:r w:rsidRPr="00D60BEE">
        <w:rPr>
          <w:rFonts w:ascii="Arial" w:hAnsi="Arial" w:cs="Arial"/>
          <w:color w:val="000000" w:themeColor="text1"/>
          <w:sz w:val="20"/>
          <w:szCs w:val="20"/>
        </w:rPr>
        <w:t xml:space="preserve">. Fitted steady state binding isotherm: </w:t>
      </w:r>
      <w:proofErr w:type="spellStart"/>
      <w:r w:rsidRPr="00D60BEE">
        <w:rPr>
          <w:rFonts w:ascii="Arial" w:hAnsi="Arial" w:cs="Arial"/>
          <w:color w:val="000000" w:themeColor="text1"/>
          <w:sz w:val="20"/>
          <w:szCs w:val="20"/>
        </w:rPr>
        <w:t>K</w:t>
      </w:r>
      <w:r w:rsidRPr="00D60BEE">
        <w:rPr>
          <w:rFonts w:ascii="Arial" w:hAnsi="Arial" w:cs="Arial"/>
          <w:color w:val="000000" w:themeColor="text1"/>
          <w:sz w:val="20"/>
          <w:szCs w:val="20"/>
          <w:vertAlign w:val="subscript"/>
        </w:rPr>
        <w:t>Deq</w:t>
      </w:r>
      <w:proofErr w:type="spellEnd"/>
      <w:r w:rsidRPr="00D60BEE">
        <w:rPr>
          <w:rFonts w:ascii="Arial" w:hAnsi="Arial" w:cs="Arial"/>
          <w:color w:val="000000" w:themeColor="text1"/>
          <w:sz w:val="20"/>
          <w:szCs w:val="20"/>
        </w:rPr>
        <w:t xml:space="preserve">= 180.0±4 nM. </w:t>
      </w:r>
      <w:proofErr w:type="spellStart"/>
      <w:r w:rsidRPr="00D60BEE">
        <w:rPr>
          <w:rFonts w:ascii="Arial" w:hAnsi="Arial" w:cs="Arial"/>
          <w:color w:val="000000" w:themeColor="text1"/>
          <w:sz w:val="20"/>
          <w:szCs w:val="20"/>
        </w:rPr>
        <w:t>Ligand</w:t>
      </w:r>
      <w:proofErr w:type="spellEnd"/>
      <w:r w:rsidRPr="00D60BEE">
        <w:rPr>
          <w:rFonts w:ascii="Arial" w:hAnsi="Arial" w:cs="Arial"/>
          <w:color w:val="000000" w:themeColor="text1"/>
          <w:sz w:val="20"/>
          <w:szCs w:val="20"/>
        </w:rPr>
        <w:t xml:space="preserve"> YU2: 3000 RU.</w:t>
      </w:r>
    </w:p>
    <w:p w:rsidR="00E253B8" w:rsidRPr="00CD0459" w:rsidRDefault="00E253B8" w:rsidP="00E253B8">
      <w:pPr>
        <w:jc w:val="both"/>
        <w:rPr>
          <w:rFonts w:ascii="Arial" w:hAnsi="Arial" w:cs="Arial"/>
          <w:sz w:val="22"/>
          <w:szCs w:val="22"/>
        </w:rPr>
      </w:pPr>
    </w:p>
    <w:p w:rsidR="00E253B8" w:rsidRPr="00CD0459" w:rsidRDefault="00E253B8" w:rsidP="00E253B8">
      <w:pPr>
        <w:jc w:val="both"/>
        <w:rPr>
          <w:rFonts w:ascii="Arial" w:hAnsi="Arial" w:cs="Arial"/>
          <w:sz w:val="22"/>
          <w:szCs w:val="22"/>
        </w:rPr>
      </w:pPr>
      <w:r w:rsidRPr="00CD0459">
        <w:rPr>
          <w:rFonts w:ascii="Arial" w:hAnsi="Arial" w:cs="Arial"/>
          <w:sz w:val="22"/>
          <w:szCs w:val="22"/>
        </w:rPr>
        <w:br w:type="page"/>
      </w:r>
    </w:p>
    <w:p w:rsidR="00E253B8" w:rsidRPr="007E04C1" w:rsidRDefault="00E253B8" w:rsidP="00E253B8">
      <w:pPr>
        <w:jc w:val="center"/>
        <w:rPr>
          <w:rFonts w:ascii="Arial" w:eastAsia="Times New Roman" w:hAnsi="Arial" w:cs="Arial"/>
          <w:b/>
          <w:bCs/>
          <w:sz w:val="22"/>
          <w:szCs w:val="22"/>
          <w:shd w:val="clear" w:color="auto" w:fill="FFFFFF"/>
        </w:rPr>
      </w:pPr>
      <w:r>
        <w:rPr>
          <w:rFonts w:ascii="Arial" w:eastAsia="Times New Roman" w:hAnsi="Arial" w:cs="Arial"/>
          <w:b/>
          <w:bCs/>
          <w:noProof/>
          <w:sz w:val="22"/>
          <w:szCs w:val="22"/>
          <w:shd w:val="clear" w:color="auto" w:fill="FFFFFF"/>
        </w:rPr>
        <w:lastRenderedPageBreak/>
        <w:drawing>
          <wp:inline distT="0" distB="0" distL="0" distR="0">
            <wp:extent cx="6263005" cy="1785620"/>
            <wp:effectExtent l="19050" t="0" r="4445" b="0"/>
            <wp:docPr id="6" name="Picture 4" descr="C:\Users\Sanja\Dropbox\Manuscript - MedChemRes cPT\20230410\FigS5r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nja\Dropbox\Manuscript - MedChemRes cPT\20230410\FigS5r3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005" cy="1785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Default="00E253B8" w:rsidP="00E253B8">
      <w:pPr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E253B8" w:rsidRPr="007E04C1" w:rsidRDefault="00E253B8" w:rsidP="00E253B8">
      <w:pPr>
        <w:jc w:val="both"/>
        <w:rPr>
          <w:rFonts w:ascii="Arial" w:eastAsia="Times New Roman" w:hAnsi="Arial" w:cs="Arial"/>
          <w:sz w:val="20"/>
          <w:szCs w:val="20"/>
        </w:rPr>
      </w:pPr>
      <w:r w:rsidRPr="007E04C1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  <w:t xml:space="preserve">Figure S5: </w:t>
      </w:r>
      <w:r w:rsidRPr="00E1044A"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 xml:space="preserve">Putative </w: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 xml:space="preserve">gp120 </w:t>
      </w:r>
      <w:r w:rsidRPr="00E1044A"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>binding mode</w: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>s</w:t>
      </w:r>
      <w:r w:rsidRPr="00E1044A"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 xml:space="preserve"> of </w: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>(Left</w:t>
      </w:r>
      <w:r w:rsidRPr="00E1044A"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 xml:space="preserve">) AAR029N2, </w: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>(Center</w:t>
      </w:r>
      <w:r w:rsidRPr="00E1044A"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 xml:space="preserve">) MG-I-13, and </w: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>(Right</w:t>
      </w:r>
      <w:r w:rsidRPr="00E1044A"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 xml:space="preserve">) MG-I-33 obtained from the wild-type JR-FL structure (PDB ID: 7N6U </w: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fldChar w:fldCharType="begin">
          <w:fldData xml:space="preserve">PEVuZE5vdGU+PENpdGU+PEF1dGhvcj5aaGFuZzwvQXV0aG9yPjxZZWFyPjIwMjE8L1llYXI+PFJl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</w:fldData>
        </w:fldChar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instrText xml:space="preserve"> ADDIN EN.CITE </w:instrTex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fldChar w:fldCharType="begin">
          <w:fldData xml:space="preserve">PEVuZE5vdGU+PENpdGU+PEF1dGhvcj5aaGFuZzwvQXV0aG9yPjxZZWFyPjIwMjE8L1llYXI+PFJl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</w:fldData>
        </w:fldChar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instrText xml:space="preserve"> ADDIN EN.CITE.DATA </w:instrTex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fldChar w:fldCharType="end"/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fldChar w:fldCharType="separate"/>
      </w:r>
      <w:r>
        <w:rPr>
          <w:rFonts w:ascii="Arial" w:eastAsia="Times New Roman" w:hAnsi="Arial" w:cs="Arial"/>
          <w:b/>
          <w:noProof/>
          <w:sz w:val="20"/>
          <w:szCs w:val="20"/>
          <w:shd w:val="clear" w:color="auto" w:fill="FFFFFF"/>
        </w:rPr>
        <w:t>[28]</w:t>
      </w:r>
      <w:r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fldChar w:fldCharType="end"/>
      </w:r>
      <w:r w:rsidRPr="00E1044A">
        <w:rPr>
          <w:rFonts w:ascii="Arial" w:eastAsia="Times New Roman" w:hAnsi="Arial" w:cs="Arial"/>
          <w:b/>
          <w:sz w:val="20"/>
          <w:szCs w:val="20"/>
          <w:shd w:val="clear" w:color="auto" w:fill="FFFFFF"/>
        </w:rPr>
        <w:t>).</w:t>
      </w:r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The </w:t>
      </w:r>
      <w:proofErr w:type="gramStart"/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>cPT</w:t>
      </w:r>
      <w:proofErr w:type="gramEnd"/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structures</w:t>
      </w:r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are shown </w:t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as</w:t>
      </w:r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cyan sticks, H-bonds are shown as </w:t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red</w:t>
      </w:r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dashed lines</w:t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,</w:t>
      </w:r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and π-π stacking interactions are shown </w:t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as</w:t>
      </w:r>
      <w:r w:rsidRPr="007E04C1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blue dashed lines. </w:t>
      </w:r>
    </w:p>
    <w:p w:rsidR="00E253B8" w:rsidRPr="007E04C1" w:rsidRDefault="00E253B8" w:rsidP="00E253B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E04C1">
        <w:rPr>
          <w:rFonts w:ascii="Arial" w:hAnsi="Arial" w:cs="Arial"/>
          <w:b/>
          <w:bCs/>
          <w:sz w:val="22"/>
          <w:szCs w:val="22"/>
        </w:rPr>
        <w:br w:type="page"/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1440"/>
        <w:gridCol w:w="1530"/>
        <w:gridCol w:w="776"/>
        <w:gridCol w:w="776"/>
        <w:gridCol w:w="776"/>
        <w:gridCol w:w="777"/>
        <w:gridCol w:w="776"/>
        <w:gridCol w:w="776"/>
        <w:gridCol w:w="776"/>
        <w:gridCol w:w="777"/>
      </w:tblGrid>
      <w:tr w:rsidR="00E253B8" w:rsidRPr="00995E8A" w:rsidTr="001A0A5B">
        <w:trPr>
          <w:trHeight w:val="315"/>
        </w:trPr>
        <w:tc>
          <w:tcPr>
            <w:tcW w:w="900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lastRenderedPageBreak/>
              <w:t>cPTs</w:t>
            </w:r>
          </w:p>
        </w:tc>
        <w:tc>
          <w:tcPr>
            <w:tcW w:w="1440" w:type="dxa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R1</w:t>
            </w:r>
          </w:p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</w:t>
            </w:r>
            <w:proofErr w:type="spellStart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Trp</w:t>
            </w:r>
            <w:proofErr w:type="spellEnd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Indole</w:t>
            </w:r>
            <w:proofErr w:type="spellEnd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1530" w:type="dxa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R2</w:t>
            </w:r>
          </w:p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</w:t>
            </w:r>
            <w:proofErr w:type="spellStart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Benzotriazole</w:t>
            </w:r>
            <w:proofErr w:type="spellEnd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-Pro)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DMSO, n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EE5DAB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E5DAB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k</w:t>
            </w:r>
            <w:r w:rsidRPr="00EE5DAB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vertAlign w:val="subscript"/>
              </w:rPr>
              <w:t>a</w:t>
            </w:r>
          </w:p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(M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vertAlign w:val="superscript"/>
              </w:rPr>
              <w:t>-1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vertAlign w:val="superscript"/>
              </w:rPr>
              <w:t>-1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×10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vertAlign w:val="superscript"/>
              </w:rPr>
              <w:t>-5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EE5DAB" w:rsidRDefault="00E253B8" w:rsidP="001A0A5B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E5DAB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k</w:t>
            </w:r>
            <w:r w:rsidRPr="00EE5DAB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vertAlign w:val="subscript"/>
              </w:rPr>
              <w:t>d</w:t>
            </w:r>
            <w:proofErr w:type="spellEnd"/>
            <w:r w:rsidRPr="00EE5DAB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</w:p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(s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vertAlign w:val="superscript"/>
              </w:rPr>
              <w:t>-1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×10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EE5DA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t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vertAlign w:val="subscript"/>
              </w:rPr>
              <w:t>1/2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(min)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EE5DA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R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A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pp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K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bscript"/>
              </w:rPr>
              <w:t>D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vertAlign w:val="subscript"/>
              </w:rPr>
              <w:t xml:space="preserve"> 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(</w:t>
            </w: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nM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Res </w:t>
            </w:r>
            <w:proofErr w:type="spellStart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sd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Eq</w:t>
            </w:r>
            <w:proofErr w:type="spellEnd"/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K</w:t>
            </w:r>
            <w:r w:rsidRPr="00EE5DAB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bscript"/>
              </w:rPr>
              <w:t>D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vertAlign w:val="subscript"/>
              </w:rPr>
              <w:t xml:space="preserve"> (nM)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AAR029N2</w:t>
            </w:r>
          </w:p>
        </w:tc>
        <w:tc>
          <w:tcPr>
            <w:tcW w:w="144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475" w:dyaOrig="20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1.3pt;height:49.6pt" o:ole="">
                  <v:imagedata r:id="rId14" o:title=""/>
                </v:shape>
                <o:OLEObject Type="Embed" ProgID="PBrush" ShapeID="_x0000_i1025" DrawAspect="Content" ObjectID="_1742899173" r:id="rId15"/>
              </w:object>
            </w:r>
          </w:p>
        </w:tc>
        <w:tc>
          <w:tcPr>
            <w:tcW w:w="1530" w:type="dxa"/>
            <w:vMerge w:val="restart"/>
            <w:vAlign w:val="center"/>
          </w:tcPr>
          <w:p w:rsidR="00E253B8" w:rsidRPr="00EB2E3F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1830" w:dyaOrig="1575">
                <v:shape id="_x0000_i1026" type="#_x0000_t75" style="width:66.15pt;height:56.45pt" o:ole="">
                  <v:imagedata r:id="rId16" o:title=""/>
                </v:shape>
                <o:OLEObject Type="Embed" ProgID="PBrush" ShapeID="_x0000_i1026" DrawAspect="Content" ObjectID="_1742899174" r:id="rId17"/>
              </w:objec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5%, n=3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2%, n=3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MG-I-13</w:t>
            </w:r>
          </w:p>
        </w:tc>
        <w:tc>
          <w:tcPr>
            <w:tcW w:w="144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970" w:dyaOrig="1950">
                <v:shape id="_x0000_i1027" type="#_x0000_t75" style="width:61.3pt;height:40.85pt" o:ole="">
                  <v:imagedata r:id="rId18" o:title=""/>
                </v:shape>
                <o:OLEObject Type="Embed" ProgID="PBrush" ShapeID="_x0000_i1027" DrawAspect="Content" ObjectID="_1742899175" r:id="rId19"/>
              </w:object>
            </w:r>
          </w:p>
        </w:tc>
        <w:tc>
          <w:tcPr>
            <w:tcW w:w="1530" w:type="dxa"/>
            <w:vMerge w:val="restart"/>
            <w:vAlign w:val="center"/>
          </w:tcPr>
          <w:p w:rsidR="00E253B8" w:rsidRPr="00EB2E3F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1830" w:dyaOrig="1575">
                <v:shape id="_x0000_i1028" type="#_x0000_t75" style="width:66.15pt;height:56.45pt" o:ole="">
                  <v:imagedata r:id="rId16" o:title=""/>
                </v:shape>
                <o:OLEObject Type="Embed" ProgID="PBrush" ShapeID="_x0000_i1028" DrawAspect="Content" ObjectID="_1742899176" r:id="rId20"/>
              </w:objec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5%, n=1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0.225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90.9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2%, n=2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51.1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87.28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87.3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MG-II-39</w:t>
            </w:r>
          </w:p>
        </w:tc>
        <w:tc>
          <w:tcPr>
            <w:tcW w:w="144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490" w:dyaOrig="2160">
                <v:shape id="_x0000_i1029" type="#_x0000_t75" style="width:61.3pt;height:52.55pt" o:ole="">
                  <v:imagedata r:id="rId21" o:title=""/>
                </v:shape>
                <o:OLEObject Type="Embed" ProgID="PBrush" ShapeID="_x0000_i1029" DrawAspect="Content" ObjectID="_1742899177" r:id="rId22"/>
              </w:object>
            </w:r>
          </w:p>
        </w:tc>
        <w:tc>
          <w:tcPr>
            <w:tcW w:w="1530" w:type="dxa"/>
            <w:vMerge w:val="restart"/>
            <w:vAlign w:val="center"/>
          </w:tcPr>
          <w:p w:rsidR="00E253B8" w:rsidRPr="00EB2E3F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object w:dxaOrig="1830" w:dyaOrig="1575">
                <v:shape id="_x0000_i1030" type="#_x0000_t75" style="width:66.15pt;height:56.45pt" o:ole="">
                  <v:imagedata r:id="rId16" o:title=""/>
                </v:shape>
                <o:OLEObject Type="Embed" ProgID="PBrush" ShapeID="_x0000_i1030" DrawAspect="Content" ObjectID="_1742899178" r:id="rId23"/>
              </w:objec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5%, n=2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 0.9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21.7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216.2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2%, n=1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68.9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5.62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399.19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408.9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MG-I-33</w:t>
            </w:r>
          </w:p>
        </w:tc>
        <w:tc>
          <w:tcPr>
            <w:tcW w:w="144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475" w:dyaOrig="2025">
                <v:shape id="_x0000_i1031" type="#_x0000_t75" style="width:61.3pt;height:49.6pt" o:ole="">
                  <v:imagedata r:id="rId14" o:title=""/>
                </v:shape>
                <o:OLEObject Type="Embed" ProgID="PBrush" ShapeID="_x0000_i1031" DrawAspect="Content" ObjectID="_1742899179" r:id="rId24"/>
              </w:object>
            </w:r>
          </w:p>
        </w:tc>
        <w:tc>
          <w:tcPr>
            <w:tcW w:w="153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145" w:dyaOrig="2295">
                <v:shape id="_x0000_i1032" type="#_x0000_t75" style="width:66.15pt;height:70.05pt" o:ole="">
                  <v:imagedata r:id="rId25" o:title=""/>
                </v:shape>
                <o:OLEObject Type="Embed" ProgID="PBrush" ShapeID="_x0000_i1032" DrawAspect="Content" ObjectID="_1742899180" r:id="rId26"/>
              </w:objec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5%, n=2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7" w:type="dxa"/>
            <w:shd w:val="clear" w:color="000000" w:fill="FFFFFF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14.3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317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77" w:type="dxa"/>
            <w:shd w:val="clear" w:color="000000" w:fill="FFFFFF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2%, n=2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7.1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17.8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0.734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MG-II-20</w:t>
            </w:r>
          </w:p>
        </w:tc>
        <w:tc>
          <w:tcPr>
            <w:tcW w:w="144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475" w:dyaOrig="2025">
                <v:shape id="_x0000_i1033" type="#_x0000_t75" style="width:61.3pt;height:49.6pt" o:ole="">
                  <v:imagedata r:id="rId14" o:title=""/>
                </v:shape>
                <o:OLEObject Type="Embed" ProgID="PBrush" ShapeID="_x0000_i1033" DrawAspect="Content" ObjectID="_1742899181" r:id="rId27"/>
              </w:object>
            </w:r>
          </w:p>
        </w:tc>
        <w:tc>
          <w:tcPr>
            <w:tcW w:w="153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1965" w:dyaOrig="1560">
                <v:shape id="_x0000_i1034" type="#_x0000_t75" style="width:66.15pt;height:51.55pt" o:ole="">
                  <v:imagedata r:id="rId28" o:title=""/>
                </v:shape>
                <o:OLEObject Type="Embed" ProgID="PBrush" ShapeID="_x0000_i1034" DrawAspect="Content" ObjectID="_1742899182" r:id="rId29"/>
              </w:objec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5%, n=2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7.9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 0.4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8.2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8.5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0. 7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0.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2%, n=2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13.0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13.8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0.3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9.52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0.02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106.4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MG-II-55</w:t>
            </w:r>
          </w:p>
        </w:tc>
        <w:tc>
          <w:tcPr>
            <w:tcW w:w="144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2970" w:dyaOrig="1950">
                <v:shape id="_x0000_i1035" type="#_x0000_t75" style="width:61.3pt;height:40.85pt" o:ole="">
                  <v:imagedata r:id="rId18" o:title=""/>
                </v:shape>
                <o:OLEObject Type="Embed" ProgID="PBrush" ShapeID="_x0000_i1035" DrawAspect="Content" ObjectID="_1742899183" r:id="rId30"/>
              </w:object>
            </w:r>
          </w:p>
        </w:tc>
        <w:tc>
          <w:tcPr>
            <w:tcW w:w="1530" w:type="dxa"/>
            <w:vMerge w:val="restart"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object w:dxaOrig="1965" w:dyaOrig="1560">
                <v:shape id="_x0000_i1036" type="#_x0000_t75" style="width:66.15pt;height:51.55pt" o:ole="">
                  <v:imagedata r:id="rId28" o:title=""/>
                </v:shape>
                <o:OLEObject Type="Embed" ProgID="PBrush" ShapeID="_x0000_i1036" DrawAspect="Content" ObjectID="_1742899184" r:id="rId31"/>
              </w:objec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5%, n=3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40.9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46.2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112.6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E253B8" w:rsidRPr="00995E8A" w:rsidTr="001A0A5B">
        <w:trPr>
          <w:trHeight w:val="736"/>
        </w:trPr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vMerge/>
            <w:vAlign w:val="center"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2%, n=1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40.7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64.9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159.6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:rsidR="00E253B8" w:rsidRPr="00995E8A" w:rsidRDefault="00E253B8" w:rsidP="001A0A5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95E8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184</w:t>
            </w:r>
          </w:p>
        </w:tc>
      </w:tr>
    </w:tbl>
    <w:p w:rsidR="00E253B8" w:rsidRDefault="00E253B8" w:rsidP="00E253B8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E253B8" w:rsidRPr="00150B1E" w:rsidRDefault="00E253B8" w:rsidP="00E253B8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04C1">
        <w:rPr>
          <w:rFonts w:ascii="Arial" w:hAnsi="Arial" w:cs="Arial"/>
          <w:b/>
          <w:bCs/>
          <w:sz w:val="20"/>
          <w:szCs w:val="20"/>
        </w:rPr>
        <w:t xml:space="preserve">Table S1.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Extended Table for Compound Kinetic and Inhibitory Properties.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7E04C1">
        <w:rPr>
          <w:rFonts w:ascii="Arial" w:hAnsi="Arial" w:cs="Arial"/>
          <w:color w:val="000000" w:themeColor="text1"/>
          <w:sz w:val="20"/>
          <w:szCs w:val="20"/>
        </w:rPr>
        <w:t xml:space="preserve">Kinetic parameters were obtained by fitting the binding profiles globally to a 1:1 model; fitted </w:t>
      </w:r>
      <w:proofErr w:type="spellStart"/>
      <w:r w:rsidRPr="007E04C1">
        <w:rPr>
          <w:rFonts w:ascii="Arial" w:hAnsi="Arial" w:cs="Arial"/>
          <w:color w:val="000000" w:themeColor="text1"/>
          <w:sz w:val="20"/>
          <w:szCs w:val="20"/>
        </w:rPr>
        <w:t>Rmax</w:t>
      </w:r>
      <w:proofErr w:type="spellEnd"/>
      <w:r w:rsidRPr="007E04C1">
        <w:rPr>
          <w:rFonts w:ascii="Arial" w:hAnsi="Arial" w:cs="Arial"/>
          <w:color w:val="000000" w:themeColor="text1"/>
          <w:sz w:val="20"/>
          <w:szCs w:val="20"/>
        </w:rPr>
        <w:t xml:space="preserve"> ranged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from 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>5.3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to </w:t>
      </w:r>
      <w:r w:rsidRPr="008F1041">
        <w:rPr>
          <w:rFonts w:ascii="Arial" w:hAnsi="Arial" w:cs="Arial"/>
          <w:color w:val="000000" w:themeColor="text1"/>
          <w:sz w:val="20"/>
          <w:szCs w:val="20"/>
        </w:rPr>
        <w:t xml:space="preserve">9.6 RU (median 7.2 RU) or 40-50% of expected </w:t>
      </w:r>
      <w:proofErr w:type="gramStart"/>
      <w:r w:rsidRPr="008F1041">
        <w:rPr>
          <w:rFonts w:ascii="Arial" w:hAnsi="Arial" w:cs="Arial"/>
          <w:color w:val="000000" w:themeColor="text1"/>
          <w:sz w:val="20"/>
          <w:szCs w:val="20"/>
        </w:rPr>
        <w:t>capacity of coupled gp120, values reported include</w:t>
      </w:r>
      <w:proofErr w:type="gramEnd"/>
      <w:r w:rsidRPr="008F1041">
        <w:rPr>
          <w:rFonts w:ascii="Arial" w:hAnsi="Arial" w:cs="Arial"/>
          <w:color w:val="000000" w:themeColor="text1"/>
          <w:sz w:val="20"/>
          <w:szCs w:val="20"/>
        </w:rPr>
        <w:t xml:space="preserve"> 2% DMSO and 5</w:t>
      </w:r>
      <w:r w:rsidRPr="00D60BEE">
        <w:rPr>
          <w:rFonts w:ascii="Arial" w:hAnsi="Arial" w:cs="Arial"/>
          <w:color w:val="000000" w:themeColor="text1"/>
          <w:sz w:val="20"/>
          <w:szCs w:val="20"/>
        </w:rPr>
        <w:t>% DMSO buffer assays. Apparent affinities (App K</w:t>
      </w:r>
      <w:r w:rsidRPr="00D60BEE">
        <w:rPr>
          <w:rFonts w:ascii="Arial" w:hAnsi="Arial" w:cs="Arial"/>
          <w:color w:val="000000" w:themeColor="text1"/>
          <w:sz w:val="20"/>
          <w:szCs w:val="20"/>
          <w:vertAlign w:val="subscript"/>
        </w:rPr>
        <w:t>D</w:t>
      </w:r>
      <w:r w:rsidRPr="00D60BEE">
        <w:rPr>
          <w:rFonts w:ascii="Arial" w:hAnsi="Arial" w:cs="Arial"/>
          <w:color w:val="000000" w:themeColor="text1"/>
          <w:sz w:val="20"/>
          <w:szCs w:val="20"/>
        </w:rPr>
        <w:t>) were calculated from the kinetic parameters; equilibrium affinities were determined f</w:t>
      </w:r>
      <w:r>
        <w:rPr>
          <w:rFonts w:ascii="Arial" w:hAnsi="Arial" w:cs="Arial"/>
          <w:color w:val="000000" w:themeColor="text1"/>
          <w:sz w:val="20"/>
          <w:szCs w:val="20"/>
        </w:rPr>
        <w:t>ro</w:t>
      </w:r>
      <w:r w:rsidRPr="00D60BEE">
        <w:rPr>
          <w:rFonts w:ascii="Arial" w:hAnsi="Arial" w:cs="Arial"/>
          <w:color w:val="000000" w:themeColor="text1"/>
          <w:sz w:val="20"/>
          <w:szCs w:val="20"/>
        </w:rPr>
        <w:t xml:space="preserve">m the steady state responses, plotted as a function of </w:t>
      </w:r>
      <w:proofErr w:type="gramStart"/>
      <w:r w:rsidRPr="00D60BEE">
        <w:rPr>
          <w:rFonts w:ascii="Arial" w:hAnsi="Arial" w:cs="Arial"/>
          <w:color w:val="000000" w:themeColor="text1"/>
          <w:sz w:val="20"/>
          <w:szCs w:val="20"/>
        </w:rPr>
        <w:t>cPT</w:t>
      </w:r>
      <w:proofErr w:type="gramEnd"/>
      <w:r w:rsidRPr="00D60BEE">
        <w:rPr>
          <w:rFonts w:ascii="Arial" w:hAnsi="Arial" w:cs="Arial"/>
          <w:color w:val="000000" w:themeColor="text1"/>
          <w:sz w:val="20"/>
          <w:szCs w:val="20"/>
        </w:rPr>
        <w:t xml:space="preserve"> concentration and fit to a simple binding isotherm (</w:t>
      </w:r>
      <w:proofErr w:type="spellStart"/>
      <w:r w:rsidRPr="00D60BEE">
        <w:rPr>
          <w:rFonts w:ascii="Arial" w:hAnsi="Arial" w:cs="Arial"/>
          <w:color w:val="000000" w:themeColor="text1"/>
          <w:sz w:val="20"/>
          <w:szCs w:val="20"/>
        </w:rPr>
        <w:t>Eq</w:t>
      </w:r>
      <w:proofErr w:type="spellEnd"/>
      <w:r w:rsidRPr="00D60BEE">
        <w:rPr>
          <w:rFonts w:ascii="Arial" w:hAnsi="Arial" w:cs="Arial"/>
          <w:color w:val="000000" w:themeColor="text1"/>
          <w:sz w:val="20"/>
          <w:szCs w:val="20"/>
        </w:rPr>
        <w:t xml:space="preserve"> K</w:t>
      </w:r>
      <w:r w:rsidRPr="00D60BEE">
        <w:rPr>
          <w:rFonts w:ascii="Arial" w:hAnsi="Arial" w:cs="Arial"/>
          <w:color w:val="000000" w:themeColor="text1"/>
          <w:sz w:val="20"/>
          <w:szCs w:val="20"/>
          <w:vertAlign w:val="subscript"/>
        </w:rPr>
        <w:t>D</w:t>
      </w:r>
      <w:r w:rsidRPr="00D60BEE">
        <w:rPr>
          <w:rFonts w:ascii="Arial" w:hAnsi="Arial" w:cs="Arial"/>
          <w:color w:val="000000" w:themeColor="text1"/>
          <w:sz w:val="20"/>
          <w:szCs w:val="20"/>
        </w:rPr>
        <w:t>).</w:t>
      </w:r>
      <w:r w:rsidRPr="00150B1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:rsidR="00E253B8" w:rsidRPr="00150B1E" w:rsidRDefault="00E253B8" w:rsidP="00E253B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150B1E">
        <w:rPr>
          <w:rFonts w:ascii="Arial" w:hAnsi="Arial" w:cs="Arial"/>
          <w:b/>
          <w:bCs/>
          <w:sz w:val="20"/>
          <w:szCs w:val="20"/>
        </w:rPr>
        <w:br w:type="page"/>
      </w:r>
    </w:p>
    <w:p w:rsidR="00E253B8" w:rsidRPr="00150B1E" w:rsidRDefault="00E253B8" w:rsidP="00E253B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4803775" cy="6786880"/>
            <wp:effectExtent l="19050" t="0" r="0" b="0"/>
            <wp:docPr id="11" name="Picture 8" descr="D:\Users\Subtended\Dropbox\Manuscript - MedChemRes cPT\20230407\Fig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Subtended\Dropbox\Manuscript - MedChemRes cPT\20230407\FigS6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75" cy="678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3B8" w:rsidRDefault="00E253B8" w:rsidP="00E253B8">
      <w:pPr>
        <w:jc w:val="both"/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</w:pPr>
    </w:p>
    <w:p w:rsidR="00E253B8" w:rsidRPr="00150B1E" w:rsidRDefault="00E253B8" w:rsidP="00E253B8">
      <w:pPr>
        <w:jc w:val="both"/>
        <w:rPr>
          <w:rFonts w:ascii="Arial" w:hAnsi="Arial" w:cs="Arial"/>
          <w:sz w:val="20"/>
          <w:szCs w:val="20"/>
        </w:rPr>
      </w:pPr>
      <w:r w:rsidRPr="00150B1E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 xml:space="preserve">Figure S6: </w:t>
      </w:r>
      <w:r w:rsidRPr="00150B1E">
        <w:rPr>
          <w:rFonts w:ascii="Arial" w:eastAsia="Arial" w:hAnsi="Arial" w:cs="Arial"/>
          <w:b/>
          <w:color w:val="000000" w:themeColor="text1"/>
          <w:sz w:val="20"/>
          <w:szCs w:val="20"/>
          <w:vertAlign w:val="superscript"/>
        </w:rPr>
        <w:t>1</w:t>
      </w:r>
      <w:r w:rsidRPr="00150B1E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H and </w:t>
      </w:r>
      <w:r w:rsidRPr="00150B1E">
        <w:rPr>
          <w:rFonts w:ascii="Arial" w:eastAsia="Arial" w:hAnsi="Arial" w:cs="Arial"/>
          <w:b/>
          <w:color w:val="000000" w:themeColor="text1"/>
          <w:sz w:val="20"/>
          <w:szCs w:val="20"/>
          <w:vertAlign w:val="superscript"/>
        </w:rPr>
        <w:t>13</w:t>
      </w:r>
      <w:r w:rsidRPr="00150B1E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C NMR Spectra for Synthesis of the </w:t>
      </w:r>
      <w:proofErr w:type="spellStart"/>
      <w:r w:rsidRPr="00150B1E">
        <w:rPr>
          <w:rFonts w:ascii="Arial" w:eastAsia="Arial" w:hAnsi="Arial" w:cs="Arial"/>
          <w:b/>
          <w:color w:val="000000" w:themeColor="text1"/>
          <w:sz w:val="20"/>
          <w:szCs w:val="20"/>
        </w:rPr>
        <w:t>Bromo-Trp</w:t>
      </w:r>
      <w:proofErr w:type="spellEnd"/>
      <w:r w:rsidRPr="00150B1E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used in </w:t>
      </w:r>
      <w:proofErr w:type="gramStart"/>
      <w:r w:rsidRPr="00150B1E">
        <w:rPr>
          <w:rFonts w:ascii="Arial" w:eastAsia="Arial" w:hAnsi="Arial" w:cs="Arial"/>
          <w:b/>
          <w:color w:val="000000" w:themeColor="text1"/>
          <w:sz w:val="20"/>
          <w:szCs w:val="20"/>
        </w:rPr>
        <w:t>cPT</w:t>
      </w:r>
      <w:proofErr w:type="gramEnd"/>
      <w:r w:rsidRPr="00150B1E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Synthesis. </w:t>
      </w:r>
      <w:r w:rsidRPr="00150B1E">
        <w:rPr>
          <w:rFonts w:ascii="Arial" w:eastAsia="Arial" w:hAnsi="Arial" w:cs="Arial"/>
          <w:color w:val="000000" w:themeColor="text1"/>
          <w:sz w:val="20"/>
          <w:szCs w:val="20"/>
        </w:rPr>
        <w:t>(</w:t>
      </w:r>
      <w:r w:rsidRPr="00150B1E">
        <w:rPr>
          <w:rFonts w:ascii="Arial" w:eastAsia="Arial" w:hAnsi="Arial" w:cs="Arial"/>
          <w:b/>
          <w:color w:val="000000" w:themeColor="text1"/>
          <w:sz w:val="20"/>
          <w:szCs w:val="20"/>
        </w:rPr>
        <w:t>Top</w:t>
      </w:r>
      <w:r w:rsidRPr="00150B1E">
        <w:rPr>
          <w:rFonts w:ascii="Arial" w:eastAsia="Arial" w:hAnsi="Arial" w:cs="Arial"/>
          <w:color w:val="000000" w:themeColor="text1"/>
          <w:sz w:val="20"/>
          <w:szCs w:val="20"/>
        </w:rPr>
        <w:t xml:space="preserve">) 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perscript"/>
        </w:rPr>
        <w:t>1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H NMR (500 MHz, CD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bscript"/>
        </w:rPr>
        <w:t>3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OD) δ 7.79 (d, J = 8.2 Hz, 2H), 7.76 (d, J = 2.0 Hz, 1H), 7.59 (t, J = 6.6 Hz, 2H), 7.38 (t, J = 7.3 Hz, 2H), 7.27 (m, 3H), 7.19 (</w:t>
      </w:r>
      <w:proofErr w:type="spellStart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dd</w:t>
      </w:r>
      <w:proofErr w:type="spellEnd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, J = 8.61, 1.82 Hz, 1H), 7.13 (s, 1H), 4.48 (q, J = 4.77, 3.47 Hz, 1H), 4.33 (</w:t>
      </w:r>
      <w:proofErr w:type="spellStart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dd</w:t>
      </w:r>
      <w:proofErr w:type="spellEnd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, J = 6.7, 3.5 Hz, 1H), 4.24 (m, 1H), 4.19 (m, 1H), 1.09 (</w:t>
      </w:r>
      <w:proofErr w:type="spellStart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dd</w:t>
      </w:r>
      <w:proofErr w:type="spellEnd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, J = 8.04, 6.3 Hz, 1H);</w:t>
      </w:r>
      <w:r>
        <w:rPr>
          <w:rFonts w:ascii="Arial" w:eastAsia="Calibri" w:hAnsi="Arial" w:cs="Arial"/>
          <w:color w:val="000000" w:themeColor="text1"/>
          <w:sz w:val="20"/>
          <w:szCs w:val="20"/>
        </w:rPr>
        <w:t xml:space="preserve"> (</w:t>
      </w:r>
      <w:r w:rsidRPr="00150B1E">
        <w:rPr>
          <w:rFonts w:ascii="Arial" w:eastAsia="Calibri" w:hAnsi="Arial" w:cs="Arial"/>
          <w:b/>
          <w:color w:val="000000" w:themeColor="text1"/>
          <w:sz w:val="20"/>
          <w:szCs w:val="20"/>
        </w:rPr>
        <w:t>Bottom</w:t>
      </w:r>
      <w:r>
        <w:rPr>
          <w:rFonts w:ascii="Arial" w:eastAsia="Calibri" w:hAnsi="Arial" w:cs="Arial"/>
          <w:color w:val="000000" w:themeColor="text1"/>
          <w:sz w:val="20"/>
          <w:szCs w:val="20"/>
        </w:rPr>
        <w:t>)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 xml:space="preserve"> 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perscript"/>
        </w:rPr>
        <w:t>13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C NMR (150 MHz, CD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bscript"/>
        </w:rPr>
        <w:t>3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OD) 175.46,158.44, 145.32, 145.25, 142.59, 142.55, 136.68, 130.78, 128.77, 128.75, 128.19, 126.39, 126.26, 126.07, 125.14, 121.95, 120.90, 120.86, 113.96, 113.10, 111.18, 68.09, 56.35, 48.40, 28.44; HRMS (ESI) m/z 505.0745 [</w:t>
      </w:r>
      <w:proofErr w:type="spellStart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calcd</w:t>
      </w:r>
      <w:proofErr w:type="spellEnd"/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 xml:space="preserve"> for C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bscript"/>
        </w:rPr>
        <w:t>26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H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bscript"/>
        </w:rPr>
        <w:t>21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BrN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bscript"/>
        </w:rPr>
        <w:t>2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>O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bscript"/>
        </w:rPr>
        <w:t>4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 xml:space="preserve"> (M+H)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perscript"/>
        </w:rPr>
        <w:t>+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 xml:space="preserve"> 505.0763]; [α]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bscript"/>
        </w:rPr>
        <w:t>D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  <w:vertAlign w:val="superscript"/>
        </w:rPr>
        <w:t>24</w:t>
      </w:r>
      <w:r w:rsidRPr="00150B1E">
        <w:rPr>
          <w:rFonts w:ascii="Arial" w:eastAsia="Calibri" w:hAnsi="Arial" w:cs="Arial"/>
          <w:color w:val="000000" w:themeColor="text1"/>
          <w:sz w:val="20"/>
          <w:szCs w:val="20"/>
        </w:rPr>
        <w:t xml:space="preserve">  -9.81 (c 1.05, MeOH).</w:t>
      </w:r>
    </w:p>
    <w:p w:rsidR="004D5234" w:rsidRDefault="004D5234"/>
    <w:sectPr w:rsidR="004D5234" w:rsidSect="003C0FC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20"/>
  <w:characterSpacingControl w:val="doNotCompress"/>
  <w:compat/>
  <w:rsids>
    <w:rsidRoot w:val="00E253B8"/>
    <w:rsid w:val="004D5234"/>
    <w:rsid w:val="005B6E8B"/>
    <w:rsid w:val="009C7D5D"/>
    <w:rsid w:val="00AE1C15"/>
    <w:rsid w:val="00E25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3B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53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3B8"/>
    <w:rPr>
      <w:rFonts w:ascii="Tahoma" w:hAnsi="Tahoma" w:cs="Tahoma"/>
      <w:sz w:val="16"/>
      <w:szCs w:val="16"/>
    </w:rPr>
  </w:style>
  <w:style w:type="character" w:customStyle="1" w:styleId="normaltextrun">
    <w:name w:val="normaltextrun"/>
    <w:basedOn w:val="DefaultParagraphFont"/>
    <w:rsid w:val="00E253B8"/>
  </w:style>
  <w:style w:type="character" w:customStyle="1" w:styleId="eop">
    <w:name w:val="eop"/>
    <w:basedOn w:val="DefaultParagraphFont"/>
    <w:rsid w:val="00E253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3.png"/><Relationship Id="rId26" Type="http://schemas.openxmlformats.org/officeDocument/2006/relationships/oleObject" Target="embeddings/oleObject8.bin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oleObject" Target="embeddings/oleObject2.bin"/><Relationship Id="rId25" Type="http://schemas.openxmlformats.org/officeDocument/2006/relationships/image" Target="media/image15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10.bin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oleObject" Target="embeddings/oleObject7.bin"/><Relationship Id="rId32" Type="http://schemas.openxmlformats.org/officeDocument/2006/relationships/image" Target="media/image17.tiff"/><Relationship Id="rId5" Type="http://schemas.openxmlformats.org/officeDocument/2006/relationships/image" Target="media/image2.tiff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6.bin"/><Relationship Id="rId28" Type="http://schemas.openxmlformats.org/officeDocument/2006/relationships/image" Target="media/image16.png"/><Relationship Id="rId10" Type="http://schemas.openxmlformats.org/officeDocument/2006/relationships/image" Target="media/image7.tiff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12.bin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png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979</Words>
  <Characters>5586</Characters>
  <Application>Microsoft Office Word</Application>
  <DocSecurity>0</DocSecurity>
  <Lines>46</Lines>
  <Paragraphs>13</Paragraphs>
  <ScaleCrop>false</ScaleCrop>
  <Company>Innovative Construction Systems, Inc.</Company>
  <LinksUpToDate>false</LinksUpToDate>
  <CharactersWithSpaces>6552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Ang</dc:creator>
  <cp:lastModifiedBy>Charles Ang</cp:lastModifiedBy>
  <cp:revision>1</cp:revision>
  <dcterms:created xsi:type="dcterms:W3CDTF">2023-04-13T17:50:00Z</dcterms:created>
  <dcterms:modified xsi:type="dcterms:W3CDTF">2023-04-13T17:51:00Z</dcterms:modified>
</cp:coreProperties>
</file>