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1E0F" w14:textId="0A8B2595" w:rsidR="00C10314" w:rsidRPr="006F64A2" w:rsidRDefault="00C10314" w:rsidP="00DC69DA">
      <w:pPr>
        <w:pStyle w:val="Caption"/>
        <w:rPr>
          <w:rFonts w:ascii="Times New Roman" w:hAnsi="Times New Roman" w:cs="Times New Roman"/>
          <w:b/>
          <w:bCs/>
          <w:i w:val="0"/>
          <w:iCs w:val="0"/>
          <w:sz w:val="24"/>
          <w:szCs w:val="24"/>
        </w:rPr>
      </w:pPr>
      <w:bookmarkStart w:id="0" w:name="_Hlk128051079"/>
      <w:r w:rsidRPr="006F64A2">
        <w:rPr>
          <w:rFonts w:ascii="Times New Roman" w:hAnsi="Times New Roman" w:cs="Times New Roman"/>
          <w:b/>
          <w:bCs/>
          <w:i w:val="0"/>
          <w:iCs w:val="0"/>
          <w:sz w:val="24"/>
          <w:szCs w:val="24"/>
        </w:rPr>
        <w:t xml:space="preserve">Supplementary </w:t>
      </w:r>
      <w:r w:rsidR="005B59D5">
        <w:rPr>
          <w:rFonts w:ascii="Times New Roman" w:hAnsi="Times New Roman" w:cs="Times New Roman"/>
          <w:b/>
          <w:bCs/>
          <w:i w:val="0"/>
          <w:iCs w:val="0"/>
          <w:sz w:val="22"/>
          <w:szCs w:val="22"/>
        </w:rPr>
        <w:t>material</w:t>
      </w:r>
    </w:p>
    <w:p w14:paraId="4707C50B" w14:textId="77777777" w:rsidR="001222DC" w:rsidRDefault="001222DC" w:rsidP="00DC69DA">
      <w:pPr>
        <w:pStyle w:val="Caption"/>
        <w:rPr>
          <w:rFonts w:ascii="Times New Roman" w:hAnsi="Times New Roman" w:cs="Times New Roman"/>
          <w:b/>
          <w:bCs/>
          <w:i w:val="0"/>
          <w:iCs w:val="0"/>
          <w:color w:val="auto"/>
          <w:sz w:val="22"/>
          <w:szCs w:val="22"/>
        </w:rPr>
      </w:pPr>
      <w:r w:rsidRPr="001222DC">
        <w:rPr>
          <w:rFonts w:ascii="Times New Roman" w:hAnsi="Times New Roman" w:cs="Times New Roman"/>
          <w:b/>
          <w:bCs/>
          <w:i w:val="0"/>
          <w:iCs w:val="0"/>
          <w:color w:val="auto"/>
          <w:sz w:val="22"/>
          <w:szCs w:val="22"/>
        </w:rPr>
        <w:t xml:space="preserve">SARS-CoV-2 infection during pregnancy and the risk of adverse maternal outcomes in the Republic of Georgia: a national birth registry-based cohort study </w:t>
      </w:r>
    </w:p>
    <w:p w14:paraId="643AF796" w14:textId="5B0E19FC" w:rsidR="00C10314" w:rsidRPr="006F64A2" w:rsidRDefault="00C10314" w:rsidP="00DC69DA">
      <w:pPr>
        <w:pStyle w:val="Caption"/>
        <w:rPr>
          <w:rFonts w:ascii="Times New Roman" w:hAnsi="Times New Roman" w:cs="Times New Roman"/>
          <w:i w:val="0"/>
          <w:iCs w:val="0"/>
          <w:color w:val="auto"/>
          <w:sz w:val="22"/>
          <w:szCs w:val="22"/>
        </w:rPr>
      </w:pPr>
      <w:r w:rsidRPr="006F64A2">
        <w:rPr>
          <w:rFonts w:ascii="Times New Roman" w:hAnsi="Times New Roman" w:cs="Times New Roman"/>
          <w:i w:val="0"/>
          <w:iCs w:val="0"/>
          <w:color w:val="auto"/>
          <w:sz w:val="22"/>
          <w:szCs w:val="22"/>
        </w:rPr>
        <w:t xml:space="preserve">Submitted to the </w:t>
      </w:r>
      <w:r w:rsidR="00B07DA4" w:rsidRPr="00B07DA4">
        <w:rPr>
          <w:rFonts w:ascii="Times New Roman" w:hAnsi="Times New Roman" w:cs="Times New Roman"/>
          <w:i w:val="0"/>
          <w:iCs w:val="0"/>
          <w:color w:val="auto"/>
          <w:sz w:val="22"/>
          <w:szCs w:val="22"/>
        </w:rPr>
        <w:t>BMC Pregnancy and Childbirth</w:t>
      </w:r>
    </w:p>
    <w:p w14:paraId="453911A7" w14:textId="77777777" w:rsidR="00C10314" w:rsidRPr="006F64A2" w:rsidRDefault="00C10314" w:rsidP="00DC69DA">
      <w:pPr>
        <w:rPr>
          <w:rFonts w:ascii="Times New Roman" w:hAnsi="Times New Roman" w:cs="Times New Roman"/>
        </w:rPr>
      </w:pPr>
      <w:r w:rsidRPr="006F64A2">
        <w:rPr>
          <w:rFonts w:ascii="Times New Roman" w:hAnsi="Times New Roman" w:cs="Times New Roman"/>
        </w:rPr>
        <w:t xml:space="preserve">Authors: Natia Skhvitaridze (ORCID 0000-0002-0312-4151), Amiran Gamkrelidze, Tinatin Manjavidze (ORCID 0000-0003-1340-6256), Tormod Brenn (ORCID </w:t>
      </w:r>
      <w:r w:rsidRPr="006F64A2">
        <w:rPr>
          <w:rFonts w:ascii="Times New Roman" w:hAnsi="Times New Roman" w:cs="Times New Roman"/>
          <w:color w:val="333333"/>
        </w:rPr>
        <w:t>0000-0003-3717-8323)</w:t>
      </w:r>
      <w:r w:rsidRPr="006F64A2">
        <w:rPr>
          <w:rFonts w:ascii="Times New Roman" w:hAnsi="Times New Roman" w:cs="Times New Roman"/>
        </w:rPr>
        <w:t>, Charlotta Rylander (ORCID 0000-0002-5056-9452)</w:t>
      </w:r>
    </w:p>
    <w:p w14:paraId="39671D8B" w14:textId="77777777" w:rsidR="00C10314" w:rsidRPr="006F64A2" w:rsidRDefault="00C10314" w:rsidP="00DC69DA">
      <w:pPr>
        <w:rPr>
          <w:rFonts w:ascii="Times New Roman" w:hAnsi="Times New Roman" w:cs="Times New Roman"/>
          <w:b/>
          <w:bCs/>
        </w:rPr>
      </w:pPr>
      <w:r w:rsidRPr="006F64A2">
        <w:rPr>
          <w:rFonts w:ascii="Times New Roman" w:hAnsi="Times New Roman" w:cs="Times New Roman"/>
          <w:b/>
          <w:bCs/>
        </w:rPr>
        <w:t>Affiliations</w:t>
      </w:r>
    </w:p>
    <w:p w14:paraId="43E52A39" w14:textId="77777777" w:rsidR="00C10314" w:rsidRPr="006F64A2" w:rsidRDefault="00C10314" w:rsidP="00DC69DA">
      <w:pPr>
        <w:spacing w:after="0" w:line="240" w:lineRule="auto"/>
        <w:rPr>
          <w:rFonts w:ascii="Times New Roman" w:hAnsi="Times New Roman" w:cs="Times New Roman"/>
        </w:rPr>
      </w:pPr>
      <w:r w:rsidRPr="006F64A2">
        <w:rPr>
          <w:rFonts w:ascii="Times New Roman" w:hAnsi="Times New Roman" w:cs="Times New Roman"/>
          <w:vertAlign w:val="superscript"/>
        </w:rPr>
        <w:t>1</w:t>
      </w:r>
      <w:r w:rsidRPr="006F64A2">
        <w:rPr>
          <w:rFonts w:ascii="Times New Roman" w:hAnsi="Times New Roman" w:cs="Times New Roman"/>
        </w:rPr>
        <w:t xml:space="preserve">Department of Community Medicine, </w:t>
      </w:r>
      <w:proofErr w:type="spellStart"/>
      <w:r w:rsidRPr="006F64A2">
        <w:rPr>
          <w:rFonts w:ascii="Times New Roman" w:hAnsi="Times New Roman" w:cs="Times New Roman"/>
        </w:rPr>
        <w:t>UiT</w:t>
      </w:r>
      <w:proofErr w:type="spellEnd"/>
      <w:r w:rsidRPr="006F64A2">
        <w:rPr>
          <w:rFonts w:ascii="Times New Roman" w:hAnsi="Times New Roman" w:cs="Times New Roman"/>
        </w:rPr>
        <w:t xml:space="preserve"> The Arctic University of Norway, PO Box 6050 </w:t>
      </w:r>
      <w:proofErr w:type="spellStart"/>
      <w:r w:rsidRPr="006F64A2">
        <w:rPr>
          <w:rFonts w:ascii="Times New Roman" w:hAnsi="Times New Roman" w:cs="Times New Roman"/>
        </w:rPr>
        <w:t>Langnes</w:t>
      </w:r>
      <w:proofErr w:type="spellEnd"/>
    </w:p>
    <w:p w14:paraId="4991A68C" w14:textId="77777777" w:rsidR="00C10314" w:rsidRPr="006F64A2" w:rsidRDefault="00C10314" w:rsidP="00DC69DA">
      <w:pPr>
        <w:spacing w:after="0" w:line="240" w:lineRule="auto"/>
        <w:rPr>
          <w:rFonts w:ascii="Times New Roman" w:hAnsi="Times New Roman" w:cs="Times New Roman"/>
        </w:rPr>
      </w:pPr>
      <w:r w:rsidRPr="006F64A2">
        <w:rPr>
          <w:rFonts w:ascii="Times New Roman" w:hAnsi="Times New Roman" w:cs="Times New Roman"/>
        </w:rPr>
        <w:t xml:space="preserve">N-9037 </w:t>
      </w:r>
      <w:proofErr w:type="spellStart"/>
      <w:r w:rsidRPr="006F64A2">
        <w:rPr>
          <w:rFonts w:ascii="Times New Roman" w:hAnsi="Times New Roman" w:cs="Times New Roman"/>
        </w:rPr>
        <w:t>Tromsø</w:t>
      </w:r>
      <w:proofErr w:type="spellEnd"/>
      <w:r w:rsidRPr="006F64A2">
        <w:rPr>
          <w:rFonts w:ascii="Times New Roman" w:hAnsi="Times New Roman" w:cs="Times New Roman"/>
        </w:rPr>
        <w:t>, Norway</w:t>
      </w:r>
    </w:p>
    <w:p w14:paraId="73AF1A87" w14:textId="77777777" w:rsidR="00C10314" w:rsidRPr="006F64A2" w:rsidRDefault="00C10314" w:rsidP="00DC69DA">
      <w:pPr>
        <w:spacing w:after="0" w:line="240" w:lineRule="auto"/>
        <w:rPr>
          <w:rFonts w:ascii="Times New Roman" w:hAnsi="Times New Roman" w:cs="Times New Roman"/>
        </w:rPr>
      </w:pPr>
      <w:r w:rsidRPr="006F64A2">
        <w:rPr>
          <w:rFonts w:ascii="Times New Roman" w:hAnsi="Times New Roman" w:cs="Times New Roman"/>
          <w:vertAlign w:val="superscript"/>
        </w:rPr>
        <w:t>2</w:t>
      </w:r>
      <w:r w:rsidRPr="006F64A2">
        <w:rPr>
          <w:rFonts w:ascii="Times New Roman" w:hAnsi="Times New Roman" w:cs="Times New Roman"/>
        </w:rPr>
        <w:t>National Center for Disease Control and Public Health, Tbilisi, 99 Kakheti highway, Georgia</w:t>
      </w:r>
    </w:p>
    <w:p w14:paraId="1F99ACCC" w14:textId="77777777" w:rsidR="00C10314" w:rsidRPr="006F64A2" w:rsidRDefault="00C10314" w:rsidP="00DC69DA">
      <w:pPr>
        <w:spacing w:after="0" w:line="240" w:lineRule="auto"/>
        <w:rPr>
          <w:rFonts w:ascii="Times New Roman" w:hAnsi="Times New Roman" w:cs="Times New Roman"/>
        </w:rPr>
      </w:pPr>
      <w:r w:rsidRPr="006F64A2">
        <w:rPr>
          <w:rFonts w:ascii="Times New Roman" w:hAnsi="Times New Roman" w:cs="Times New Roman"/>
          <w:vertAlign w:val="superscript"/>
        </w:rPr>
        <w:t>3</w:t>
      </w:r>
      <w:r w:rsidRPr="006F64A2">
        <w:rPr>
          <w:rFonts w:ascii="Times New Roman" w:hAnsi="Times New Roman" w:cs="Times New Roman"/>
        </w:rPr>
        <w:t xml:space="preserve">The University of Georgia, Tbilisi, 77a </w:t>
      </w:r>
      <w:proofErr w:type="spellStart"/>
      <w:r w:rsidRPr="006F64A2">
        <w:rPr>
          <w:rFonts w:ascii="Times New Roman" w:hAnsi="Times New Roman" w:cs="Times New Roman"/>
        </w:rPr>
        <w:t>Kostava</w:t>
      </w:r>
      <w:proofErr w:type="spellEnd"/>
      <w:r w:rsidRPr="006F64A2">
        <w:rPr>
          <w:rFonts w:ascii="Times New Roman" w:hAnsi="Times New Roman" w:cs="Times New Roman"/>
        </w:rPr>
        <w:t xml:space="preserve"> Street, Georgia</w:t>
      </w:r>
    </w:p>
    <w:p w14:paraId="6586DC68" w14:textId="77777777" w:rsidR="00C10314" w:rsidRPr="006F64A2" w:rsidRDefault="00C10314" w:rsidP="00DC69DA">
      <w:pPr>
        <w:rPr>
          <w:rFonts w:ascii="Times New Roman" w:hAnsi="Times New Roman" w:cs="Times New Roman"/>
        </w:rPr>
      </w:pPr>
      <w:r w:rsidRPr="006F64A2">
        <w:rPr>
          <w:rFonts w:ascii="Times New Roman" w:hAnsi="Times New Roman" w:cs="Times New Roman"/>
        </w:rPr>
        <w:t xml:space="preserve">Corresponding author: Natia Skhvitaridze, </w:t>
      </w:r>
      <w:hyperlink r:id="rId11" w:history="1">
        <w:r w:rsidRPr="006F64A2">
          <w:rPr>
            <w:rStyle w:val="Hyperlink"/>
            <w:rFonts w:ascii="Times New Roman" w:hAnsi="Times New Roman" w:cs="Times New Roman"/>
          </w:rPr>
          <w:t>natia.skhvitaridze@uit.no</w:t>
        </w:r>
      </w:hyperlink>
    </w:p>
    <w:bookmarkEnd w:id="0"/>
    <w:p w14:paraId="4969C219" w14:textId="77777777" w:rsidR="0043498F" w:rsidRDefault="0043498F" w:rsidP="00DC69DA">
      <w:pPr>
        <w:rPr>
          <w:rFonts w:ascii="Times New Roman" w:hAnsi="Times New Roman" w:cs="Times New Roman"/>
        </w:rPr>
      </w:pPr>
    </w:p>
    <w:p w14:paraId="01C27ADF" w14:textId="172D8C3D" w:rsidR="00C10314" w:rsidRPr="006F64A2" w:rsidRDefault="00C10314" w:rsidP="00DC69DA">
      <w:pPr>
        <w:rPr>
          <w:rFonts w:ascii="Times New Roman" w:hAnsi="Times New Roman" w:cs="Times New Roman"/>
        </w:rPr>
      </w:pPr>
      <w:r w:rsidRPr="006F64A2">
        <w:rPr>
          <w:rFonts w:ascii="Times New Roman" w:hAnsi="Times New Roman" w:cs="Times New Roman"/>
        </w:rPr>
        <w:t>In this paper direct acyclic graphs (DAG</w:t>
      </w:r>
      <w:r w:rsidR="00AE4A0F" w:rsidRPr="006F64A2">
        <w:rPr>
          <w:rFonts w:ascii="Times New Roman" w:hAnsi="Times New Roman" w:cs="Times New Roman"/>
        </w:rPr>
        <w:t>s</w:t>
      </w:r>
      <w:r w:rsidRPr="006F64A2">
        <w:rPr>
          <w:rFonts w:ascii="Times New Roman" w:hAnsi="Times New Roman" w:cs="Times New Roman"/>
        </w:rPr>
        <w:t xml:space="preserve">) were used to identify confounding factors for </w:t>
      </w:r>
      <w:r w:rsidR="00AE4A0F" w:rsidRPr="006F64A2">
        <w:rPr>
          <w:rFonts w:ascii="Times New Roman" w:hAnsi="Times New Roman" w:cs="Times New Roman"/>
        </w:rPr>
        <w:t xml:space="preserve">the </w:t>
      </w:r>
      <w:r w:rsidRPr="006F64A2">
        <w:rPr>
          <w:rFonts w:ascii="Times New Roman" w:hAnsi="Times New Roman" w:cs="Times New Roman"/>
        </w:rPr>
        <w:t xml:space="preserve">presumed causal relationship between </w:t>
      </w:r>
      <w:r w:rsidR="002F407A" w:rsidRPr="006F64A2">
        <w:rPr>
          <w:rFonts w:ascii="Times New Roman" w:hAnsi="Times New Roman" w:cs="Times New Roman"/>
        </w:rPr>
        <w:t>Severe Acute Respiratory Syndrome Coronavirus 2 (</w:t>
      </w:r>
      <w:r w:rsidRPr="006F64A2">
        <w:rPr>
          <w:rFonts w:ascii="Times New Roman" w:hAnsi="Times New Roman" w:cs="Times New Roman"/>
        </w:rPr>
        <w:t>SARS-CoV-2</w:t>
      </w:r>
      <w:r w:rsidR="002F407A" w:rsidRPr="006F64A2">
        <w:rPr>
          <w:rFonts w:ascii="Times New Roman" w:hAnsi="Times New Roman" w:cs="Times New Roman"/>
        </w:rPr>
        <w:t>)</w:t>
      </w:r>
      <w:r w:rsidRPr="006F64A2">
        <w:rPr>
          <w:rFonts w:ascii="Times New Roman" w:hAnsi="Times New Roman" w:cs="Times New Roman"/>
        </w:rPr>
        <w:t xml:space="preserve"> infection and maternal mortality (MM), maternal </w:t>
      </w:r>
      <w:r w:rsidR="00AE4A0F" w:rsidRPr="006F64A2">
        <w:rPr>
          <w:rFonts w:ascii="Times New Roman" w:hAnsi="Times New Roman" w:cs="Times New Roman"/>
        </w:rPr>
        <w:t xml:space="preserve">post-delivery </w:t>
      </w:r>
      <w:r w:rsidRPr="006F64A2">
        <w:rPr>
          <w:rFonts w:ascii="Times New Roman" w:hAnsi="Times New Roman" w:cs="Times New Roman"/>
        </w:rPr>
        <w:t xml:space="preserve">intensive care unit (ICU) </w:t>
      </w:r>
      <w:r w:rsidR="00AE4A0F" w:rsidRPr="006F64A2">
        <w:rPr>
          <w:rFonts w:ascii="Times New Roman" w:hAnsi="Times New Roman" w:cs="Times New Roman"/>
        </w:rPr>
        <w:t xml:space="preserve">admission, </w:t>
      </w:r>
      <w:r w:rsidRPr="006F64A2">
        <w:rPr>
          <w:rFonts w:ascii="Times New Roman" w:hAnsi="Times New Roman" w:cs="Times New Roman"/>
        </w:rPr>
        <w:t xml:space="preserve">and cesarean section (CS) delivery. </w:t>
      </w:r>
    </w:p>
    <w:p w14:paraId="1CF05E82" w14:textId="0B6C9C3C" w:rsidR="00C10314" w:rsidRPr="006F64A2" w:rsidRDefault="00C10314" w:rsidP="00DC69DA">
      <w:pPr>
        <w:rPr>
          <w:rFonts w:ascii="Times New Roman" w:hAnsi="Times New Roman" w:cs="Times New Roman"/>
        </w:rPr>
      </w:pPr>
      <w:r w:rsidRPr="006F64A2">
        <w:rPr>
          <w:rFonts w:ascii="Times New Roman" w:hAnsi="Times New Roman" w:cs="Times New Roman"/>
        </w:rPr>
        <w:t>DAGs are useful tool for visualizing assumed relationships between exposure</w:t>
      </w:r>
      <w:r w:rsidR="00AE4A0F" w:rsidRPr="006F64A2">
        <w:rPr>
          <w:rFonts w:ascii="Times New Roman" w:hAnsi="Times New Roman" w:cs="Times New Roman"/>
        </w:rPr>
        <w:t>s</w:t>
      </w:r>
      <w:r w:rsidRPr="006F64A2">
        <w:rPr>
          <w:rFonts w:ascii="Times New Roman" w:hAnsi="Times New Roman" w:cs="Times New Roman"/>
        </w:rPr>
        <w:t>, outcome</w:t>
      </w:r>
      <w:r w:rsidR="00AE4A0F" w:rsidRPr="006F64A2">
        <w:rPr>
          <w:rFonts w:ascii="Times New Roman" w:hAnsi="Times New Roman" w:cs="Times New Roman"/>
        </w:rPr>
        <w:t>s</w:t>
      </w:r>
      <w:r w:rsidRPr="006F64A2">
        <w:rPr>
          <w:rFonts w:ascii="Times New Roman" w:hAnsi="Times New Roman" w:cs="Times New Roman"/>
        </w:rPr>
        <w:t xml:space="preserve"> and covariates [1]. In the figure</w:t>
      </w:r>
      <w:r w:rsidR="00650C05" w:rsidRPr="006F64A2">
        <w:rPr>
          <w:rFonts w:ascii="Times New Roman" w:hAnsi="Times New Roman" w:cs="Times New Roman"/>
        </w:rPr>
        <w:t>s</w:t>
      </w:r>
      <w:r w:rsidRPr="006F64A2">
        <w:rPr>
          <w:rFonts w:ascii="Times New Roman" w:hAnsi="Times New Roman" w:cs="Times New Roman"/>
        </w:rPr>
        <w:t xml:space="preserve"> below, variables indicated with pink circles are identified confounders</w:t>
      </w:r>
      <w:r w:rsidR="00AE4A0F" w:rsidRPr="006F64A2">
        <w:rPr>
          <w:rFonts w:ascii="Times New Roman" w:hAnsi="Times New Roman" w:cs="Times New Roman"/>
        </w:rPr>
        <w:t xml:space="preserve"> and </w:t>
      </w:r>
      <w:r w:rsidRPr="006F64A2">
        <w:rPr>
          <w:rFonts w:ascii="Times New Roman" w:hAnsi="Times New Roman" w:cs="Times New Roman"/>
        </w:rPr>
        <w:t>blue circles indicate mediating variables</w:t>
      </w:r>
      <w:r w:rsidR="00AE4A0F" w:rsidRPr="006F64A2">
        <w:rPr>
          <w:rFonts w:ascii="Times New Roman" w:hAnsi="Times New Roman" w:cs="Times New Roman"/>
        </w:rPr>
        <w:t>. W</w:t>
      </w:r>
      <w:r w:rsidRPr="006F64A2">
        <w:rPr>
          <w:rFonts w:ascii="Times New Roman" w:hAnsi="Times New Roman" w:cs="Times New Roman"/>
        </w:rPr>
        <w:t xml:space="preserve">e included some unobserved variables as well, which are indicated as grey circles. </w:t>
      </w:r>
    </w:p>
    <w:p w14:paraId="4C665C1F" w14:textId="0AB21C7F" w:rsidR="00C10314" w:rsidRPr="006F64A2" w:rsidRDefault="00C10314" w:rsidP="00DC69DA">
      <w:pPr>
        <w:rPr>
          <w:rFonts w:ascii="Times New Roman" w:hAnsi="Times New Roman" w:cs="Times New Roman"/>
        </w:rPr>
      </w:pPr>
      <w:r w:rsidRPr="006F64A2">
        <w:rPr>
          <w:rFonts w:ascii="Times New Roman" w:hAnsi="Times New Roman" w:cs="Times New Roman"/>
        </w:rPr>
        <w:t xml:space="preserve">The assumptions for the causal effect of </w:t>
      </w:r>
      <w:r w:rsidR="001D6676" w:rsidRPr="006F64A2">
        <w:rPr>
          <w:rFonts w:ascii="Times New Roman" w:hAnsi="Times New Roman" w:cs="Times New Roman"/>
        </w:rPr>
        <w:t xml:space="preserve">SARS-CoV-2 </w:t>
      </w:r>
      <w:r w:rsidRPr="006F64A2">
        <w:rPr>
          <w:rFonts w:ascii="Times New Roman" w:hAnsi="Times New Roman" w:cs="Times New Roman"/>
        </w:rPr>
        <w:t xml:space="preserve">infection on MM is described in the DAG presented in supplementary figure 1. COVID-19 infection is a prerequisite for </w:t>
      </w:r>
      <w:r w:rsidR="00AE4A0F" w:rsidRPr="006F64A2">
        <w:rPr>
          <w:rFonts w:ascii="Times New Roman" w:hAnsi="Times New Roman" w:cs="Times New Roman"/>
        </w:rPr>
        <w:t xml:space="preserve">severe </w:t>
      </w:r>
      <w:r w:rsidRPr="006F64A2">
        <w:rPr>
          <w:rFonts w:ascii="Times New Roman" w:hAnsi="Times New Roman" w:cs="Times New Roman"/>
        </w:rPr>
        <w:t>COVID</w:t>
      </w:r>
      <w:r w:rsidR="001D6676" w:rsidRPr="006F64A2">
        <w:rPr>
          <w:rFonts w:ascii="Times New Roman" w:hAnsi="Times New Roman" w:cs="Times New Roman"/>
        </w:rPr>
        <w:t>-19</w:t>
      </w:r>
      <w:r w:rsidRPr="006F64A2">
        <w:rPr>
          <w:rFonts w:ascii="Times New Roman" w:hAnsi="Times New Roman" w:cs="Times New Roman"/>
        </w:rPr>
        <w:t>, which in turn increases the risk of MM [2, 3]. COVID</w:t>
      </w:r>
      <w:r w:rsidR="00AE4A0F" w:rsidRPr="006F64A2">
        <w:rPr>
          <w:rFonts w:ascii="Times New Roman" w:hAnsi="Times New Roman" w:cs="Times New Roman"/>
        </w:rPr>
        <w:t xml:space="preserve"> </w:t>
      </w:r>
      <w:r w:rsidRPr="006F64A2">
        <w:rPr>
          <w:rFonts w:ascii="Times New Roman" w:hAnsi="Times New Roman" w:cs="Times New Roman"/>
        </w:rPr>
        <w:t xml:space="preserve">vaccination reduces the risk of </w:t>
      </w:r>
      <w:r w:rsidR="00AE4A0F" w:rsidRPr="006F64A2">
        <w:rPr>
          <w:rFonts w:ascii="Times New Roman" w:hAnsi="Times New Roman" w:cs="Times New Roman"/>
        </w:rPr>
        <w:t xml:space="preserve">severe </w:t>
      </w:r>
      <w:r w:rsidRPr="006F64A2">
        <w:rPr>
          <w:rFonts w:ascii="Times New Roman" w:hAnsi="Times New Roman" w:cs="Times New Roman"/>
        </w:rPr>
        <w:t>COVID</w:t>
      </w:r>
      <w:r w:rsidR="001D6676" w:rsidRPr="006F64A2">
        <w:rPr>
          <w:rFonts w:ascii="Times New Roman" w:hAnsi="Times New Roman" w:cs="Times New Roman"/>
        </w:rPr>
        <w:t>-19</w:t>
      </w:r>
      <w:r w:rsidRPr="006F64A2">
        <w:rPr>
          <w:rFonts w:ascii="Times New Roman" w:hAnsi="Times New Roman" w:cs="Times New Roman"/>
        </w:rPr>
        <w:t xml:space="preserve"> [4, 5]. Further, we assumed that age, education, residency, BMI at first ANC visit, parity</w:t>
      </w:r>
      <w:r w:rsidR="00AE4A0F" w:rsidRPr="006F64A2">
        <w:rPr>
          <w:rFonts w:ascii="Times New Roman" w:hAnsi="Times New Roman" w:cs="Times New Roman"/>
        </w:rPr>
        <w:t>,</w:t>
      </w:r>
      <w:r w:rsidRPr="006F64A2">
        <w:rPr>
          <w:rFonts w:ascii="Times New Roman" w:hAnsi="Times New Roman" w:cs="Times New Roman"/>
        </w:rPr>
        <w:t xml:space="preserve"> and gestational diabetes impact</w:t>
      </w:r>
      <w:r w:rsidR="00AE4A0F" w:rsidRPr="006F64A2">
        <w:rPr>
          <w:rFonts w:ascii="Times New Roman" w:hAnsi="Times New Roman" w:cs="Times New Roman"/>
        </w:rPr>
        <w:t>ed</w:t>
      </w:r>
      <w:r w:rsidRPr="006F64A2">
        <w:rPr>
          <w:rFonts w:ascii="Times New Roman" w:hAnsi="Times New Roman" w:cs="Times New Roman"/>
        </w:rPr>
        <w:t xml:space="preserve"> the possibility of being </w:t>
      </w:r>
      <w:r w:rsidR="001D6676" w:rsidRPr="006F64A2">
        <w:rPr>
          <w:rFonts w:ascii="Times New Roman" w:hAnsi="Times New Roman" w:cs="Times New Roman"/>
        </w:rPr>
        <w:t xml:space="preserve">fully </w:t>
      </w:r>
      <w:r w:rsidRPr="006F64A2">
        <w:rPr>
          <w:rFonts w:ascii="Times New Roman" w:hAnsi="Times New Roman" w:cs="Times New Roman"/>
        </w:rPr>
        <w:t>vaccinated</w:t>
      </w:r>
      <w:r w:rsidR="001D6676" w:rsidRPr="006F64A2">
        <w:rPr>
          <w:rFonts w:ascii="Times New Roman" w:hAnsi="Times New Roman" w:cs="Times New Roman"/>
        </w:rPr>
        <w:t xml:space="preserve"> against COVID-19</w:t>
      </w:r>
      <w:r w:rsidRPr="006F64A2">
        <w:rPr>
          <w:rFonts w:ascii="Times New Roman" w:hAnsi="Times New Roman" w:cs="Times New Roman"/>
        </w:rPr>
        <w:t>, as well as adherence to non-pharmaceutical interventions (NPIs) such as use of face masks and social distancing [6-9]. Moreover, gestational diabetes increases the risk of severe COVID</w:t>
      </w:r>
      <w:r w:rsidR="001D6676" w:rsidRPr="006F64A2">
        <w:rPr>
          <w:rFonts w:ascii="Times New Roman" w:hAnsi="Times New Roman" w:cs="Times New Roman"/>
        </w:rPr>
        <w:t>-19</w:t>
      </w:r>
      <w:r w:rsidR="00AE4A0F" w:rsidRPr="006F64A2">
        <w:rPr>
          <w:rFonts w:ascii="Times New Roman" w:hAnsi="Times New Roman" w:cs="Times New Roman"/>
        </w:rPr>
        <w:t>,</w:t>
      </w:r>
      <w:r w:rsidRPr="006F64A2">
        <w:rPr>
          <w:rFonts w:ascii="Times New Roman" w:hAnsi="Times New Roman" w:cs="Times New Roman"/>
        </w:rPr>
        <w:t xml:space="preserve"> as indicated by the arrow from gestational diabetes to severity [10]. Further, </w:t>
      </w:r>
      <w:r w:rsidR="00AE4A0F" w:rsidRPr="006F64A2">
        <w:rPr>
          <w:rFonts w:ascii="Times New Roman" w:hAnsi="Times New Roman" w:cs="Times New Roman"/>
        </w:rPr>
        <w:t xml:space="preserve">severe </w:t>
      </w:r>
      <w:r w:rsidRPr="006F64A2">
        <w:rPr>
          <w:rFonts w:ascii="Times New Roman" w:hAnsi="Times New Roman" w:cs="Times New Roman"/>
        </w:rPr>
        <w:t>COVID</w:t>
      </w:r>
      <w:r w:rsidR="001D6676" w:rsidRPr="006F64A2">
        <w:rPr>
          <w:rFonts w:ascii="Times New Roman" w:hAnsi="Times New Roman" w:cs="Times New Roman"/>
        </w:rPr>
        <w:t>-19</w:t>
      </w:r>
      <w:r w:rsidRPr="006F64A2">
        <w:rPr>
          <w:rFonts w:ascii="Times New Roman" w:hAnsi="Times New Roman" w:cs="Times New Roman"/>
        </w:rPr>
        <w:t xml:space="preserve"> increases the risk of preeclampsia, </w:t>
      </w:r>
      <w:r w:rsidR="00AE4A0F" w:rsidRPr="006F64A2">
        <w:rPr>
          <w:rFonts w:ascii="Times New Roman" w:hAnsi="Times New Roman" w:cs="Times New Roman"/>
        </w:rPr>
        <w:t xml:space="preserve">post-delivery </w:t>
      </w:r>
      <w:r w:rsidRPr="006F64A2">
        <w:rPr>
          <w:rFonts w:ascii="Times New Roman" w:hAnsi="Times New Roman" w:cs="Times New Roman"/>
        </w:rPr>
        <w:t xml:space="preserve">ICU </w:t>
      </w:r>
      <w:r w:rsidR="00AE4A0F" w:rsidRPr="006F64A2">
        <w:rPr>
          <w:rFonts w:ascii="Times New Roman" w:hAnsi="Times New Roman" w:cs="Times New Roman"/>
        </w:rPr>
        <w:t xml:space="preserve">admission, </w:t>
      </w:r>
      <w:r w:rsidRPr="006F64A2">
        <w:rPr>
          <w:rFonts w:ascii="Times New Roman" w:hAnsi="Times New Roman" w:cs="Times New Roman"/>
        </w:rPr>
        <w:t>and CS delivery</w:t>
      </w:r>
      <w:r w:rsidR="00AE4A0F" w:rsidRPr="006F64A2">
        <w:rPr>
          <w:rFonts w:ascii="Times New Roman" w:hAnsi="Times New Roman" w:cs="Times New Roman"/>
        </w:rPr>
        <w:t>,</w:t>
      </w:r>
      <w:r w:rsidRPr="006F64A2">
        <w:rPr>
          <w:rFonts w:ascii="Times New Roman" w:hAnsi="Times New Roman" w:cs="Times New Roman"/>
        </w:rPr>
        <w:t xml:space="preserve"> and in turn, </w:t>
      </w:r>
      <w:r w:rsidR="00AE4A0F" w:rsidRPr="006F64A2">
        <w:rPr>
          <w:rFonts w:ascii="Times New Roman" w:hAnsi="Times New Roman" w:cs="Times New Roman"/>
        </w:rPr>
        <w:t xml:space="preserve">post-delivery </w:t>
      </w:r>
      <w:r w:rsidRPr="006F64A2">
        <w:rPr>
          <w:rFonts w:ascii="Times New Roman" w:hAnsi="Times New Roman" w:cs="Times New Roman"/>
        </w:rPr>
        <w:t>ICU</w:t>
      </w:r>
      <w:r w:rsidR="00AE4A0F" w:rsidRPr="006F64A2">
        <w:rPr>
          <w:rFonts w:ascii="Times New Roman" w:hAnsi="Times New Roman" w:cs="Times New Roman"/>
        </w:rPr>
        <w:t xml:space="preserve"> admission</w:t>
      </w:r>
      <w:r w:rsidRPr="006F64A2">
        <w:rPr>
          <w:rFonts w:ascii="Times New Roman" w:hAnsi="Times New Roman" w:cs="Times New Roman"/>
        </w:rPr>
        <w:t xml:space="preserve">, CS, </w:t>
      </w:r>
      <w:r w:rsidR="00AE4A0F" w:rsidRPr="006F64A2">
        <w:rPr>
          <w:rFonts w:ascii="Times New Roman" w:hAnsi="Times New Roman" w:cs="Times New Roman"/>
        </w:rPr>
        <w:t>hemorrhage,</w:t>
      </w:r>
      <w:r w:rsidRPr="006F64A2">
        <w:rPr>
          <w:rFonts w:ascii="Times New Roman" w:hAnsi="Times New Roman" w:cs="Times New Roman"/>
        </w:rPr>
        <w:t xml:space="preserve"> and preeclampsia are risk factors for MM [11-13]. Based on these assumptions, the minimal sufficient set of variables to include in the models to control confounding and estimate the total effect of </w:t>
      </w:r>
      <w:r w:rsidR="001D6676" w:rsidRPr="006F64A2">
        <w:rPr>
          <w:rFonts w:ascii="Times New Roman" w:hAnsi="Times New Roman" w:cs="Times New Roman"/>
        </w:rPr>
        <w:t xml:space="preserve">SARS-CoV-2 infection </w:t>
      </w:r>
      <w:r w:rsidRPr="006F64A2">
        <w:rPr>
          <w:rFonts w:ascii="Times New Roman" w:hAnsi="Times New Roman" w:cs="Times New Roman"/>
        </w:rPr>
        <w:t>on MM includes age, education, parity, BMI at first ANC visit, gestational diabetes</w:t>
      </w:r>
      <w:r w:rsidR="00AE4A0F" w:rsidRPr="006F64A2">
        <w:rPr>
          <w:rFonts w:ascii="Times New Roman" w:hAnsi="Times New Roman" w:cs="Times New Roman"/>
        </w:rPr>
        <w:t>,</w:t>
      </w:r>
      <w:r w:rsidRPr="006F64A2">
        <w:rPr>
          <w:rFonts w:ascii="Times New Roman" w:hAnsi="Times New Roman" w:cs="Times New Roman"/>
        </w:rPr>
        <w:t xml:space="preserve"> and COVID-</w:t>
      </w:r>
      <w:r w:rsidR="00AE4A0F" w:rsidRPr="006F64A2">
        <w:rPr>
          <w:rFonts w:ascii="Times New Roman" w:hAnsi="Times New Roman" w:cs="Times New Roman"/>
        </w:rPr>
        <w:t xml:space="preserve">19 </w:t>
      </w:r>
      <w:r w:rsidRPr="006F64A2">
        <w:rPr>
          <w:rFonts w:ascii="Times New Roman" w:hAnsi="Times New Roman" w:cs="Times New Roman"/>
        </w:rPr>
        <w:t>vaccination status.</w:t>
      </w:r>
    </w:p>
    <w:p w14:paraId="0DE8F944" w14:textId="7E66D5CE" w:rsidR="00C10314" w:rsidRPr="006F64A2" w:rsidRDefault="00C10314" w:rsidP="00DC69DA">
      <w:pPr>
        <w:rPr>
          <w:rFonts w:ascii="Times New Roman" w:hAnsi="Times New Roman" w:cs="Times New Roman"/>
        </w:rPr>
      </w:pPr>
    </w:p>
    <w:p w14:paraId="399A2354" w14:textId="77777777" w:rsidR="00170EDE" w:rsidRPr="006F64A2" w:rsidRDefault="00170EDE" w:rsidP="00DC69DA">
      <w:pPr>
        <w:pStyle w:val="Caption"/>
        <w:rPr>
          <w:rFonts w:ascii="Times New Roman" w:hAnsi="Times New Roman" w:cs="Times New Roman"/>
        </w:rPr>
      </w:pPr>
    </w:p>
    <w:p w14:paraId="51904AE1" w14:textId="77777777" w:rsidR="00170EDE" w:rsidRPr="006F64A2" w:rsidRDefault="00170EDE" w:rsidP="00DC69DA">
      <w:pPr>
        <w:pStyle w:val="Caption"/>
        <w:rPr>
          <w:rFonts w:ascii="Times New Roman" w:hAnsi="Times New Roman" w:cs="Times New Roman"/>
        </w:rPr>
      </w:pPr>
    </w:p>
    <w:p w14:paraId="497FC52B" w14:textId="77777777" w:rsidR="00170EDE" w:rsidRPr="006F64A2" w:rsidRDefault="00170EDE" w:rsidP="00DC69DA">
      <w:pPr>
        <w:pStyle w:val="Caption"/>
        <w:rPr>
          <w:rFonts w:ascii="Times New Roman" w:hAnsi="Times New Roman" w:cs="Times New Roman"/>
        </w:rPr>
      </w:pPr>
    </w:p>
    <w:p w14:paraId="0A71FFDC" w14:textId="77777777" w:rsidR="00170EDE" w:rsidRPr="006F64A2" w:rsidRDefault="00170EDE" w:rsidP="00DC69DA">
      <w:pPr>
        <w:pStyle w:val="Caption"/>
        <w:rPr>
          <w:rFonts w:ascii="Times New Roman" w:hAnsi="Times New Roman" w:cs="Times New Roman"/>
        </w:rPr>
      </w:pPr>
    </w:p>
    <w:p w14:paraId="403BAC9B" w14:textId="77777777" w:rsidR="00170EDE" w:rsidRPr="006F64A2" w:rsidRDefault="00170EDE" w:rsidP="00DC69DA">
      <w:pPr>
        <w:pStyle w:val="Caption"/>
        <w:rPr>
          <w:rFonts w:ascii="Times New Roman" w:hAnsi="Times New Roman" w:cs="Times New Roman"/>
        </w:rPr>
      </w:pPr>
    </w:p>
    <w:p w14:paraId="4D8A5E1F" w14:textId="77777777" w:rsidR="006F64A2" w:rsidRDefault="006F64A2" w:rsidP="00DC69DA">
      <w:pPr>
        <w:pStyle w:val="Caption"/>
        <w:rPr>
          <w:rFonts w:ascii="Times New Roman" w:hAnsi="Times New Roman" w:cs="Times New Roman"/>
        </w:rPr>
      </w:pPr>
    </w:p>
    <w:p w14:paraId="3DAF5DAD" w14:textId="0D08F33B" w:rsidR="00C10314" w:rsidRPr="006F64A2" w:rsidRDefault="006F64A2" w:rsidP="00DC69DA">
      <w:pPr>
        <w:pStyle w:val="Caption"/>
        <w:rPr>
          <w:rFonts w:ascii="Times New Roman" w:hAnsi="Times New Roman" w:cs="Times New Roman"/>
        </w:rPr>
      </w:pPr>
      <w:r w:rsidRPr="006F64A2">
        <w:rPr>
          <w:rFonts w:ascii="Times New Roman" w:hAnsi="Times New Roman" w:cs="Times New Roman"/>
          <w:noProof/>
        </w:rPr>
        <w:lastRenderedPageBreak/>
        <w:drawing>
          <wp:anchor distT="0" distB="0" distL="114300" distR="114300" simplePos="0" relativeHeight="251660288" behindDoc="0" locked="0" layoutInCell="1" allowOverlap="1" wp14:anchorId="3507D082" wp14:editId="290B7127">
            <wp:simplePos x="0" y="0"/>
            <wp:positionH relativeFrom="column">
              <wp:posOffset>41146</wp:posOffset>
            </wp:positionH>
            <wp:positionV relativeFrom="paragraph">
              <wp:posOffset>296537</wp:posOffset>
            </wp:positionV>
            <wp:extent cx="3713480" cy="2796540"/>
            <wp:effectExtent l="0" t="0" r="1270" b="381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3480" cy="2796540"/>
                    </a:xfrm>
                    <a:prstGeom prst="rect">
                      <a:avLst/>
                    </a:prstGeom>
                  </pic:spPr>
                </pic:pic>
              </a:graphicData>
            </a:graphic>
          </wp:anchor>
        </w:drawing>
      </w:r>
      <w:r w:rsidR="00C10314" w:rsidRPr="006F64A2">
        <w:rPr>
          <w:rFonts w:ascii="Times New Roman" w:hAnsi="Times New Roman" w:cs="Times New Roman"/>
        </w:rPr>
        <w:t>Supplementary Figure 1: Directed acyclic graph indicating covariates and mediators o</w:t>
      </w:r>
      <w:r w:rsidR="00AE4A0F" w:rsidRPr="006F64A2">
        <w:rPr>
          <w:rFonts w:ascii="Times New Roman" w:hAnsi="Times New Roman" w:cs="Times New Roman"/>
        </w:rPr>
        <w:t>f</w:t>
      </w:r>
      <w:r w:rsidR="00C10314" w:rsidRPr="006F64A2">
        <w:rPr>
          <w:rFonts w:ascii="Times New Roman" w:hAnsi="Times New Roman" w:cs="Times New Roman"/>
        </w:rPr>
        <w:t xml:space="preserve"> relationship between SARS-CoV-2 infection and maternal mortality (MM)</w:t>
      </w:r>
    </w:p>
    <w:p w14:paraId="4879AE7D" w14:textId="77777777" w:rsidR="006F64A2" w:rsidRDefault="006F64A2" w:rsidP="00DC69DA">
      <w:pPr>
        <w:rPr>
          <w:rFonts w:ascii="Times New Roman" w:hAnsi="Times New Roman" w:cs="Times New Roman"/>
        </w:rPr>
      </w:pPr>
    </w:p>
    <w:p w14:paraId="0BA983A0" w14:textId="2B67CEEA" w:rsidR="00C10314" w:rsidRPr="006F64A2" w:rsidRDefault="00C10314" w:rsidP="00DC69DA">
      <w:pPr>
        <w:rPr>
          <w:rFonts w:ascii="Times New Roman" w:hAnsi="Times New Roman" w:cs="Times New Roman"/>
        </w:rPr>
      </w:pPr>
      <w:r w:rsidRPr="006F64A2">
        <w:rPr>
          <w:rFonts w:ascii="Times New Roman" w:hAnsi="Times New Roman" w:cs="Times New Roman"/>
        </w:rPr>
        <w:t xml:space="preserve">The DAG outlined in supplementary figure 2 assumes a causal effect of </w:t>
      </w:r>
      <w:r w:rsidR="001D6676" w:rsidRPr="006F64A2">
        <w:rPr>
          <w:rFonts w:ascii="Times New Roman" w:hAnsi="Times New Roman" w:cs="Times New Roman"/>
        </w:rPr>
        <w:t xml:space="preserve">SARS-CoV-2 </w:t>
      </w:r>
      <w:r w:rsidRPr="006F64A2">
        <w:rPr>
          <w:rFonts w:ascii="Times New Roman" w:hAnsi="Times New Roman" w:cs="Times New Roman"/>
        </w:rPr>
        <w:t xml:space="preserve">infection on </w:t>
      </w:r>
      <w:r w:rsidR="00AE4A0F" w:rsidRPr="006F64A2">
        <w:rPr>
          <w:rFonts w:ascii="Times New Roman" w:hAnsi="Times New Roman" w:cs="Times New Roman"/>
        </w:rPr>
        <w:t xml:space="preserve">post-delivery </w:t>
      </w:r>
      <w:r w:rsidRPr="006F64A2">
        <w:rPr>
          <w:rFonts w:ascii="Times New Roman" w:hAnsi="Times New Roman" w:cs="Times New Roman"/>
        </w:rPr>
        <w:t xml:space="preserve">ICU admission. As was already </w:t>
      </w:r>
      <w:r w:rsidR="00AE4A0F" w:rsidRPr="006F64A2">
        <w:rPr>
          <w:rFonts w:ascii="Times New Roman" w:hAnsi="Times New Roman" w:cs="Times New Roman"/>
        </w:rPr>
        <w:t>stated</w:t>
      </w:r>
      <w:r w:rsidRPr="006F64A2">
        <w:rPr>
          <w:rFonts w:ascii="Times New Roman" w:hAnsi="Times New Roman" w:cs="Times New Roman"/>
        </w:rPr>
        <w:t xml:space="preserve">, </w:t>
      </w:r>
      <w:r w:rsidR="00AE4A0F" w:rsidRPr="006F64A2">
        <w:rPr>
          <w:rFonts w:ascii="Times New Roman" w:hAnsi="Times New Roman" w:cs="Times New Roman"/>
        </w:rPr>
        <w:t xml:space="preserve">severe </w:t>
      </w:r>
      <w:r w:rsidRPr="006F64A2">
        <w:rPr>
          <w:rFonts w:ascii="Times New Roman" w:hAnsi="Times New Roman" w:cs="Times New Roman"/>
        </w:rPr>
        <w:t>COVID</w:t>
      </w:r>
      <w:r w:rsidR="001D6676" w:rsidRPr="006F64A2">
        <w:rPr>
          <w:rFonts w:ascii="Times New Roman" w:hAnsi="Times New Roman" w:cs="Times New Roman"/>
        </w:rPr>
        <w:t>-19</w:t>
      </w:r>
      <w:r w:rsidRPr="006F64A2">
        <w:rPr>
          <w:rFonts w:ascii="Times New Roman" w:hAnsi="Times New Roman" w:cs="Times New Roman"/>
        </w:rPr>
        <w:t xml:space="preserve"> </w:t>
      </w:r>
      <w:r w:rsidR="001D6676" w:rsidRPr="006F64A2">
        <w:rPr>
          <w:rFonts w:ascii="Times New Roman" w:hAnsi="Times New Roman" w:cs="Times New Roman"/>
        </w:rPr>
        <w:t>requires SARS-CoV-2 infection</w:t>
      </w:r>
      <w:r w:rsidRPr="006F64A2">
        <w:rPr>
          <w:rFonts w:ascii="Times New Roman" w:hAnsi="Times New Roman" w:cs="Times New Roman"/>
        </w:rPr>
        <w:t>, which is also a risk factor for</w:t>
      </w:r>
      <w:r w:rsidR="00AE4A0F" w:rsidRPr="006F64A2">
        <w:rPr>
          <w:rFonts w:ascii="Times New Roman" w:hAnsi="Times New Roman" w:cs="Times New Roman"/>
        </w:rPr>
        <w:t xml:space="preserve"> post-delivery</w:t>
      </w:r>
      <w:r w:rsidRPr="006F64A2">
        <w:rPr>
          <w:rFonts w:ascii="Times New Roman" w:hAnsi="Times New Roman" w:cs="Times New Roman"/>
        </w:rPr>
        <w:t xml:space="preserve"> ICU </w:t>
      </w:r>
      <w:r w:rsidR="00AE4A0F" w:rsidRPr="006F64A2">
        <w:rPr>
          <w:rFonts w:ascii="Times New Roman" w:hAnsi="Times New Roman" w:cs="Times New Roman"/>
        </w:rPr>
        <w:t>admission</w:t>
      </w:r>
      <w:r w:rsidRPr="006F64A2">
        <w:rPr>
          <w:rFonts w:ascii="Times New Roman" w:hAnsi="Times New Roman" w:cs="Times New Roman"/>
        </w:rPr>
        <w:t>. COVID</w:t>
      </w:r>
      <w:r w:rsidR="001D6676" w:rsidRPr="006F64A2">
        <w:rPr>
          <w:rFonts w:ascii="Times New Roman" w:hAnsi="Times New Roman" w:cs="Times New Roman"/>
        </w:rPr>
        <w:t>-19</w:t>
      </w:r>
      <w:r w:rsidR="00AE4A0F" w:rsidRPr="006F64A2">
        <w:rPr>
          <w:rFonts w:ascii="Times New Roman" w:hAnsi="Times New Roman" w:cs="Times New Roman"/>
        </w:rPr>
        <w:t xml:space="preserve"> </w:t>
      </w:r>
      <w:r w:rsidRPr="006F64A2">
        <w:rPr>
          <w:rFonts w:ascii="Times New Roman" w:hAnsi="Times New Roman" w:cs="Times New Roman"/>
        </w:rPr>
        <w:t xml:space="preserve">vaccination reduces the risk of </w:t>
      </w:r>
      <w:r w:rsidR="00AE4A0F" w:rsidRPr="006F64A2">
        <w:rPr>
          <w:rFonts w:ascii="Times New Roman" w:hAnsi="Times New Roman" w:cs="Times New Roman"/>
        </w:rPr>
        <w:t xml:space="preserve">severe </w:t>
      </w:r>
      <w:r w:rsidRPr="006F64A2">
        <w:rPr>
          <w:rFonts w:ascii="Times New Roman" w:hAnsi="Times New Roman" w:cs="Times New Roman"/>
        </w:rPr>
        <w:t>COVID</w:t>
      </w:r>
      <w:r w:rsidR="001D6676" w:rsidRPr="006F64A2">
        <w:rPr>
          <w:rFonts w:ascii="Times New Roman" w:hAnsi="Times New Roman" w:cs="Times New Roman"/>
        </w:rPr>
        <w:t>-19</w:t>
      </w:r>
      <w:r w:rsidRPr="006F64A2">
        <w:rPr>
          <w:rFonts w:ascii="Times New Roman" w:hAnsi="Times New Roman" w:cs="Times New Roman"/>
        </w:rPr>
        <w:t xml:space="preserve"> [4]. Further, we assumed that age, education, residency, BMI at first ANC visit, parity</w:t>
      </w:r>
      <w:r w:rsidR="00F017A0" w:rsidRPr="006F64A2">
        <w:rPr>
          <w:rFonts w:ascii="Times New Roman" w:hAnsi="Times New Roman" w:cs="Times New Roman"/>
        </w:rPr>
        <w:t>,</w:t>
      </w:r>
      <w:r w:rsidRPr="006F64A2">
        <w:rPr>
          <w:rFonts w:ascii="Times New Roman" w:hAnsi="Times New Roman" w:cs="Times New Roman"/>
        </w:rPr>
        <w:t xml:space="preserve"> and gestational diabetes impact the possibility of being vaccinated, as well as the adherence to non-pharmaceutical interventions (NPIs) such as use of face masks and social distancing [6-9, 14]. Moreover, gestational diabetes increases the risk of severe COVID</w:t>
      </w:r>
      <w:r w:rsidR="001D6676" w:rsidRPr="006F64A2">
        <w:rPr>
          <w:rFonts w:ascii="Times New Roman" w:hAnsi="Times New Roman" w:cs="Times New Roman"/>
        </w:rPr>
        <w:t>-19</w:t>
      </w:r>
      <w:r w:rsidRPr="006F64A2">
        <w:rPr>
          <w:rFonts w:ascii="Times New Roman" w:hAnsi="Times New Roman" w:cs="Times New Roman"/>
        </w:rPr>
        <w:t xml:space="preserve"> as indicated by the arrow from gestational diabetes to severity. </w:t>
      </w:r>
      <w:r w:rsidR="001D6676" w:rsidRPr="006F64A2">
        <w:rPr>
          <w:rFonts w:ascii="Times New Roman" w:hAnsi="Times New Roman" w:cs="Times New Roman"/>
        </w:rPr>
        <w:t xml:space="preserve">SARS-CoV-2 </w:t>
      </w:r>
      <w:r w:rsidRPr="006F64A2">
        <w:rPr>
          <w:rFonts w:ascii="Times New Roman" w:hAnsi="Times New Roman" w:cs="Times New Roman"/>
        </w:rPr>
        <w:t xml:space="preserve">infection </w:t>
      </w:r>
      <w:r w:rsidR="001D6676" w:rsidRPr="006F64A2">
        <w:rPr>
          <w:rFonts w:ascii="Times New Roman" w:hAnsi="Times New Roman" w:cs="Times New Roman"/>
        </w:rPr>
        <w:t xml:space="preserve">also </w:t>
      </w:r>
      <w:r w:rsidRPr="006F64A2">
        <w:rPr>
          <w:rFonts w:ascii="Times New Roman" w:hAnsi="Times New Roman" w:cs="Times New Roman"/>
        </w:rPr>
        <w:t xml:space="preserve">increases the risk of preeclampsia. Based on the existing knowledge and several assumptions, the minimal sufficient set of variables to include in the model to control confounding and estimate the total effect of </w:t>
      </w:r>
      <w:r w:rsidR="001D6676" w:rsidRPr="006F64A2">
        <w:rPr>
          <w:rFonts w:ascii="Times New Roman" w:hAnsi="Times New Roman" w:cs="Times New Roman"/>
        </w:rPr>
        <w:t xml:space="preserve">SARS-CoV-2 </w:t>
      </w:r>
      <w:r w:rsidRPr="006F64A2">
        <w:rPr>
          <w:rFonts w:ascii="Times New Roman" w:hAnsi="Times New Roman" w:cs="Times New Roman"/>
        </w:rPr>
        <w:t xml:space="preserve">infection on </w:t>
      </w:r>
      <w:r w:rsidR="00F017A0" w:rsidRPr="006F64A2">
        <w:rPr>
          <w:rFonts w:ascii="Times New Roman" w:hAnsi="Times New Roman" w:cs="Times New Roman"/>
        </w:rPr>
        <w:t xml:space="preserve">post-delivery </w:t>
      </w:r>
      <w:r w:rsidRPr="006F64A2">
        <w:rPr>
          <w:rFonts w:ascii="Times New Roman" w:hAnsi="Times New Roman" w:cs="Times New Roman"/>
        </w:rPr>
        <w:t xml:space="preserve">ICU </w:t>
      </w:r>
      <w:r w:rsidR="00F017A0" w:rsidRPr="006F64A2">
        <w:rPr>
          <w:rFonts w:ascii="Times New Roman" w:hAnsi="Times New Roman" w:cs="Times New Roman"/>
        </w:rPr>
        <w:t xml:space="preserve">transfer </w:t>
      </w:r>
      <w:r w:rsidRPr="006F64A2">
        <w:rPr>
          <w:rFonts w:ascii="Times New Roman" w:hAnsi="Times New Roman" w:cs="Times New Roman"/>
        </w:rPr>
        <w:t>includes age, BMI at first ANC visit, gestational diabetes</w:t>
      </w:r>
      <w:r w:rsidR="00F017A0" w:rsidRPr="006F64A2">
        <w:rPr>
          <w:rFonts w:ascii="Times New Roman" w:hAnsi="Times New Roman" w:cs="Times New Roman"/>
        </w:rPr>
        <w:t>,</w:t>
      </w:r>
      <w:r w:rsidRPr="006F64A2">
        <w:rPr>
          <w:rFonts w:ascii="Times New Roman" w:hAnsi="Times New Roman" w:cs="Times New Roman"/>
        </w:rPr>
        <w:t xml:space="preserve"> and COVID</w:t>
      </w:r>
      <w:r w:rsidR="001D6676" w:rsidRPr="006F64A2">
        <w:rPr>
          <w:rFonts w:ascii="Times New Roman" w:hAnsi="Times New Roman" w:cs="Times New Roman"/>
        </w:rPr>
        <w:t>-</w:t>
      </w:r>
      <w:r w:rsidR="00F017A0" w:rsidRPr="006F64A2">
        <w:rPr>
          <w:rFonts w:ascii="Times New Roman" w:hAnsi="Times New Roman" w:cs="Times New Roman"/>
        </w:rPr>
        <w:t xml:space="preserve">19 </w:t>
      </w:r>
      <w:r w:rsidRPr="006F64A2">
        <w:rPr>
          <w:rFonts w:ascii="Times New Roman" w:hAnsi="Times New Roman" w:cs="Times New Roman"/>
        </w:rPr>
        <w:t>vaccination status.</w:t>
      </w:r>
    </w:p>
    <w:p w14:paraId="012B596F" w14:textId="5D3273D2" w:rsidR="00C10314" w:rsidRPr="006F64A2" w:rsidRDefault="00C10314" w:rsidP="00DC69DA">
      <w:pPr>
        <w:rPr>
          <w:rFonts w:ascii="Times New Roman" w:hAnsi="Times New Roman" w:cs="Times New Roman"/>
          <w:i/>
          <w:iCs/>
          <w:color w:val="44546A" w:themeColor="text2"/>
          <w:sz w:val="18"/>
          <w:szCs w:val="18"/>
        </w:rPr>
      </w:pPr>
      <w:r w:rsidRPr="006F64A2">
        <w:rPr>
          <w:rFonts w:ascii="Times New Roman" w:hAnsi="Times New Roman" w:cs="Times New Roman"/>
          <w:i/>
          <w:iCs/>
          <w:color w:val="44546A" w:themeColor="text2"/>
          <w:sz w:val="18"/>
          <w:szCs w:val="18"/>
        </w:rPr>
        <w:t xml:space="preserve">Supplementary Figure 2: Directed acyclic graph indicating covariates and mediators on relationship between SARS-CoV-2 infection and </w:t>
      </w:r>
      <w:r w:rsidR="00F017A0" w:rsidRPr="006F64A2">
        <w:rPr>
          <w:rFonts w:ascii="Times New Roman" w:hAnsi="Times New Roman" w:cs="Times New Roman"/>
          <w:i/>
          <w:iCs/>
          <w:color w:val="44546A" w:themeColor="text2"/>
          <w:sz w:val="18"/>
          <w:szCs w:val="18"/>
        </w:rPr>
        <w:t xml:space="preserve">post-delivery intensive care unit </w:t>
      </w:r>
      <w:r w:rsidR="001D6676" w:rsidRPr="006F64A2">
        <w:rPr>
          <w:rFonts w:ascii="Times New Roman" w:hAnsi="Times New Roman" w:cs="Times New Roman"/>
          <w:i/>
          <w:iCs/>
          <w:color w:val="44546A" w:themeColor="text2"/>
          <w:sz w:val="18"/>
          <w:szCs w:val="18"/>
        </w:rPr>
        <w:t xml:space="preserve">(ICU) </w:t>
      </w:r>
      <w:r w:rsidRPr="006F64A2">
        <w:rPr>
          <w:rFonts w:ascii="Times New Roman" w:hAnsi="Times New Roman" w:cs="Times New Roman"/>
          <w:i/>
          <w:iCs/>
          <w:color w:val="44546A" w:themeColor="text2"/>
          <w:sz w:val="18"/>
          <w:szCs w:val="18"/>
        </w:rPr>
        <w:t>admission</w:t>
      </w:r>
      <w:r w:rsidR="00170EDE" w:rsidRPr="006F64A2">
        <w:rPr>
          <w:rFonts w:ascii="Times New Roman" w:hAnsi="Times New Roman" w:cs="Times New Roman"/>
          <w:noProof/>
        </w:rPr>
        <w:t xml:space="preserve"> </w:t>
      </w:r>
      <w:r w:rsidR="00170EDE" w:rsidRPr="006F64A2">
        <w:rPr>
          <w:rFonts w:ascii="Times New Roman" w:hAnsi="Times New Roman" w:cs="Times New Roman"/>
          <w:noProof/>
        </w:rPr>
        <w:drawing>
          <wp:inline distT="0" distB="0" distL="0" distR="0" wp14:anchorId="2BBBE122" wp14:editId="61B8A825">
            <wp:extent cx="3864423" cy="26479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4423" cy="2647950"/>
                    </a:xfrm>
                    <a:prstGeom prst="rect">
                      <a:avLst/>
                    </a:prstGeom>
                    <a:noFill/>
                    <a:ln>
                      <a:noFill/>
                    </a:ln>
                  </pic:spPr>
                </pic:pic>
              </a:graphicData>
            </a:graphic>
          </wp:inline>
        </w:drawing>
      </w:r>
    </w:p>
    <w:p w14:paraId="7712B5A9" w14:textId="6BD1AFB4" w:rsidR="00C10314" w:rsidRPr="006F64A2" w:rsidRDefault="00C10314" w:rsidP="00DC69DA">
      <w:pPr>
        <w:rPr>
          <w:rFonts w:ascii="Times New Roman" w:hAnsi="Times New Roman" w:cs="Times New Roman"/>
        </w:rPr>
      </w:pPr>
      <w:r w:rsidRPr="006F64A2">
        <w:rPr>
          <w:rFonts w:ascii="Times New Roman" w:hAnsi="Times New Roman" w:cs="Times New Roman"/>
        </w:rPr>
        <w:lastRenderedPageBreak/>
        <w:t xml:space="preserve">Assumptions for the causal effect of </w:t>
      </w:r>
      <w:r w:rsidR="001D6676" w:rsidRPr="006F64A2">
        <w:rPr>
          <w:rFonts w:ascii="Times New Roman" w:hAnsi="Times New Roman" w:cs="Times New Roman"/>
        </w:rPr>
        <w:t>SARS-CoV-2</w:t>
      </w:r>
      <w:r w:rsidRPr="006F64A2">
        <w:rPr>
          <w:rFonts w:ascii="Times New Roman" w:hAnsi="Times New Roman" w:cs="Times New Roman"/>
        </w:rPr>
        <w:t xml:space="preserve"> infection on CS delivery is presented in the DAG </w:t>
      </w:r>
      <w:r w:rsidR="00F017A0" w:rsidRPr="006F64A2">
        <w:rPr>
          <w:rFonts w:ascii="Times New Roman" w:hAnsi="Times New Roman" w:cs="Times New Roman"/>
        </w:rPr>
        <w:t xml:space="preserve">in </w:t>
      </w:r>
      <w:r w:rsidRPr="006F64A2">
        <w:rPr>
          <w:rFonts w:ascii="Times New Roman" w:hAnsi="Times New Roman" w:cs="Times New Roman"/>
        </w:rPr>
        <w:t xml:space="preserve">supplementary figure 3. After elaborating assumptions, the minimal sufficient set of variables to include in the models to control </w:t>
      </w:r>
      <w:r w:rsidR="00F017A0" w:rsidRPr="006F64A2">
        <w:rPr>
          <w:rFonts w:ascii="Times New Roman" w:hAnsi="Times New Roman" w:cs="Times New Roman"/>
        </w:rPr>
        <w:t xml:space="preserve">for </w:t>
      </w:r>
      <w:r w:rsidRPr="006F64A2">
        <w:rPr>
          <w:rFonts w:ascii="Times New Roman" w:hAnsi="Times New Roman" w:cs="Times New Roman"/>
        </w:rPr>
        <w:t xml:space="preserve">confounding and estimate the total effect of </w:t>
      </w:r>
      <w:r w:rsidR="001D6676" w:rsidRPr="006F64A2">
        <w:rPr>
          <w:rFonts w:ascii="Times New Roman" w:hAnsi="Times New Roman" w:cs="Times New Roman"/>
        </w:rPr>
        <w:t xml:space="preserve">SARS-CoV-2 </w:t>
      </w:r>
      <w:r w:rsidRPr="006F64A2">
        <w:rPr>
          <w:rFonts w:ascii="Times New Roman" w:hAnsi="Times New Roman" w:cs="Times New Roman"/>
        </w:rPr>
        <w:t>infection on CS includes age, education, parity, BMI at first ANC visit, gestational diabetes and COVID</w:t>
      </w:r>
      <w:r w:rsidR="00F017A0" w:rsidRPr="006F64A2">
        <w:rPr>
          <w:rFonts w:ascii="Times New Roman" w:hAnsi="Times New Roman" w:cs="Times New Roman"/>
        </w:rPr>
        <w:t xml:space="preserve">-19 </w:t>
      </w:r>
      <w:r w:rsidRPr="006F64A2">
        <w:rPr>
          <w:rFonts w:ascii="Times New Roman" w:hAnsi="Times New Roman" w:cs="Times New Roman"/>
        </w:rPr>
        <w:t>vaccination status [14].</w:t>
      </w:r>
    </w:p>
    <w:p w14:paraId="016B0698" w14:textId="652EDA1F" w:rsidR="00C10314" w:rsidRPr="006F64A2" w:rsidRDefault="00C10314" w:rsidP="00DC69DA">
      <w:pPr>
        <w:pStyle w:val="Caption"/>
        <w:keepNext/>
        <w:rPr>
          <w:rFonts w:ascii="Times New Roman" w:hAnsi="Times New Roman" w:cs="Times New Roman"/>
        </w:rPr>
      </w:pPr>
      <w:r w:rsidRPr="006F64A2">
        <w:rPr>
          <w:rFonts w:ascii="Times New Roman" w:hAnsi="Times New Roman" w:cs="Times New Roman"/>
        </w:rPr>
        <w:t xml:space="preserve">Supplementary Figure 3: Directed acyclic graph indicating covariates and mediators on relationship between SARS-COV-2 infection and </w:t>
      </w:r>
      <w:r w:rsidR="001D6676" w:rsidRPr="006F64A2">
        <w:rPr>
          <w:rFonts w:ascii="Times New Roman" w:hAnsi="Times New Roman" w:cs="Times New Roman"/>
        </w:rPr>
        <w:t>caesarean section (</w:t>
      </w:r>
      <w:r w:rsidRPr="006F64A2">
        <w:rPr>
          <w:rFonts w:ascii="Times New Roman" w:hAnsi="Times New Roman" w:cs="Times New Roman"/>
        </w:rPr>
        <w:t>CS</w:t>
      </w:r>
      <w:r w:rsidR="001D6676" w:rsidRPr="006F64A2">
        <w:rPr>
          <w:rFonts w:ascii="Times New Roman" w:hAnsi="Times New Roman" w:cs="Times New Roman"/>
        </w:rPr>
        <w:t>)</w:t>
      </w:r>
      <w:r w:rsidRPr="006F64A2">
        <w:rPr>
          <w:rFonts w:ascii="Times New Roman" w:hAnsi="Times New Roman" w:cs="Times New Roman"/>
        </w:rPr>
        <w:t xml:space="preserve"> delivery</w:t>
      </w:r>
    </w:p>
    <w:p w14:paraId="01E8B2F7" w14:textId="34C145E8" w:rsidR="00C10314" w:rsidRPr="006F64A2" w:rsidRDefault="00170EDE" w:rsidP="00DC69DA">
      <w:pPr>
        <w:rPr>
          <w:rFonts w:ascii="Times New Roman" w:hAnsi="Times New Roman" w:cs="Times New Roman"/>
        </w:rPr>
      </w:pPr>
      <w:r w:rsidRPr="006F64A2">
        <w:rPr>
          <w:rFonts w:ascii="Times New Roman" w:hAnsi="Times New Roman" w:cs="Times New Roman"/>
          <w:noProof/>
        </w:rPr>
        <w:drawing>
          <wp:inline distT="0" distB="0" distL="0" distR="0" wp14:anchorId="75A3AEE4" wp14:editId="23796A53">
            <wp:extent cx="3993366" cy="28384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3366" cy="2838450"/>
                    </a:xfrm>
                    <a:prstGeom prst="rect">
                      <a:avLst/>
                    </a:prstGeom>
                    <a:noFill/>
                    <a:ln>
                      <a:noFill/>
                    </a:ln>
                  </pic:spPr>
                </pic:pic>
              </a:graphicData>
            </a:graphic>
          </wp:inline>
        </w:drawing>
      </w:r>
    </w:p>
    <w:p w14:paraId="030DD058" w14:textId="7F27D62F" w:rsidR="00C10314" w:rsidRPr="006F64A2" w:rsidRDefault="00C10314" w:rsidP="00DC69DA">
      <w:pPr>
        <w:rPr>
          <w:rFonts w:ascii="Times New Roman" w:hAnsi="Times New Roman" w:cs="Times New Roman"/>
        </w:rPr>
      </w:pPr>
      <w:r w:rsidRPr="006F64A2">
        <w:rPr>
          <w:rFonts w:ascii="Times New Roman" w:hAnsi="Times New Roman" w:cs="Times New Roman"/>
        </w:rPr>
        <w:t xml:space="preserve">References: </w:t>
      </w:r>
    </w:p>
    <w:p w14:paraId="43FE7ED5"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1.</w:t>
      </w:r>
      <w:r w:rsidRPr="006F64A2">
        <w:rPr>
          <w:rFonts w:ascii="Times New Roman" w:hAnsi="Times New Roman" w:cs="Times New Roman"/>
          <w:noProof w:val="0"/>
        </w:rPr>
        <w:tab/>
        <w:t>Tennant PWG. Use of directed acyclic graphs (DAGs) to identify confounders in applied health research: review and recommendations. International Journal of Epidemiology. 2020;50(2):620-32. doi:</w:t>
      </w:r>
      <w:r w:rsidRPr="006F64A2">
        <w:rPr>
          <w:rStyle w:val="Hyperlink"/>
          <w:rFonts w:ascii="Times New Roman" w:hAnsi="Times New Roman" w:cs="Times New Roman"/>
          <w:noProof w:val="0"/>
        </w:rPr>
        <w:t>10.1093/</w:t>
      </w:r>
      <w:proofErr w:type="spellStart"/>
      <w:r w:rsidRPr="006F64A2">
        <w:rPr>
          <w:rStyle w:val="Hyperlink"/>
          <w:rFonts w:ascii="Times New Roman" w:hAnsi="Times New Roman" w:cs="Times New Roman"/>
          <w:noProof w:val="0"/>
        </w:rPr>
        <w:t>ije</w:t>
      </w:r>
      <w:proofErr w:type="spellEnd"/>
      <w:r w:rsidRPr="006F64A2">
        <w:rPr>
          <w:rStyle w:val="Hyperlink"/>
          <w:rFonts w:ascii="Times New Roman" w:hAnsi="Times New Roman" w:cs="Times New Roman"/>
          <w:noProof w:val="0"/>
        </w:rPr>
        <w:t>/dyaa213</w:t>
      </w:r>
      <w:r w:rsidRPr="006F64A2">
        <w:rPr>
          <w:rFonts w:ascii="Times New Roman" w:hAnsi="Times New Roman" w:cs="Times New Roman"/>
          <w:noProof w:val="0"/>
        </w:rPr>
        <w:t xml:space="preserve">  </w:t>
      </w:r>
    </w:p>
    <w:p w14:paraId="15549A6F" w14:textId="5003F174"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2.</w:t>
      </w:r>
      <w:r w:rsidRPr="006F64A2">
        <w:rPr>
          <w:rFonts w:ascii="Times New Roman" w:hAnsi="Times New Roman" w:cs="Times New Roman"/>
          <w:noProof w:val="0"/>
        </w:rPr>
        <w:tab/>
        <w:t xml:space="preserve">Villar J. Maternal and Neonatal Morbidity and Mortality Among Pregnant Women </w:t>
      </w:r>
      <w:r w:rsidR="006F64A2">
        <w:rPr>
          <w:rFonts w:ascii="Times New Roman" w:hAnsi="Times New Roman" w:cs="Times New Roman"/>
          <w:noProof w:val="0"/>
        </w:rPr>
        <w:t>w</w:t>
      </w:r>
      <w:r w:rsidRPr="006F64A2">
        <w:rPr>
          <w:rFonts w:ascii="Times New Roman" w:hAnsi="Times New Roman" w:cs="Times New Roman"/>
          <w:noProof w:val="0"/>
        </w:rPr>
        <w:t xml:space="preserve">ith and Without COVID-19 Infection. The INTERCOVID Multinational Cohort Study. JAMA Pediatrics. 2021;175(8):817-26. </w:t>
      </w:r>
      <w:proofErr w:type="spellStart"/>
      <w:r w:rsidRPr="006F64A2">
        <w:rPr>
          <w:rFonts w:ascii="Times New Roman" w:hAnsi="Times New Roman" w:cs="Times New Roman"/>
          <w:noProof w:val="0"/>
        </w:rPr>
        <w:t>doi:</w:t>
      </w:r>
      <w:r w:rsidRPr="006F64A2">
        <w:rPr>
          <w:rStyle w:val="Hyperlink"/>
          <w:rFonts w:ascii="Times New Roman" w:hAnsi="Times New Roman" w:cs="Times New Roman"/>
          <w:noProof w:val="0"/>
        </w:rPr>
        <w:t>https</w:t>
      </w:r>
      <w:proofErr w:type="spellEnd"/>
      <w:r w:rsidRPr="006F64A2">
        <w:rPr>
          <w:rStyle w:val="Hyperlink"/>
          <w:rFonts w:ascii="Times New Roman" w:hAnsi="Times New Roman" w:cs="Times New Roman"/>
          <w:noProof w:val="0"/>
        </w:rPr>
        <w:t>://doi.org/10.1001/jamapediatrics.2021.1050</w:t>
      </w:r>
    </w:p>
    <w:p w14:paraId="69B551C3" w14:textId="7E48479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3.</w:t>
      </w:r>
      <w:r w:rsidRPr="006F64A2">
        <w:rPr>
          <w:rFonts w:ascii="Times New Roman" w:hAnsi="Times New Roman" w:cs="Times New Roman"/>
          <w:noProof w:val="0"/>
        </w:rPr>
        <w:tab/>
        <w:t xml:space="preserve">Metz TD. Association of SARS-CoV-2 Infection </w:t>
      </w:r>
      <w:r w:rsidR="006F64A2">
        <w:rPr>
          <w:rFonts w:ascii="Times New Roman" w:hAnsi="Times New Roman" w:cs="Times New Roman"/>
          <w:noProof w:val="0"/>
        </w:rPr>
        <w:t>w</w:t>
      </w:r>
      <w:r w:rsidRPr="006F64A2">
        <w:rPr>
          <w:rFonts w:ascii="Times New Roman" w:hAnsi="Times New Roman" w:cs="Times New Roman"/>
          <w:noProof w:val="0"/>
        </w:rPr>
        <w:t xml:space="preserve">ith Serious Maternal Morbidity and Mortality From Obstetric Complications. American Medical Association (JAMA). 2022. </w:t>
      </w:r>
      <w:proofErr w:type="spellStart"/>
      <w:r w:rsidRPr="006F64A2">
        <w:rPr>
          <w:rFonts w:ascii="Times New Roman" w:hAnsi="Times New Roman" w:cs="Times New Roman"/>
          <w:noProof w:val="0"/>
        </w:rPr>
        <w:t>doi:</w:t>
      </w:r>
      <w:r w:rsidRPr="006F64A2">
        <w:rPr>
          <w:rStyle w:val="Hyperlink"/>
          <w:rFonts w:ascii="Times New Roman" w:hAnsi="Times New Roman" w:cs="Times New Roman"/>
          <w:noProof w:val="0"/>
        </w:rPr>
        <w:t>https</w:t>
      </w:r>
      <w:proofErr w:type="spellEnd"/>
      <w:r w:rsidRPr="006F64A2">
        <w:rPr>
          <w:rStyle w:val="Hyperlink"/>
          <w:rFonts w:ascii="Times New Roman" w:hAnsi="Times New Roman" w:cs="Times New Roman"/>
          <w:noProof w:val="0"/>
        </w:rPr>
        <w:t>://doi.org/10.1001/jama.2022.1190</w:t>
      </w:r>
    </w:p>
    <w:p w14:paraId="6C0EA3F1" w14:textId="3EDD3881"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4.</w:t>
      </w:r>
      <w:r w:rsidRPr="006F64A2">
        <w:rPr>
          <w:rFonts w:ascii="Times New Roman" w:hAnsi="Times New Roman" w:cs="Times New Roman"/>
          <w:noProof w:val="0"/>
        </w:rPr>
        <w:tab/>
      </w:r>
      <w:proofErr w:type="spellStart"/>
      <w:r w:rsidRPr="006F64A2">
        <w:rPr>
          <w:rFonts w:ascii="Times New Roman" w:hAnsi="Times New Roman" w:cs="Times New Roman"/>
          <w:noProof w:val="0"/>
        </w:rPr>
        <w:t>Tenforde</w:t>
      </w:r>
      <w:proofErr w:type="spellEnd"/>
      <w:r w:rsidRPr="006F64A2">
        <w:rPr>
          <w:rFonts w:ascii="Times New Roman" w:hAnsi="Times New Roman" w:cs="Times New Roman"/>
          <w:noProof w:val="0"/>
        </w:rPr>
        <w:t xml:space="preserve"> MW. Long-term Protection Associated </w:t>
      </w:r>
      <w:r w:rsidR="006F64A2">
        <w:rPr>
          <w:rFonts w:ascii="Times New Roman" w:hAnsi="Times New Roman" w:cs="Times New Roman"/>
          <w:noProof w:val="0"/>
        </w:rPr>
        <w:t>w</w:t>
      </w:r>
      <w:r w:rsidRPr="006F64A2">
        <w:rPr>
          <w:rFonts w:ascii="Times New Roman" w:hAnsi="Times New Roman" w:cs="Times New Roman"/>
          <w:noProof w:val="0"/>
        </w:rPr>
        <w:t>ith COVID-19 Vaccination and Prior Infection. JAMA. 2022;328(14):1402-4. doi:</w:t>
      </w:r>
      <w:r w:rsidRPr="006F64A2">
        <w:rPr>
          <w:rStyle w:val="Hyperlink"/>
          <w:rFonts w:ascii="Times New Roman" w:hAnsi="Times New Roman" w:cs="Times New Roman"/>
          <w:noProof w:val="0"/>
        </w:rPr>
        <w:t>10.1001/jama.2022.14660</w:t>
      </w:r>
    </w:p>
    <w:p w14:paraId="08B4494B"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5.</w:t>
      </w:r>
      <w:r w:rsidRPr="006F64A2">
        <w:rPr>
          <w:rFonts w:ascii="Times New Roman" w:hAnsi="Times New Roman" w:cs="Times New Roman"/>
          <w:noProof w:val="0"/>
        </w:rPr>
        <w:tab/>
        <w:t xml:space="preserve">Watanabe A. Peripartum Outcomes Associated With COVID-19 Vaccination During Pregnancy. American Medical Association (JAMA). 2022. </w:t>
      </w:r>
      <w:proofErr w:type="spellStart"/>
      <w:r w:rsidRPr="006F64A2">
        <w:rPr>
          <w:rFonts w:ascii="Times New Roman" w:hAnsi="Times New Roman" w:cs="Times New Roman"/>
          <w:noProof w:val="0"/>
        </w:rPr>
        <w:t>doi:</w:t>
      </w:r>
      <w:r w:rsidRPr="006F64A2">
        <w:rPr>
          <w:rStyle w:val="Hyperlink"/>
          <w:rFonts w:ascii="Times New Roman" w:hAnsi="Times New Roman" w:cs="Times New Roman"/>
          <w:noProof w:val="0"/>
        </w:rPr>
        <w:t>https</w:t>
      </w:r>
      <w:proofErr w:type="spellEnd"/>
      <w:r w:rsidRPr="006F64A2">
        <w:rPr>
          <w:rStyle w:val="Hyperlink"/>
          <w:rFonts w:ascii="Times New Roman" w:hAnsi="Times New Roman" w:cs="Times New Roman"/>
          <w:noProof w:val="0"/>
        </w:rPr>
        <w:t>://doi.org/10.1001/jamapediatrics.2022.3456</w:t>
      </w:r>
    </w:p>
    <w:p w14:paraId="076C75BA"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6.</w:t>
      </w:r>
      <w:r w:rsidRPr="006F64A2">
        <w:rPr>
          <w:rFonts w:ascii="Times New Roman" w:hAnsi="Times New Roman" w:cs="Times New Roman"/>
          <w:noProof w:val="0"/>
        </w:rPr>
        <w:tab/>
      </w:r>
      <w:proofErr w:type="spellStart"/>
      <w:r w:rsidRPr="006F64A2">
        <w:rPr>
          <w:rFonts w:ascii="Times New Roman" w:hAnsi="Times New Roman" w:cs="Times New Roman"/>
          <w:noProof w:val="0"/>
        </w:rPr>
        <w:t>Admon</w:t>
      </w:r>
      <w:proofErr w:type="spellEnd"/>
      <w:r w:rsidRPr="006F64A2">
        <w:rPr>
          <w:rFonts w:ascii="Times New Roman" w:hAnsi="Times New Roman" w:cs="Times New Roman"/>
          <w:noProof w:val="0"/>
        </w:rPr>
        <w:t xml:space="preserve"> AJ. Consensus elements for observational research on COVID-19-related long-term outcomes. Medicine. 2022;101(46). doi:</w:t>
      </w:r>
      <w:r w:rsidRPr="006F64A2">
        <w:rPr>
          <w:rStyle w:val="Hyperlink"/>
          <w:rFonts w:ascii="Times New Roman" w:hAnsi="Times New Roman" w:cs="Times New Roman"/>
          <w:noProof w:val="0"/>
        </w:rPr>
        <w:t xml:space="preserve">10.1097/MD.0000000000031248 </w:t>
      </w:r>
    </w:p>
    <w:p w14:paraId="66ED0BE0"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7.</w:t>
      </w:r>
      <w:r w:rsidRPr="006F64A2">
        <w:rPr>
          <w:rFonts w:ascii="Times New Roman" w:hAnsi="Times New Roman" w:cs="Times New Roman"/>
          <w:noProof w:val="0"/>
        </w:rPr>
        <w:tab/>
        <w:t xml:space="preserve">Anderson MR. Body Mass Index and Risk for Intubation or Death in SARS-CoV-2 Infection - A Retrospective Cohort Study. Annals of Internal Medicine. 2020. </w:t>
      </w:r>
      <w:proofErr w:type="spellStart"/>
      <w:r w:rsidRPr="006F64A2">
        <w:rPr>
          <w:rFonts w:ascii="Times New Roman" w:hAnsi="Times New Roman" w:cs="Times New Roman"/>
          <w:noProof w:val="0"/>
        </w:rPr>
        <w:t>doi:</w:t>
      </w:r>
      <w:r w:rsidRPr="006F64A2">
        <w:rPr>
          <w:rStyle w:val="Hyperlink"/>
          <w:rFonts w:ascii="Times New Roman" w:hAnsi="Times New Roman" w:cs="Times New Roman"/>
          <w:noProof w:val="0"/>
        </w:rPr>
        <w:t>https</w:t>
      </w:r>
      <w:proofErr w:type="spellEnd"/>
      <w:r w:rsidRPr="006F64A2">
        <w:rPr>
          <w:rStyle w:val="Hyperlink"/>
          <w:rFonts w:ascii="Times New Roman" w:hAnsi="Times New Roman" w:cs="Times New Roman"/>
          <w:noProof w:val="0"/>
        </w:rPr>
        <w:t>://doi.org/10.7326/M20-3214</w:t>
      </w:r>
    </w:p>
    <w:p w14:paraId="2EED9021"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8.</w:t>
      </w:r>
      <w:r w:rsidRPr="006F64A2">
        <w:rPr>
          <w:rFonts w:ascii="Times New Roman" w:hAnsi="Times New Roman" w:cs="Times New Roman"/>
          <w:noProof w:val="0"/>
        </w:rPr>
        <w:tab/>
      </w:r>
      <w:proofErr w:type="spellStart"/>
      <w:r w:rsidRPr="006F64A2">
        <w:rPr>
          <w:rFonts w:ascii="Times New Roman" w:hAnsi="Times New Roman" w:cs="Times New Roman"/>
          <w:noProof w:val="0"/>
        </w:rPr>
        <w:t>Kompaniyets</w:t>
      </w:r>
      <w:proofErr w:type="spellEnd"/>
      <w:r w:rsidRPr="006F64A2">
        <w:rPr>
          <w:rFonts w:ascii="Times New Roman" w:hAnsi="Times New Roman" w:cs="Times New Roman"/>
          <w:noProof w:val="0"/>
        </w:rPr>
        <w:t xml:space="preserve"> L. Body Mass Index and Risk for COVID-19–Related Hospitalization, Intensive Care Unit Admission, Invasive Mechanical Ventilation, and Death — United States, March–December 2020. MMWR </w:t>
      </w:r>
      <w:proofErr w:type="spellStart"/>
      <w:r w:rsidRPr="006F64A2">
        <w:rPr>
          <w:rFonts w:ascii="Times New Roman" w:hAnsi="Times New Roman" w:cs="Times New Roman"/>
          <w:noProof w:val="0"/>
        </w:rPr>
        <w:t>Morb</w:t>
      </w:r>
      <w:proofErr w:type="spellEnd"/>
      <w:r w:rsidRPr="006F64A2">
        <w:rPr>
          <w:rFonts w:ascii="Times New Roman" w:hAnsi="Times New Roman" w:cs="Times New Roman"/>
          <w:noProof w:val="0"/>
        </w:rPr>
        <w:t xml:space="preserve"> Mortal </w:t>
      </w:r>
      <w:proofErr w:type="spellStart"/>
      <w:r w:rsidRPr="006F64A2">
        <w:rPr>
          <w:rFonts w:ascii="Times New Roman" w:hAnsi="Times New Roman" w:cs="Times New Roman"/>
          <w:noProof w:val="0"/>
        </w:rPr>
        <w:t>Wkly</w:t>
      </w:r>
      <w:proofErr w:type="spellEnd"/>
      <w:r w:rsidRPr="006F64A2">
        <w:rPr>
          <w:rFonts w:ascii="Times New Roman" w:hAnsi="Times New Roman" w:cs="Times New Roman"/>
          <w:noProof w:val="0"/>
        </w:rPr>
        <w:t xml:space="preserve"> Rep. 2021. </w:t>
      </w:r>
      <w:proofErr w:type="spellStart"/>
      <w:r w:rsidRPr="006F64A2">
        <w:rPr>
          <w:rFonts w:ascii="Times New Roman" w:hAnsi="Times New Roman" w:cs="Times New Roman"/>
          <w:noProof w:val="0"/>
        </w:rPr>
        <w:t>doi:</w:t>
      </w:r>
      <w:r w:rsidRPr="006F64A2">
        <w:rPr>
          <w:rStyle w:val="Hyperlink"/>
          <w:rFonts w:ascii="Times New Roman" w:hAnsi="Times New Roman" w:cs="Times New Roman"/>
          <w:noProof w:val="0"/>
        </w:rPr>
        <w:t>http</w:t>
      </w:r>
      <w:proofErr w:type="spellEnd"/>
      <w:r w:rsidRPr="006F64A2">
        <w:rPr>
          <w:rStyle w:val="Hyperlink"/>
          <w:rFonts w:ascii="Times New Roman" w:hAnsi="Times New Roman" w:cs="Times New Roman"/>
          <w:noProof w:val="0"/>
        </w:rPr>
        <w:t>://dx.doi.org/10.15585/mmwr.mm7010e4</w:t>
      </w:r>
    </w:p>
    <w:p w14:paraId="6ABF1036"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9.</w:t>
      </w:r>
      <w:r w:rsidRPr="006F64A2">
        <w:rPr>
          <w:rFonts w:ascii="Times New Roman" w:hAnsi="Times New Roman" w:cs="Times New Roman"/>
          <w:noProof w:val="0"/>
        </w:rPr>
        <w:tab/>
        <w:t xml:space="preserve">Sawadogo W. Overweight and obesity as risk factors for COVID-19-associated </w:t>
      </w:r>
      <w:proofErr w:type="spellStart"/>
      <w:r w:rsidRPr="006F64A2">
        <w:rPr>
          <w:rFonts w:ascii="Times New Roman" w:hAnsi="Times New Roman" w:cs="Times New Roman"/>
          <w:noProof w:val="0"/>
        </w:rPr>
        <w:t>hospitalisations</w:t>
      </w:r>
      <w:proofErr w:type="spellEnd"/>
      <w:r w:rsidRPr="006F64A2">
        <w:rPr>
          <w:rFonts w:ascii="Times New Roman" w:hAnsi="Times New Roman" w:cs="Times New Roman"/>
          <w:noProof w:val="0"/>
        </w:rPr>
        <w:t xml:space="preserve"> and death: systematic review and meta-</w:t>
      </w:r>
      <w:proofErr w:type="spellStart"/>
      <w:r w:rsidRPr="006F64A2">
        <w:rPr>
          <w:rFonts w:ascii="Times New Roman" w:hAnsi="Times New Roman" w:cs="Times New Roman"/>
          <w:noProof w:val="0"/>
        </w:rPr>
        <w:t>analys</w:t>
      </w:r>
      <w:proofErr w:type="spellEnd"/>
      <w:r w:rsidRPr="006F64A2">
        <w:rPr>
          <w:rFonts w:ascii="Times New Roman" w:hAnsi="Times New Roman" w:cs="Times New Roman"/>
          <w:noProof w:val="0"/>
        </w:rPr>
        <w:t xml:space="preserve">. BMJ </w:t>
      </w:r>
      <w:proofErr w:type="spellStart"/>
      <w:r w:rsidRPr="006F64A2">
        <w:rPr>
          <w:rFonts w:ascii="Times New Roman" w:hAnsi="Times New Roman" w:cs="Times New Roman"/>
          <w:noProof w:val="0"/>
        </w:rPr>
        <w:t>Nutr</w:t>
      </w:r>
      <w:proofErr w:type="spellEnd"/>
      <w:r w:rsidRPr="006F64A2">
        <w:rPr>
          <w:rFonts w:ascii="Times New Roman" w:hAnsi="Times New Roman" w:cs="Times New Roman"/>
          <w:noProof w:val="0"/>
        </w:rPr>
        <w:t xml:space="preserve"> </w:t>
      </w:r>
      <w:proofErr w:type="spellStart"/>
      <w:r w:rsidRPr="006F64A2">
        <w:rPr>
          <w:rFonts w:ascii="Times New Roman" w:hAnsi="Times New Roman" w:cs="Times New Roman"/>
          <w:noProof w:val="0"/>
        </w:rPr>
        <w:t>Prev</w:t>
      </w:r>
      <w:proofErr w:type="spellEnd"/>
      <w:r w:rsidRPr="006F64A2">
        <w:rPr>
          <w:rFonts w:ascii="Times New Roman" w:hAnsi="Times New Roman" w:cs="Times New Roman"/>
          <w:noProof w:val="0"/>
        </w:rPr>
        <w:t xml:space="preserve"> Health. 2022. doi:</w:t>
      </w:r>
      <w:r w:rsidRPr="006F64A2">
        <w:rPr>
          <w:rStyle w:val="Hyperlink"/>
          <w:rFonts w:ascii="Times New Roman" w:hAnsi="Times New Roman" w:cs="Times New Roman"/>
          <w:noProof w:val="0"/>
        </w:rPr>
        <w:t>10.1136/bmjnph-2021-000375</w:t>
      </w:r>
    </w:p>
    <w:p w14:paraId="3EDDD9BC" w14:textId="77777777" w:rsidR="00C10314" w:rsidRPr="006F64A2" w:rsidRDefault="00C10314" w:rsidP="00DC69DA">
      <w:pPr>
        <w:pStyle w:val="EndNoteBibliography"/>
        <w:spacing w:after="0"/>
        <w:rPr>
          <w:rStyle w:val="Hyperlink"/>
          <w:rFonts w:ascii="Times New Roman" w:hAnsi="Times New Roman" w:cs="Times New Roman"/>
          <w:noProof w:val="0"/>
        </w:rPr>
      </w:pPr>
      <w:r w:rsidRPr="006F64A2">
        <w:rPr>
          <w:rFonts w:ascii="Times New Roman" w:hAnsi="Times New Roman" w:cs="Times New Roman"/>
          <w:noProof w:val="0"/>
        </w:rPr>
        <w:t>10.</w:t>
      </w:r>
      <w:r w:rsidRPr="006F64A2">
        <w:rPr>
          <w:rFonts w:ascii="Times New Roman" w:hAnsi="Times New Roman" w:cs="Times New Roman"/>
          <w:noProof w:val="0"/>
        </w:rPr>
        <w:tab/>
      </w:r>
      <w:proofErr w:type="spellStart"/>
      <w:r w:rsidRPr="006F64A2">
        <w:rPr>
          <w:rFonts w:ascii="Times New Roman" w:hAnsi="Times New Roman" w:cs="Times New Roman"/>
          <w:noProof w:val="0"/>
        </w:rPr>
        <w:t>Radan</w:t>
      </w:r>
      <w:proofErr w:type="spellEnd"/>
      <w:r w:rsidRPr="006F64A2">
        <w:rPr>
          <w:rFonts w:ascii="Times New Roman" w:hAnsi="Times New Roman" w:cs="Times New Roman"/>
          <w:noProof w:val="0"/>
        </w:rPr>
        <w:t xml:space="preserve"> A. Gestational diabetes is associated with SARS-CoV-2 infection during pregnancy: A case-control study. Diabetes &amp; Metabolism. 2022;48(4). </w:t>
      </w:r>
      <w:proofErr w:type="spellStart"/>
      <w:r w:rsidRPr="006F64A2">
        <w:rPr>
          <w:rFonts w:ascii="Times New Roman" w:hAnsi="Times New Roman" w:cs="Times New Roman"/>
          <w:noProof w:val="0"/>
        </w:rPr>
        <w:t>doi:</w:t>
      </w:r>
      <w:r w:rsidRPr="006F64A2">
        <w:rPr>
          <w:rStyle w:val="Hyperlink"/>
          <w:rFonts w:ascii="Times New Roman" w:hAnsi="Times New Roman" w:cs="Times New Roman"/>
          <w:noProof w:val="0"/>
        </w:rPr>
        <w:t>https</w:t>
      </w:r>
      <w:proofErr w:type="spellEnd"/>
      <w:r w:rsidRPr="006F64A2">
        <w:rPr>
          <w:rStyle w:val="Hyperlink"/>
          <w:rFonts w:ascii="Times New Roman" w:hAnsi="Times New Roman" w:cs="Times New Roman"/>
          <w:noProof w:val="0"/>
        </w:rPr>
        <w:t>://doi.org/10.1016/j.diabet.2022.101351</w:t>
      </w:r>
    </w:p>
    <w:p w14:paraId="5FF6CD46" w14:textId="77777777" w:rsidR="00C10314" w:rsidRPr="006F64A2" w:rsidRDefault="00C10314" w:rsidP="00DC69DA">
      <w:pPr>
        <w:pStyle w:val="EndNoteBibliography"/>
        <w:spacing w:after="0"/>
        <w:rPr>
          <w:rStyle w:val="Hyperlink"/>
          <w:rFonts w:ascii="Times New Roman" w:hAnsi="Times New Roman" w:cs="Times New Roman"/>
          <w:noProof w:val="0"/>
        </w:rPr>
      </w:pPr>
      <w:r w:rsidRPr="006F64A2">
        <w:rPr>
          <w:rFonts w:ascii="Times New Roman" w:hAnsi="Times New Roman" w:cs="Times New Roman"/>
          <w:noProof w:val="0"/>
        </w:rPr>
        <w:t>11.</w:t>
      </w:r>
      <w:r w:rsidRPr="006F64A2">
        <w:rPr>
          <w:rFonts w:ascii="Times New Roman" w:hAnsi="Times New Roman" w:cs="Times New Roman"/>
          <w:noProof w:val="0"/>
        </w:rPr>
        <w:tab/>
      </w:r>
      <w:proofErr w:type="spellStart"/>
      <w:r w:rsidRPr="006F64A2">
        <w:rPr>
          <w:rFonts w:ascii="Times New Roman" w:hAnsi="Times New Roman" w:cs="Times New Roman"/>
          <w:noProof w:val="0"/>
        </w:rPr>
        <w:t>Tasew</w:t>
      </w:r>
      <w:proofErr w:type="spellEnd"/>
      <w:r w:rsidRPr="006F64A2">
        <w:rPr>
          <w:rFonts w:ascii="Times New Roman" w:hAnsi="Times New Roman" w:cs="Times New Roman"/>
          <w:noProof w:val="0"/>
        </w:rPr>
        <w:t xml:space="preserve"> A. Obstetrics mortality and associated factors in intensive care unit of Addis Ababa public hospital in, 2020/21: A hospital based case control study. Ann Med Surg (</w:t>
      </w:r>
      <w:proofErr w:type="spellStart"/>
      <w:r w:rsidRPr="006F64A2">
        <w:rPr>
          <w:rFonts w:ascii="Times New Roman" w:hAnsi="Times New Roman" w:cs="Times New Roman"/>
          <w:noProof w:val="0"/>
        </w:rPr>
        <w:t>Lond</w:t>
      </w:r>
      <w:proofErr w:type="spellEnd"/>
      <w:r w:rsidRPr="006F64A2">
        <w:rPr>
          <w:rFonts w:ascii="Times New Roman" w:hAnsi="Times New Roman" w:cs="Times New Roman"/>
          <w:noProof w:val="0"/>
        </w:rPr>
        <w:t>). 2022. doi:</w:t>
      </w:r>
      <w:r w:rsidRPr="006F64A2">
        <w:rPr>
          <w:rStyle w:val="Hyperlink"/>
          <w:rFonts w:ascii="Times New Roman" w:hAnsi="Times New Roman" w:cs="Times New Roman"/>
          <w:noProof w:val="0"/>
        </w:rPr>
        <w:t>10.1016/j.amsu.2022.104458</w:t>
      </w:r>
    </w:p>
    <w:p w14:paraId="1A2DD751" w14:textId="77777777" w:rsidR="00C10314" w:rsidRPr="006F64A2" w:rsidRDefault="00C10314" w:rsidP="00DC69DA">
      <w:pPr>
        <w:pStyle w:val="EndNoteBibliography"/>
        <w:spacing w:after="0"/>
        <w:rPr>
          <w:rStyle w:val="Hyperlink"/>
          <w:rFonts w:ascii="Times New Roman" w:hAnsi="Times New Roman" w:cs="Times New Roman"/>
          <w:noProof w:val="0"/>
          <w:lang w:val="pt-BR"/>
        </w:rPr>
      </w:pPr>
      <w:r w:rsidRPr="006F64A2">
        <w:rPr>
          <w:rFonts w:ascii="Times New Roman" w:hAnsi="Times New Roman" w:cs="Times New Roman"/>
          <w:noProof w:val="0"/>
        </w:rPr>
        <w:t>12.</w:t>
      </w:r>
      <w:r w:rsidRPr="006F64A2">
        <w:rPr>
          <w:rFonts w:ascii="Times New Roman" w:hAnsi="Times New Roman" w:cs="Times New Roman"/>
          <w:noProof w:val="0"/>
        </w:rPr>
        <w:tab/>
        <w:t xml:space="preserve">de Amorim MMR. Risk factors for maternal death in patients with severe preeclampsia and eclampsia. </w:t>
      </w:r>
      <w:r w:rsidRPr="006F64A2">
        <w:rPr>
          <w:rFonts w:ascii="Times New Roman" w:hAnsi="Times New Roman" w:cs="Times New Roman"/>
          <w:noProof w:val="0"/>
          <w:lang w:val="pt-BR"/>
        </w:rPr>
        <w:t xml:space="preserve">Revista Brasileira de Saúde Materno Infantil 2001. doi: </w:t>
      </w:r>
      <w:r w:rsidRPr="006F64A2">
        <w:rPr>
          <w:rStyle w:val="Hyperlink"/>
          <w:rFonts w:ascii="Times New Roman" w:hAnsi="Times New Roman" w:cs="Times New Roman"/>
          <w:noProof w:val="0"/>
          <w:lang w:val="pt-BR"/>
        </w:rPr>
        <w:t xml:space="preserve">https://doi.org/10.1590/S1519-38292001000300004 </w:t>
      </w:r>
    </w:p>
    <w:p w14:paraId="6BA9EC94" w14:textId="77777777" w:rsidR="00C10314" w:rsidRPr="006F64A2" w:rsidRDefault="00C10314" w:rsidP="00DC69DA">
      <w:pPr>
        <w:pStyle w:val="EndNoteBibliography"/>
        <w:spacing w:after="0"/>
        <w:rPr>
          <w:rFonts w:ascii="Times New Roman" w:hAnsi="Times New Roman" w:cs="Times New Roman"/>
          <w:noProof w:val="0"/>
        </w:rPr>
      </w:pPr>
      <w:r w:rsidRPr="006F64A2">
        <w:rPr>
          <w:rFonts w:ascii="Times New Roman" w:hAnsi="Times New Roman" w:cs="Times New Roman"/>
          <w:noProof w:val="0"/>
        </w:rPr>
        <w:t>13.</w:t>
      </w:r>
      <w:r w:rsidRPr="006F64A2">
        <w:rPr>
          <w:rFonts w:ascii="Times New Roman" w:hAnsi="Times New Roman" w:cs="Times New Roman"/>
          <w:noProof w:val="0"/>
        </w:rPr>
        <w:tab/>
        <w:t>De Barros J. Factors associated with severe maternal outcomes in patients with eclampsia in an obstetric intensive care unit. A cohort study. Medicine. 2021;100(38). doi:</w:t>
      </w:r>
      <w:r w:rsidRPr="006F64A2">
        <w:rPr>
          <w:rStyle w:val="Hyperlink"/>
          <w:rFonts w:ascii="Times New Roman" w:hAnsi="Times New Roman" w:cs="Times New Roman"/>
          <w:noProof w:val="0"/>
        </w:rPr>
        <w:t>10.1097/MD.000000000002731</w:t>
      </w:r>
    </w:p>
    <w:p w14:paraId="30C610EA" w14:textId="77777777" w:rsidR="00F54A47" w:rsidRDefault="00C10314" w:rsidP="006F64A2">
      <w:pPr>
        <w:pStyle w:val="EndNoteBibliography"/>
        <w:spacing w:after="0"/>
        <w:rPr>
          <w:rStyle w:val="Hyperlink"/>
          <w:rFonts w:ascii="Times New Roman" w:hAnsi="Times New Roman" w:cs="Times New Roman"/>
          <w:noProof w:val="0"/>
        </w:rPr>
        <w:sectPr w:rsidR="00F54A47">
          <w:headerReference w:type="even" r:id="rId15"/>
          <w:headerReference w:type="default" r:id="rId16"/>
          <w:footerReference w:type="even" r:id="rId17"/>
          <w:footerReference w:type="default" r:id="rId18"/>
          <w:headerReference w:type="first" r:id="rId19"/>
          <w:footerReference w:type="first" r:id="rId20"/>
          <w:pgSz w:w="12240" w:h="15840"/>
          <w:pgMar w:top="1134" w:right="850" w:bottom="1134" w:left="1701" w:header="708" w:footer="708" w:gutter="0"/>
          <w:cols w:space="708"/>
          <w:docGrid w:linePitch="360"/>
        </w:sectPr>
      </w:pPr>
      <w:r w:rsidRPr="006F64A2">
        <w:rPr>
          <w:rFonts w:ascii="Times New Roman" w:hAnsi="Times New Roman" w:cs="Times New Roman"/>
          <w:noProof w:val="0"/>
        </w:rPr>
        <w:t>14.</w:t>
      </w:r>
      <w:r w:rsidRPr="006F64A2">
        <w:rPr>
          <w:rFonts w:ascii="Times New Roman" w:hAnsi="Times New Roman" w:cs="Times New Roman"/>
          <w:noProof w:val="0"/>
        </w:rPr>
        <w:tab/>
      </w:r>
      <w:proofErr w:type="spellStart"/>
      <w:r w:rsidRPr="006F64A2">
        <w:rPr>
          <w:rFonts w:ascii="Times New Roman" w:hAnsi="Times New Roman" w:cs="Times New Roman"/>
          <w:noProof w:val="0"/>
        </w:rPr>
        <w:t>Saccone</w:t>
      </w:r>
      <w:proofErr w:type="spellEnd"/>
      <w:r w:rsidRPr="006F64A2">
        <w:rPr>
          <w:rFonts w:ascii="Times New Roman" w:hAnsi="Times New Roman" w:cs="Times New Roman"/>
          <w:noProof w:val="0"/>
        </w:rPr>
        <w:t xml:space="preserve"> G. Maternal and perinatal complications according to maternal age: A systematic review and meta-analysis. Int J </w:t>
      </w:r>
      <w:proofErr w:type="spellStart"/>
      <w:r w:rsidRPr="006F64A2">
        <w:rPr>
          <w:rFonts w:ascii="Times New Roman" w:hAnsi="Times New Roman" w:cs="Times New Roman"/>
          <w:noProof w:val="0"/>
        </w:rPr>
        <w:t>Gynaecol</w:t>
      </w:r>
      <w:proofErr w:type="spellEnd"/>
      <w:r w:rsidRPr="006F64A2">
        <w:rPr>
          <w:rFonts w:ascii="Times New Roman" w:hAnsi="Times New Roman" w:cs="Times New Roman"/>
          <w:noProof w:val="0"/>
        </w:rPr>
        <w:t xml:space="preserve"> Obstet. 2022;159(1):43-55. doi:</w:t>
      </w:r>
      <w:r w:rsidRPr="006F64A2">
        <w:rPr>
          <w:rStyle w:val="Hyperlink"/>
          <w:rFonts w:ascii="Times New Roman" w:hAnsi="Times New Roman" w:cs="Times New Roman"/>
          <w:noProof w:val="0"/>
        </w:rPr>
        <w:t>10.1002/ijgo.14100</w:t>
      </w:r>
    </w:p>
    <w:p w14:paraId="6F493BD4" w14:textId="0881B774" w:rsidR="00F54A47" w:rsidRPr="006F64A2" w:rsidRDefault="0043498F" w:rsidP="00F54A47">
      <w:pPr>
        <w:pStyle w:val="Caption"/>
        <w:keepNext/>
        <w:rPr>
          <w:rFonts w:ascii="Times New Roman" w:hAnsi="Times New Roman" w:cs="Times New Roman"/>
        </w:rPr>
      </w:pPr>
      <w:r w:rsidRPr="006F64A2">
        <w:rPr>
          <w:rFonts w:ascii="Times New Roman" w:hAnsi="Times New Roman" w:cs="Times New Roman"/>
        </w:rPr>
        <w:lastRenderedPageBreak/>
        <w:t xml:space="preserve">Supplementary </w:t>
      </w:r>
      <w:r>
        <w:rPr>
          <w:rFonts w:ascii="Times New Roman" w:hAnsi="Times New Roman" w:cs="Times New Roman"/>
        </w:rPr>
        <w:t>Table 1</w:t>
      </w:r>
      <w:r w:rsidR="00F54A47" w:rsidRPr="006F64A2">
        <w:rPr>
          <w:rFonts w:ascii="Times New Roman" w:hAnsi="Times New Roman" w:cs="Times New Roman"/>
        </w:rPr>
        <w:t>. Crude and adjusted odds ratios (ORs) and 95% confidence intervals (CI) for the association between COVID-19 and maternal post-delivery intensive care unit (ICU) admission in women who survived pregnancy and 42 days after delivery and in women who survived and delivered vaginally</w:t>
      </w:r>
    </w:p>
    <w:tbl>
      <w:tblPr>
        <w:tblStyle w:val="TableGrid"/>
        <w:tblW w:w="10632" w:type="dxa"/>
        <w:tblInd w:w="-431" w:type="dxa"/>
        <w:tblLayout w:type="fixed"/>
        <w:tblLook w:val="04A0" w:firstRow="1" w:lastRow="0" w:firstColumn="1" w:lastColumn="0" w:noHBand="0" w:noVBand="1"/>
      </w:tblPr>
      <w:tblGrid>
        <w:gridCol w:w="1074"/>
        <w:gridCol w:w="717"/>
        <w:gridCol w:w="762"/>
        <w:gridCol w:w="978"/>
        <w:gridCol w:w="864"/>
        <w:gridCol w:w="706"/>
        <w:gridCol w:w="701"/>
        <w:gridCol w:w="741"/>
        <w:gridCol w:w="1396"/>
        <w:gridCol w:w="851"/>
        <w:gridCol w:w="850"/>
        <w:gridCol w:w="992"/>
      </w:tblGrid>
      <w:tr w:rsidR="00F54A47" w:rsidRPr="006F64A2" w14:paraId="6F1D365E" w14:textId="77777777" w:rsidTr="00311F34">
        <w:tc>
          <w:tcPr>
            <w:tcW w:w="1074" w:type="dxa"/>
          </w:tcPr>
          <w:p w14:paraId="67892082" w14:textId="77777777" w:rsidR="00F54A47" w:rsidRPr="006F64A2" w:rsidRDefault="00F54A47" w:rsidP="00311F34">
            <w:pPr>
              <w:rPr>
                <w:rFonts w:ascii="Times New Roman" w:hAnsi="Times New Roman" w:cs="Times New Roman"/>
                <w:lang w:val="en-US"/>
              </w:rPr>
            </w:pPr>
          </w:p>
        </w:tc>
        <w:tc>
          <w:tcPr>
            <w:tcW w:w="3321" w:type="dxa"/>
            <w:gridSpan w:val="4"/>
          </w:tcPr>
          <w:p w14:paraId="12B11C08" w14:textId="77777777" w:rsidR="00F54A47" w:rsidRPr="006F64A2" w:rsidRDefault="00F54A47" w:rsidP="00311F34">
            <w:pPr>
              <w:jc w:val="center"/>
              <w:rPr>
                <w:rFonts w:ascii="Times New Roman" w:hAnsi="Times New Roman" w:cs="Times New Roman"/>
                <w:lang w:val="en-US"/>
              </w:rPr>
            </w:pPr>
            <w:r w:rsidRPr="006F64A2">
              <w:rPr>
                <w:rFonts w:ascii="Times New Roman" w:eastAsia="Times New Roman" w:hAnsi="Times New Roman" w:cs="Times New Roman"/>
                <w:b/>
                <w:bCs/>
                <w:color w:val="000000"/>
                <w:lang w:val="en-US"/>
              </w:rPr>
              <w:t>SARS-CoV-2 infection 30 days before or at delivery</w:t>
            </w:r>
          </w:p>
        </w:tc>
        <w:tc>
          <w:tcPr>
            <w:tcW w:w="3544" w:type="dxa"/>
            <w:gridSpan w:val="4"/>
          </w:tcPr>
          <w:p w14:paraId="2F8D1B99" w14:textId="77777777" w:rsidR="00F54A47" w:rsidRPr="006F64A2" w:rsidRDefault="00F54A47" w:rsidP="00311F34">
            <w:pPr>
              <w:jc w:val="center"/>
              <w:rPr>
                <w:rFonts w:ascii="Times New Roman" w:hAnsi="Times New Roman" w:cs="Times New Roman"/>
                <w:lang w:val="en-US"/>
              </w:rPr>
            </w:pPr>
            <w:r w:rsidRPr="006F64A2">
              <w:rPr>
                <w:rFonts w:ascii="Times New Roman" w:eastAsia="Times New Roman" w:hAnsi="Times New Roman" w:cs="Times New Roman"/>
                <w:b/>
                <w:bCs/>
                <w:color w:val="000000"/>
                <w:lang w:val="en-US"/>
              </w:rPr>
              <w:t>Confirmed SARS-CoV-2 infection in early pregnancy</w:t>
            </w:r>
          </w:p>
        </w:tc>
        <w:tc>
          <w:tcPr>
            <w:tcW w:w="2693" w:type="dxa"/>
            <w:gridSpan w:val="3"/>
          </w:tcPr>
          <w:p w14:paraId="53689B5E" w14:textId="77777777" w:rsidR="00F54A47" w:rsidRPr="006F64A2" w:rsidRDefault="00F54A47" w:rsidP="00311F34">
            <w:pPr>
              <w:jc w:val="center"/>
              <w:rPr>
                <w:rFonts w:ascii="Times New Roman" w:hAnsi="Times New Roman" w:cs="Times New Roman"/>
                <w:lang w:val="en-US"/>
              </w:rPr>
            </w:pPr>
            <w:r w:rsidRPr="006F64A2">
              <w:rPr>
                <w:rFonts w:ascii="Times New Roman" w:hAnsi="Times New Roman" w:cs="Times New Roman"/>
                <w:b/>
                <w:bCs/>
                <w:lang w:val="en-US"/>
              </w:rPr>
              <w:t>No confirmed SARS-CoV-2 infection (reference group)</w:t>
            </w:r>
          </w:p>
        </w:tc>
      </w:tr>
      <w:tr w:rsidR="00F54A47" w:rsidRPr="006F64A2" w14:paraId="3AA5C749" w14:textId="77777777" w:rsidTr="00311F34">
        <w:tc>
          <w:tcPr>
            <w:tcW w:w="1074" w:type="dxa"/>
          </w:tcPr>
          <w:p w14:paraId="4EBBB074"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b/>
                <w:bCs/>
                <w:sz w:val="21"/>
                <w:szCs w:val="21"/>
                <w:lang w:val="en-US"/>
              </w:rPr>
              <w:t>Outcome</w:t>
            </w:r>
          </w:p>
        </w:tc>
        <w:tc>
          <w:tcPr>
            <w:tcW w:w="717" w:type="dxa"/>
            <w:vAlign w:val="bottom"/>
          </w:tcPr>
          <w:p w14:paraId="116D392C"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n</w:t>
            </w:r>
          </w:p>
        </w:tc>
        <w:tc>
          <w:tcPr>
            <w:tcW w:w="762" w:type="dxa"/>
            <w:vAlign w:val="bottom"/>
          </w:tcPr>
          <w:p w14:paraId="2636F719"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ICU, n</w:t>
            </w:r>
          </w:p>
        </w:tc>
        <w:tc>
          <w:tcPr>
            <w:tcW w:w="978" w:type="dxa"/>
            <w:vAlign w:val="bottom"/>
          </w:tcPr>
          <w:p w14:paraId="25B230B5"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OR (95% CI)</w:t>
            </w:r>
          </w:p>
        </w:tc>
        <w:tc>
          <w:tcPr>
            <w:tcW w:w="864" w:type="dxa"/>
            <w:vAlign w:val="bottom"/>
          </w:tcPr>
          <w:p w14:paraId="40035331" w14:textId="77777777" w:rsidR="00F54A47" w:rsidRPr="006F64A2" w:rsidRDefault="00F54A47" w:rsidP="00311F34">
            <w:pPr>
              <w:jc w:val="center"/>
              <w:rPr>
                <w:rFonts w:ascii="Times New Roman" w:hAnsi="Times New Roman" w:cs="Times New Roman"/>
                <w:b/>
                <w:bCs/>
                <w:sz w:val="20"/>
                <w:szCs w:val="20"/>
                <w:lang w:val="en-US"/>
              </w:rPr>
            </w:pPr>
            <w:proofErr w:type="spellStart"/>
            <w:r w:rsidRPr="006F64A2">
              <w:rPr>
                <w:rFonts w:ascii="Times New Roman" w:eastAsia="Times New Roman" w:hAnsi="Times New Roman" w:cs="Times New Roman"/>
                <w:b/>
                <w:bCs/>
                <w:color w:val="000000"/>
                <w:sz w:val="20"/>
                <w:szCs w:val="20"/>
                <w:lang w:val="en-US"/>
              </w:rPr>
              <w:t>aOR</w:t>
            </w:r>
            <w:proofErr w:type="spellEnd"/>
            <w:r w:rsidRPr="006F64A2">
              <w:rPr>
                <w:rFonts w:ascii="Times New Roman" w:eastAsia="Times New Roman" w:hAnsi="Times New Roman" w:cs="Times New Roman"/>
                <w:b/>
                <w:bCs/>
                <w:color w:val="000000"/>
                <w:sz w:val="20"/>
                <w:szCs w:val="20"/>
                <w:lang w:val="en-US"/>
              </w:rPr>
              <w:t xml:space="preserve"> (95% CI)</w:t>
            </w:r>
          </w:p>
        </w:tc>
        <w:tc>
          <w:tcPr>
            <w:tcW w:w="706" w:type="dxa"/>
            <w:vAlign w:val="bottom"/>
          </w:tcPr>
          <w:p w14:paraId="5A9B448F"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n</w:t>
            </w:r>
          </w:p>
        </w:tc>
        <w:tc>
          <w:tcPr>
            <w:tcW w:w="701" w:type="dxa"/>
            <w:vAlign w:val="bottom"/>
          </w:tcPr>
          <w:p w14:paraId="11A1FFEA"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ICU, n</w:t>
            </w:r>
          </w:p>
        </w:tc>
        <w:tc>
          <w:tcPr>
            <w:tcW w:w="741" w:type="dxa"/>
            <w:vAlign w:val="bottom"/>
          </w:tcPr>
          <w:p w14:paraId="0EE35EF2"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OR (95% CI)</w:t>
            </w:r>
          </w:p>
        </w:tc>
        <w:tc>
          <w:tcPr>
            <w:tcW w:w="1396" w:type="dxa"/>
            <w:vAlign w:val="bottom"/>
          </w:tcPr>
          <w:p w14:paraId="43BE2076" w14:textId="77777777" w:rsidR="00F54A47" w:rsidRPr="006F64A2" w:rsidRDefault="00F54A47" w:rsidP="00311F34">
            <w:pPr>
              <w:jc w:val="center"/>
              <w:rPr>
                <w:rFonts w:ascii="Times New Roman" w:hAnsi="Times New Roman" w:cs="Times New Roman"/>
                <w:b/>
                <w:bCs/>
                <w:sz w:val="20"/>
                <w:szCs w:val="20"/>
                <w:lang w:val="en-US"/>
              </w:rPr>
            </w:pPr>
            <w:proofErr w:type="spellStart"/>
            <w:r w:rsidRPr="006F64A2">
              <w:rPr>
                <w:rFonts w:ascii="Times New Roman" w:eastAsia="Times New Roman" w:hAnsi="Times New Roman" w:cs="Times New Roman"/>
                <w:b/>
                <w:bCs/>
                <w:color w:val="000000"/>
                <w:sz w:val="20"/>
                <w:szCs w:val="20"/>
                <w:lang w:val="en-US"/>
              </w:rPr>
              <w:t>aOR</w:t>
            </w:r>
            <w:proofErr w:type="spellEnd"/>
            <w:r w:rsidRPr="006F64A2">
              <w:rPr>
                <w:rFonts w:ascii="Times New Roman" w:eastAsia="Times New Roman" w:hAnsi="Times New Roman" w:cs="Times New Roman"/>
                <w:b/>
                <w:bCs/>
                <w:color w:val="000000"/>
                <w:sz w:val="20"/>
                <w:szCs w:val="20"/>
                <w:lang w:val="en-US"/>
              </w:rPr>
              <w:t xml:space="preserve"> (95% CI)</w:t>
            </w:r>
          </w:p>
        </w:tc>
        <w:tc>
          <w:tcPr>
            <w:tcW w:w="851" w:type="dxa"/>
            <w:vAlign w:val="bottom"/>
          </w:tcPr>
          <w:p w14:paraId="6FF031B2"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n</w:t>
            </w:r>
          </w:p>
        </w:tc>
        <w:tc>
          <w:tcPr>
            <w:tcW w:w="850" w:type="dxa"/>
            <w:vAlign w:val="bottom"/>
          </w:tcPr>
          <w:p w14:paraId="6CAF69E7" w14:textId="77777777" w:rsidR="00F54A47" w:rsidRPr="006F64A2" w:rsidRDefault="00F54A47" w:rsidP="00311F34">
            <w:pPr>
              <w:jc w:val="center"/>
              <w:rPr>
                <w:rFonts w:ascii="Times New Roman" w:hAnsi="Times New Roman" w:cs="Times New Roman"/>
                <w:b/>
                <w:bCs/>
                <w:sz w:val="20"/>
                <w:szCs w:val="20"/>
                <w:lang w:val="en-US"/>
              </w:rPr>
            </w:pPr>
            <w:r w:rsidRPr="006F64A2">
              <w:rPr>
                <w:rFonts w:ascii="Times New Roman" w:eastAsia="Times New Roman" w:hAnsi="Times New Roman" w:cs="Times New Roman"/>
                <w:b/>
                <w:bCs/>
                <w:color w:val="000000"/>
                <w:sz w:val="20"/>
                <w:szCs w:val="20"/>
                <w:lang w:val="en-US"/>
              </w:rPr>
              <w:t>ICU, n</w:t>
            </w:r>
          </w:p>
        </w:tc>
        <w:tc>
          <w:tcPr>
            <w:tcW w:w="992" w:type="dxa"/>
            <w:vAlign w:val="bottom"/>
          </w:tcPr>
          <w:p w14:paraId="207EC705" w14:textId="77777777" w:rsidR="00F54A47" w:rsidRPr="006F64A2" w:rsidRDefault="00F54A47" w:rsidP="00311F34">
            <w:pPr>
              <w:jc w:val="center"/>
              <w:rPr>
                <w:rFonts w:ascii="Times New Roman" w:hAnsi="Times New Roman" w:cs="Times New Roman"/>
                <w:sz w:val="20"/>
                <w:szCs w:val="20"/>
                <w:lang w:val="en-US"/>
              </w:rPr>
            </w:pPr>
            <w:r w:rsidRPr="006F64A2">
              <w:rPr>
                <w:rFonts w:ascii="Times New Roman" w:hAnsi="Times New Roman" w:cs="Times New Roman"/>
                <w:b/>
                <w:bCs/>
                <w:sz w:val="20"/>
                <w:szCs w:val="20"/>
                <w:lang w:val="en-US"/>
              </w:rPr>
              <w:t>OR/</w:t>
            </w:r>
            <w:proofErr w:type="spellStart"/>
            <w:r w:rsidRPr="006F64A2">
              <w:rPr>
                <w:rFonts w:ascii="Times New Roman" w:hAnsi="Times New Roman" w:cs="Times New Roman"/>
                <w:b/>
                <w:bCs/>
                <w:sz w:val="20"/>
                <w:szCs w:val="20"/>
                <w:lang w:val="en-US"/>
              </w:rPr>
              <w:t>aOR</w:t>
            </w:r>
            <w:proofErr w:type="spellEnd"/>
          </w:p>
        </w:tc>
      </w:tr>
      <w:tr w:rsidR="00F54A47" w:rsidRPr="006F64A2" w14:paraId="4B4C2450" w14:textId="77777777" w:rsidTr="00311F34">
        <w:tc>
          <w:tcPr>
            <w:tcW w:w="1074" w:type="dxa"/>
          </w:tcPr>
          <w:p w14:paraId="04DB0567"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Survivors</w:t>
            </w:r>
          </w:p>
        </w:tc>
        <w:tc>
          <w:tcPr>
            <w:tcW w:w="717" w:type="dxa"/>
          </w:tcPr>
          <w:p w14:paraId="616AF7A3"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2,831</w:t>
            </w:r>
          </w:p>
        </w:tc>
        <w:tc>
          <w:tcPr>
            <w:tcW w:w="762" w:type="dxa"/>
          </w:tcPr>
          <w:p w14:paraId="5FAB2365"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59</w:t>
            </w:r>
          </w:p>
        </w:tc>
        <w:tc>
          <w:tcPr>
            <w:tcW w:w="978" w:type="dxa"/>
          </w:tcPr>
          <w:p w14:paraId="4379CB35"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3.90 (2.97-5.12)</w:t>
            </w:r>
          </w:p>
        </w:tc>
        <w:tc>
          <w:tcPr>
            <w:tcW w:w="864" w:type="dxa"/>
          </w:tcPr>
          <w:p w14:paraId="32759136"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4.46 (3.37-5.89)</w:t>
            </w:r>
          </w:p>
        </w:tc>
        <w:tc>
          <w:tcPr>
            <w:tcW w:w="706" w:type="dxa"/>
          </w:tcPr>
          <w:p w14:paraId="6350A01A"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13,685</w:t>
            </w:r>
          </w:p>
        </w:tc>
        <w:tc>
          <w:tcPr>
            <w:tcW w:w="701" w:type="dxa"/>
          </w:tcPr>
          <w:p w14:paraId="271AFD55"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63</w:t>
            </w:r>
          </w:p>
        </w:tc>
        <w:tc>
          <w:tcPr>
            <w:tcW w:w="741" w:type="dxa"/>
          </w:tcPr>
          <w:p w14:paraId="51757155"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0.86 (0.66-1.12)</w:t>
            </w:r>
          </w:p>
        </w:tc>
        <w:tc>
          <w:tcPr>
            <w:tcW w:w="1396" w:type="dxa"/>
          </w:tcPr>
          <w:p w14:paraId="2189A059"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0.98 (0.75-1.29)</w:t>
            </w:r>
          </w:p>
        </w:tc>
        <w:tc>
          <w:tcPr>
            <w:tcW w:w="851" w:type="dxa"/>
          </w:tcPr>
          <w:p w14:paraId="37D94156"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94,098</w:t>
            </w:r>
          </w:p>
        </w:tc>
        <w:tc>
          <w:tcPr>
            <w:tcW w:w="850" w:type="dxa"/>
          </w:tcPr>
          <w:p w14:paraId="24AC5344"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503</w:t>
            </w:r>
          </w:p>
        </w:tc>
        <w:tc>
          <w:tcPr>
            <w:tcW w:w="992" w:type="dxa"/>
          </w:tcPr>
          <w:p w14:paraId="02031513"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1.0/1.0</w:t>
            </w:r>
          </w:p>
        </w:tc>
      </w:tr>
      <w:tr w:rsidR="00F54A47" w:rsidRPr="006F64A2" w14:paraId="32740FBA" w14:textId="77777777" w:rsidTr="00311F34">
        <w:tc>
          <w:tcPr>
            <w:tcW w:w="1074" w:type="dxa"/>
          </w:tcPr>
          <w:p w14:paraId="4319E390"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Vaginal deliveries and survivors</w:t>
            </w:r>
          </w:p>
        </w:tc>
        <w:tc>
          <w:tcPr>
            <w:tcW w:w="717" w:type="dxa"/>
          </w:tcPr>
          <w:p w14:paraId="533BD544"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1,546</w:t>
            </w:r>
          </w:p>
        </w:tc>
        <w:tc>
          <w:tcPr>
            <w:tcW w:w="762" w:type="dxa"/>
          </w:tcPr>
          <w:p w14:paraId="39717642"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25</w:t>
            </w:r>
          </w:p>
        </w:tc>
        <w:tc>
          <w:tcPr>
            <w:tcW w:w="978" w:type="dxa"/>
          </w:tcPr>
          <w:p w14:paraId="50D292AC"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5.01 (3.29-7.63)</w:t>
            </w:r>
          </w:p>
        </w:tc>
        <w:tc>
          <w:tcPr>
            <w:tcW w:w="864" w:type="dxa"/>
          </w:tcPr>
          <w:p w14:paraId="3951C260"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5.41 (3.53-8.31)</w:t>
            </w:r>
          </w:p>
        </w:tc>
        <w:tc>
          <w:tcPr>
            <w:tcW w:w="706" w:type="dxa"/>
          </w:tcPr>
          <w:p w14:paraId="109ABA50"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7,562</w:t>
            </w:r>
          </w:p>
        </w:tc>
        <w:tc>
          <w:tcPr>
            <w:tcW w:w="701" w:type="dxa"/>
          </w:tcPr>
          <w:p w14:paraId="1AEA55F2"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26</w:t>
            </w:r>
          </w:p>
        </w:tc>
        <w:tc>
          <w:tcPr>
            <w:tcW w:w="741" w:type="dxa"/>
          </w:tcPr>
          <w:p w14:paraId="2AEFF850"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1.06 (0.70-1.61)</w:t>
            </w:r>
          </w:p>
        </w:tc>
        <w:tc>
          <w:tcPr>
            <w:tcW w:w="1396" w:type="dxa"/>
          </w:tcPr>
          <w:p w14:paraId="5315CEE8" w14:textId="77777777" w:rsidR="00F54A47" w:rsidRPr="006F64A2" w:rsidRDefault="00F54A47" w:rsidP="00311F34">
            <w:pPr>
              <w:rPr>
                <w:rFonts w:ascii="Times New Roman" w:hAnsi="Times New Roman" w:cs="Times New Roman"/>
                <w:lang w:val="en-US"/>
              </w:rPr>
            </w:pPr>
            <w:r w:rsidRPr="006F64A2">
              <w:rPr>
                <w:rFonts w:ascii="Times New Roman" w:eastAsia="Times New Roman" w:hAnsi="Times New Roman" w:cs="Times New Roman"/>
                <w:color w:val="000000"/>
                <w:lang w:val="en-US"/>
              </w:rPr>
              <w:t>1.17 (0.77-1.78)</w:t>
            </w:r>
          </w:p>
        </w:tc>
        <w:tc>
          <w:tcPr>
            <w:tcW w:w="851" w:type="dxa"/>
          </w:tcPr>
          <w:p w14:paraId="06AF7CD1"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54,800</w:t>
            </w:r>
          </w:p>
        </w:tc>
        <w:tc>
          <w:tcPr>
            <w:tcW w:w="850" w:type="dxa"/>
          </w:tcPr>
          <w:p w14:paraId="15540BEF"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177</w:t>
            </w:r>
          </w:p>
        </w:tc>
        <w:tc>
          <w:tcPr>
            <w:tcW w:w="992" w:type="dxa"/>
          </w:tcPr>
          <w:p w14:paraId="545A9788" w14:textId="77777777" w:rsidR="00F54A47" w:rsidRPr="006F64A2" w:rsidRDefault="00F54A47" w:rsidP="00311F34">
            <w:pPr>
              <w:rPr>
                <w:rFonts w:ascii="Times New Roman" w:hAnsi="Times New Roman" w:cs="Times New Roman"/>
                <w:lang w:val="en-US"/>
              </w:rPr>
            </w:pPr>
            <w:r w:rsidRPr="006F64A2">
              <w:rPr>
                <w:rFonts w:ascii="Times New Roman" w:hAnsi="Times New Roman" w:cs="Times New Roman"/>
                <w:lang w:val="en-US"/>
              </w:rPr>
              <w:t>1.0/1.0</w:t>
            </w:r>
          </w:p>
        </w:tc>
      </w:tr>
    </w:tbl>
    <w:p w14:paraId="298C2BD0" w14:textId="77777777" w:rsidR="00F54A47" w:rsidRPr="006F64A2" w:rsidRDefault="00F54A47" w:rsidP="00F54A47">
      <w:pPr>
        <w:pStyle w:val="Caption"/>
        <w:keepNext/>
        <w:rPr>
          <w:rFonts w:ascii="Times New Roman" w:hAnsi="Times New Roman" w:cs="Times New Roman"/>
        </w:rPr>
      </w:pPr>
      <w:r w:rsidRPr="006F64A2">
        <w:rPr>
          <w:rFonts w:ascii="Times New Roman" w:hAnsi="Times New Roman" w:cs="Times New Roman"/>
        </w:rPr>
        <w:t>.</w:t>
      </w:r>
    </w:p>
    <w:p w14:paraId="01798ADB" w14:textId="77777777" w:rsidR="00F54A47" w:rsidRPr="006F64A2" w:rsidRDefault="00F54A47" w:rsidP="00F54A47">
      <w:pPr>
        <w:rPr>
          <w:rFonts w:ascii="Times New Roman" w:hAnsi="Times New Roman" w:cs="Times New Roman"/>
        </w:rPr>
      </w:pPr>
    </w:p>
    <w:p w14:paraId="2ED0A131" w14:textId="77777777" w:rsidR="00F54A47" w:rsidRPr="006F64A2" w:rsidRDefault="00F54A47" w:rsidP="00F54A47">
      <w:pPr>
        <w:rPr>
          <w:rFonts w:ascii="Times New Roman" w:hAnsi="Times New Roman" w:cs="Times New Roman"/>
        </w:rPr>
      </w:pPr>
    </w:p>
    <w:p w14:paraId="14C4A008" w14:textId="77777777" w:rsidR="00F54A47" w:rsidRPr="006F64A2" w:rsidRDefault="00F54A47" w:rsidP="00F54A47">
      <w:pPr>
        <w:rPr>
          <w:rFonts w:ascii="Times New Roman" w:hAnsi="Times New Roman" w:cs="Times New Roman"/>
        </w:rPr>
      </w:pPr>
    </w:p>
    <w:p w14:paraId="563C1FF8" w14:textId="77777777" w:rsidR="00F54A47" w:rsidRPr="006F64A2" w:rsidRDefault="00F54A47" w:rsidP="00F54A47">
      <w:pPr>
        <w:rPr>
          <w:rFonts w:ascii="Times New Roman" w:hAnsi="Times New Roman" w:cs="Times New Roman"/>
        </w:rPr>
      </w:pPr>
    </w:p>
    <w:p w14:paraId="5BA3531B" w14:textId="77777777" w:rsidR="00F54A47" w:rsidRPr="006F64A2" w:rsidRDefault="00F54A47" w:rsidP="00F54A47">
      <w:pPr>
        <w:rPr>
          <w:rFonts w:ascii="Times New Roman" w:hAnsi="Times New Roman" w:cs="Times New Roman"/>
        </w:rPr>
      </w:pPr>
    </w:p>
    <w:p w14:paraId="23B82B72" w14:textId="77777777" w:rsidR="00F54A47" w:rsidRPr="006F64A2" w:rsidRDefault="00F54A47" w:rsidP="00F54A47">
      <w:pPr>
        <w:rPr>
          <w:rFonts w:ascii="Times New Roman" w:hAnsi="Times New Roman" w:cs="Times New Roman"/>
        </w:rPr>
      </w:pPr>
    </w:p>
    <w:p w14:paraId="6B6778D2" w14:textId="77777777" w:rsidR="00F54A47" w:rsidRPr="00823CE5" w:rsidRDefault="00F54A47" w:rsidP="00F54A47"/>
    <w:p w14:paraId="610881F9" w14:textId="6E79DB2F" w:rsidR="00302356" w:rsidRPr="006F64A2" w:rsidRDefault="00302356" w:rsidP="006F64A2">
      <w:pPr>
        <w:pStyle w:val="EndNoteBibliography"/>
        <w:spacing w:after="0"/>
        <w:rPr>
          <w:rFonts w:ascii="Times New Roman" w:hAnsi="Times New Roman" w:cs="Times New Roman"/>
        </w:rPr>
      </w:pPr>
    </w:p>
    <w:sectPr w:rsidR="00302356" w:rsidRPr="006F64A2">
      <w:headerReference w:type="even" r:id="rId21"/>
      <w:headerReference w:type="default" r:id="rId22"/>
      <w:footerReference w:type="even" r:id="rId23"/>
      <w:footerReference w:type="default" r:id="rId24"/>
      <w:headerReference w:type="first" r:id="rId25"/>
      <w:footerReference w:type="first" r:id="rId2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6A16" w14:textId="77777777" w:rsidR="0062691E" w:rsidRDefault="0062691E" w:rsidP="00C10314">
      <w:pPr>
        <w:spacing w:after="0" w:line="240" w:lineRule="auto"/>
      </w:pPr>
      <w:r>
        <w:separator/>
      </w:r>
    </w:p>
  </w:endnote>
  <w:endnote w:type="continuationSeparator" w:id="0">
    <w:p w14:paraId="682E8A3F" w14:textId="77777777" w:rsidR="0062691E" w:rsidRDefault="0062691E" w:rsidP="00C1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7802" w14:textId="77777777" w:rsidR="00B1748A" w:rsidRDefault="00B1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694449"/>
      <w:docPartObj>
        <w:docPartGallery w:val="Page Numbers (Bottom of Page)"/>
        <w:docPartUnique/>
      </w:docPartObj>
    </w:sdtPr>
    <w:sdtEndPr>
      <w:rPr>
        <w:noProof/>
      </w:rPr>
    </w:sdtEndPr>
    <w:sdtContent>
      <w:p w14:paraId="7890FAD6" w14:textId="77777777" w:rsidR="00E273F1" w:rsidRDefault="00E273F1">
        <w:pPr>
          <w:pStyle w:val="Footer"/>
          <w:jc w:val="right"/>
        </w:pPr>
        <w:r>
          <w:fldChar w:fldCharType="begin"/>
        </w:r>
        <w:r>
          <w:instrText xml:space="preserve"> PAGE   \* MERGEFORMAT </w:instrText>
        </w:r>
        <w:r>
          <w:fldChar w:fldCharType="separate"/>
        </w:r>
        <w:r w:rsidR="00672A22">
          <w:rPr>
            <w:noProof/>
          </w:rPr>
          <w:t>22</w:t>
        </w:r>
        <w:r>
          <w:rPr>
            <w:noProof/>
          </w:rPr>
          <w:fldChar w:fldCharType="end"/>
        </w:r>
      </w:p>
    </w:sdtContent>
  </w:sdt>
  <w:p w14:paraId="6CF3D2A2" w14:textId="77777777" w:rsidR="00E273F1" w:rsidRDefault="00E27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4B26" w14:textId="77777777" w:rsidR="00B1748A" w:rsidRDefault="00B17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62E2" w14:textId="77777777" w:rsidR="00B1748A" w:rsidRDefault="00B174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27621"/>
      <w:docPartObj>
        <w:docPartGallery w:val="Page Numbers (Bottom of Page)"/>
        <w:docPartUnique/>
      </w:docPartObj>
    </w:sdtPr>
    <w:sdtEndPr>
      <w:rPr>
        <w:noProof/>
      </w:rPr>
    </w:sdtEndPr>
    <w:sdtContent>
      <w:p w14:paraId="5B787857" w14:textId="77777777" w:rsidR="00E273F1" w:rsidRDefault="00E273F1">
        <w:pPr>
          <w:pStyle w:val="Footer"/>
          <w:jc w:val="right"/>
        </w:pPr>
        <w:r>
          <w:fldChar w:fldCharType="begin"/>
        </w:r>
        <w:r>
          <w:instrText xml:space="preserve"> PAGE   \* MERGEFORMAT </w:instrText>
        </w:r>
        <w:r>
          <w:fldChar w:fldCharType="separate"/>
        </w:r>
        <w:r w:rsidR="00672A22">
          <w:rPr>
            <w:noProof/>
          </w:rPr>
          <w:t>22</w:t>
        </w:r>
        <w:r>
          <w:rPr>
            <w:noProof/>
          </w:rPr>
          <w:fldChar w:fldCharType="end"/>
        </w:r>
      </w:p>
    </w:sdtContent>
  </w:sdt>
  <w:p w14:paraId="37AD91C6" w14:textId="77777777" w:rsidR="00E273F1" w:rsidRDefault="00E273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A8BA" w14:textId="77777777" w:rsidR="00B1748A" w:rsidRDefault="00B1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83F3" w14:textId="77777777" w:rsidR="0062691E" w:rsidRDefault="0062691E" w:rsidP="00C10314">
      <w:pPr>
        <w:spacing w:after="0" w:line="240" w:lineRule="auto"/>
      </w:pPr>
      <w:r>
        <w:separator/>
      </w:r>
    </w:p>
  </w:footnote>
  <w:footnote w:type="continuationSeparator" w:id="0">
    <w:p w14:paraId="6C1DB664" w14:textId="77777777" w:rsidR="0062691E" w:rsidRDefault="0062691E" w:rsidP="00C10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AF00" w14:textId="77777777" w:rsidR="00B1748A" w:rsidRDefault="00B17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66C6" w14:textId="77777777" w:rsidR="00B1748A" w:rsidRDefault="00B17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B49A" w14:textId="77777777" w:rsidR="00B1748A" w:rsidRDefault="00B174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30F3" w14:textId="77777777" w:rsidR="00B1748A" w:rsidRDefault="00B174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0DFB" w14:textId="77777777" w:rsidR="00B1748A" w:rsidRDefault="00B174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E6CC" w14:textId="77777777" w:rsidR="00B1748A" w:rsidRDefault="00B17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7981"/>
    <w:multiLevelType w:val="multilevel"/>
    <w:tmpl w:val="5AA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A4BEE"/>
    <w:multiLevelType w:val="hybridMultilevel"/>
    <w:tmpl w:val="9EE401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247F1"/>
    <w:multiLevelType w:val="hybridMultilevel"/>
    <w:tmpl w:val="69ECF3B8"/>
    <w:lvl w:ilvl="0" w:tplc="6E2AC0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E1006"/>
    <w:multiLevelType w:val="hybridMultilevel"/>
    <w:tmpl w:val="B3485B9C"/>
    <w:lvl w:ilvl="0" w:tplc="B88EC19A">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964735">
    <w:abstractNumId w:val="0"/>
  </w:num>
  <w:num w:numId="2" w16cid:durableId="1070006960">
    <w:abstractNumId w:val="2"/>
  </w:num>
  <w:num w:numId="3" w16cid:durableId="1692292574">
    <w:abstractNumId w:val="3"/>
  </w:num>
  <w:num w:numId="4" w16cid:durableId="119157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10314"/>
    <w:rsid w:val="000012FC"/>
    <w:rsid w:val="0001794C"/>
    <w:rsid w:val="00037341"/>
    <w:rsid w:val="00051702"/>
    <w:rsid w:val="00054D9B"/>
    <w:rsid w:val="00063E37"/>
    <w:rsid w:val="00073600"/>
    <w:rsid w:val="00092E2E"/>
    <w:rsid w:val="000A1FD9"/>
    <w:rsid w:val="000B5F17"/>
    <w:rsid w:val="000E5C66"/>
    <w:rsid w:val="000F1380"/>
    <w:rsid w:val="000F47B2"/>
    <w:rsid w:val="00110D49"/>
    <w:rsid w:val="00114834"/>
    <w:rsid w:val="001222DC"/>
    <w:rsid w:val="00132103"/>
    <w:rsid w:val="001442BC"/>
    <w:rsid w:val="00152410"/>
    <w:rsid w:val="00156A23"/>
    <w:rsid w:val="00157FBD"/>
    <w:rsid w:val="001662DC"/>
    <w:rsid w:val="00170EDE"/>
    <w:rsid w:val="00172517"/>
    <w:rsid w:val="001924D4"/>
    <w:rsid w:val="001929F7"/>
    <w:rsid w:val="001B6FB6"/>
    <w:rsid w:val="001C76A7"/>
    <w:rsid w:val="001D1029"/>
    <w:rsid w:val="001D29F6"/>
    <w:rsid w:val="001D6676"/>
    <w:rsid w:val="001F7356"/>
    <w:rsid w:val="00204963"/>
    <w:rsid w:val="00205CFC"/>
    <w:rsid w:val="00216161"/>
    <w:rsid w:val="0021760F"/>
    <w:rsid w:val="0022658A"/>
    <w:rsid w:val="002506B2"/>
    <w:rsid w:val="002B53AC"/>
    <w:rsid w:val="002D2E85"/>
    <w:rsid w:val="002E264E"/>
    <w:rsid w:val="002F407A"/>
    <w:rsid w:val="00302356"/>
    <w:rsid w:val="00324CB0"/>
    <w:rsid w:val="00331D22"/>
    <w:rsid w:val="003329CF"/>
    <w:rsid w:val="003372F7"/>
    <w:rsid w:val="00353288"/>
    <w:rsid w:val="003571FA"/>
    <w:rsid w:val="003A3730"/>
    <w:rsid w:val="003C5750"/>
    <w:rsid w:val="003F2754"/>
    <w:rsid w:val="0042017D"/>
    <w:rsid w:val="00422F8E"/>
    <w:rsid w:val="0043498F"/>
    <w:rsid w:val="00472C41"/>
    <w:rsid w:val="00493937"/>
    <w:rsid w:val="00496A6E"/>
    <w:rsid w:val="004A2E29"/>
    <w:rsid w:val="00533D31"/>
    <w:rsid w:val="0056680E"/>
    <w:rsid w:val="005A4366"/>
    <w:rsid w:val="005B59D5"/>
    <w:rsid w:val="005C1590"/>
    <w:rsid w:val="0060440F"/>
    <w:rsid w:val="00612ADB"/>
    <w:rsid w:val="0062691E"/>
    <w:rsid w:val="00634850"/>
    <w:rsid w:val="00650C05"/>
    <w:rsid w:val="00672A22"/>
    <w:rsid w:val="006736C1"/>
    <w:rsid w:val="006754FA"/>
    <w:rsid w:val="00677DD3"/>
    <w:rsid w:val="006A1A26"/>
    <w:rsid w:val="006B218B"/>
    <w:rsid w:val="006C1656"/>
    <w:rsid w:val="006C2185"/>
    <w:rsid w:val="006E23E1"/>
    <w:rsid w:val="006F64A2"/>
    <w:rsid w:val="006F770D"/>
    <w:rsid w:val="00711AAF"/>
    <w:rsid w:val="0072528B"/>
    <w:rsid w:val="0074063D"/>
    <w:rsid w:val="00766713"/>
    <w:rsid w:val="00771DBD"/>
    <w:rsid w:val="007B2C40"/>
    <w:rsid w:val="007B6156"/>
    <w:rsid w:val="007E5876"/>
    <w:rsid w:val="007F5D3A"/>
    <w:rsid w:val="007F7654"/>
    <w:rsid w:val="00840D96"/>
    <w:rsid w:val="0088739B"/>
    <w:rsid w:val="008962B1"/>
    <w:rsid w:val="008A21C5"/>
    <w:rsid w:val="008D2273"/>
    <w:rsid w:val="008D2C40"/>
    <w:rsid w:val="008D7066"/>
    <w:rsid w:val="00900D8B"/>
    <w:rsid w:val="00910DFB"/>
    <w:rsid w:val="00951DD3"/>
    <w:rsid w:val="0095745C"/>
    <w:rsid w:val="00972FA1"/>
    <w:rsid w:val="00997D8E"/>
    <w:rsid w:val="009C185B"/>
    <w:rsid w:val="009C6482"/>
    <w:rsid w:val="009F7CEA"/>
    <w:rsid w:val="00A31968"/>
    <w:rsid w:val="00A32A90"/>
    <w:rsid w:val="00A53C6A"/>
    <w:rsid w:val="00A601B6"/>
    <w:rsid w:val="00A61F88"/>
    <w:rsid w:val="00A63974"/>
    <w:rsid w:val="00A824F3"/>
    <w:rsid w:val="00A91B5A"/>
    <w:rsid w:val="00A94D0B"/>
    <w:rsid w:val="00AD4166"/>
    <w:rsid w:val="00AE228B"/>
    <w:rsid w:val="00AE27D8"/>
    <w:rsid w:val="00AE4A0F"/>
    <w:rsid w:val="00B07DA4"/>
    <w:rsid w:val="00B1748A"/>
    <w:rsid w:val="00B50EAB"/>
    <w:rsid w:val="00B904E9"/>
    <w:rsid w:val="00BA3998"/>
    <w:rsid w:val="00BD1D57"/>
    <w:rsid w:val="00BF19BA"/>
    <w:rsid w:val="00BF1FD1"/>
    <w:rsid w:val="00C0032A"/>
    <w:rsid w:val="00C10314"/>
    <w:rsid w:val="00C16191"/>
    <w:rsid w:val="00C26884"/>
    <w:rsid w:val="00C456B5"/>
    <w:rsid w:val="00C5463D"/>
    <w:rsid w:val="00C661D4"/>
    <w:rsid w:val="00C807A8"/>
    <w:rsid w:val="00C82E96"/>
    <w:rsid w:val="00C90BD0"/>
    <w:rsid w:val="00C93EA5"/>
    <w:rsid w:val="00CB3041"/>
    <w:rsid w:val="00CC14FF"/>
    <w:rsid w:val="00CC3E7D"/>
    <w:rsid w:val="00CF71AA"/>
    <w:rsid w:val="00D07050"/>
    <w:rsid w:val="00D169A8"/>
    <w:rsid w:val="00D6454B"/>
    <w:rsid w:val="00D72DEB"/>
    <w:rsid w:val="00D74141"/>
    <w:rsid w:val="00DA421F"/>
    <w:rsid w:val="00DB4B60"/>
    <w:rsid w:val="00DC69DA"/>
    <w:rsid w:val="00DF0457"/>
    <w:rsid w:val="00DF3FA3"/>
    <w:rsid w:val="00DF5B26"/>
    <w:rsid w:val="00E16844"/>
    <w:rsid w:val="00E273F1"/>
    <w:rsid w:val="00E31D68"/>
    <w:rsid w:val="00E47E2F"/>
    <w:rsid w:val="00E738F6"/>
    <w:rsid w:val="00EA3DD1"/>
    <w:rsid w:val="00EC1B2A"/>
    <w:rsid w:val="00ED5183"/>
    <w:rsid w:val="00F01078"/>
    <w:rsid w:val="00F017A0"/>
    <w:rsid w:val="00F20870"/>
    <w:rsid w:val="00F30518"/>
    <w:rsid w:val="00F4583F"/>
    <w:rsid w:val="00F47B2F"/>
    <w:rsid w:val="00F54A47"/>
    <w:rsid w:val="00F61580"/>
    <w:rsid w:val="00F62A5B"/>
    <w:rsid w:val="00F74F7E"/>
    <w:rsid w:val="00F83863"/>
    <w:rsid w:val="00FB4EEE"/>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B4B81"/>
  <w15:chartTrackingRefBased/>
  <w15:docId w15:val="{68EFAF12-9F5B-4E5D-AC97-5AC1E22A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314"/>
    <w:rPr>
      <w:color w:val="0563C1" w:themeColor="hyperlink"/>
      <w:u w:val="single"/>
    </w:rPr>
  </w:style>
  <w:style w:type="character" w:customStyle="1" w:styleId="UnresolvedMention1">
    <w:name w:val="Unresolved Mention1"/>
    <w:basedOn w:val="DefaultParagraphFont"/>
    <w:uiPriority w:val="99"/>
    <w:semiHidden/>
    <w:unhideWhenUsed/>
    <w:rsid w:val="00C10314"/>
    <w:rPr>
      <w:color w:val="605E5C"/>
      <w:shd w:val="clear" w:color="auto" w:fill="E1DFDD"/>
    </w:rPr>
  </w:style>
  <w:style w:type="paragraph" w:styleId="Caption">
    <w:name w:val="caption"/>
    <w:basedOn w:val="Normal"/>
    <w:next w:val="Normal"/>
    <w:uiPriority w:val="35"/>
    <w:unhideWhenUsed/>
    <w:qFormat/>
    <w:rsid w:val="00C10314"/>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C10314"/>
    <w:pPr>
      <w:spacing w:after="0"/>
      <w:jc w:val="center"/>
    </w:pPr>
    <w:rPr>
      <w:rFonts w:ascii="Calibri" w:hAnsi="Calibri" w:cs="Calibri"/>
      <w:noProof/>
      <w:sz w:val="18"/>
    </w:rPr>
  </w:style>
  <w:style w:type="character" w:customStyle="1" w:styleId="EndNoteBibliographyTitleChar">
    <w:name w:val="EndNote Bibliography Title Char"/>
    <w:basedOn w:val="DefaultParagraphFont"/>
    <w:link w:val="EndNoteBibliographyTitle"/>
    <w:rsid w:val="00C10314"/>
    <w:rPr>
      <w:rFonts w:ascii="Calibri" w:hAnsi="Calibri" w:cs="Calibri"/>
      <w:noProof/>
      <w:sz w:val="18"/>
    </w:rPr>
  </w:style>
  <w:style w:type="paragraph" w:customStyle="1" w:styleId="EndNoteBibliography">
    <w:name w:val="EndNote Bibliography"/>
    <w:basedOn w:val="Normal"/>
    <w:link w:val="EndNoteBibliographyChar"/>
    <w:rsid w:val="00C10314"/>
    <w:pPr>
      <w:spacing w:line="240" w:lineRule="auto"/>
    </w:pPr>
    <w:rPr>
      <w:rFonts w:ascii="Calibri" w:hAnsi="Calibri" w:cs="Calibri"/>
      <w:noProof/>
      <w:sz w:val="18"/>
    </w:rPr>
  </w:style>
  <w:style w:type="character" w:customStyle="1" w:styleId="EndNoteBibliographyChar">
    <w:name w:val="EndNote Bibliography Char"/>
    <w:basedOn w:val="DefaultParagraphFont"/>
    <w:link w:val="EndNoteBibliography"/>
    <w:rsid w:val="00C10314"/>
    <w:rPr>
      <w:rFonts w:ascii="Calibri" w:hAnsi="Calibri" w:cs="Calibri"/>
      <w:noProof/>
      <w:sz w:val="18"/>
    </w:rPr>
  </w:style>
  <w:style w:type="character" w:styleId="FollowedHyperlink">
    <w:name w:val="FollowedHyperlink"/>
    <w:basedOn w:val="DefaultParagraphFont"/>
    <w:uiPriority w:val="99"/>
    <w:semiHidden/>
    <w:unhideWhenUsed/>
    <w:rsid w:val="00C10314"/>
    <w:rPr>
      <w:color w:val="954F72" w:themeColor="followedHyperlink"/>
      <w:u w:val="single"/>
    </w:rPr>
  </w:style>
  <w:style w:type="table" w:styleId="TableGrid">
    <w:name w:val="Table Grid"/>
    <w:basedOn w:val="TableNormal"/>
    <w:uiPriority w:val="39"/>
    <w:rsid w:val="00C10314"/>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314"/>
    <w:rPr>
      <w:sz w:val="16"/>
      <w:szCs w:val="16"/>
    </w:rPr>
  </w:style>
  <w:style w:type="paragraph" w:styleId="CommentText">
    <w:name w:val="annotation text"/>
    <w:basedOn w:val="Normal"/>
    <w:link w:val="CommentTextChar"/>
    <w:uiPriority w:val="99"/>
    <w:unhideWhenUsed/>
    <w:rsid w:val="00C10314"/>
    <w:pPr>
      <w:spacing w:line="240" w:lineRule="auto"/>
    </w:pPr>
    <w:rPr>
      <w:sz w:val="20"/>
      <w:szCs w:val="20"/>
    </w:rPr>
  </w:style>
  <w:style w:type="character" w:customStyle="1" w:styleId="CommentTextChar">
    <w:name w:val="Comment Text Char"/>
    <w:basedOn w:val="DefaultParagraphFont"/>
    <w:link w:val="CommentText"/>
    <w:uiPriority w:val="99"/>
    <w:rsid w:val="00C10314"/>
    <w:rPr>
      <w:sz w:val="20"/>
      <w:szCs w:val="20"/>
    </w:rPr>
  </w:style>
  <w:style w:type="paragraph" w:styleId="ListParagraph">
    <w:name w:val="List Paragraph"/>
    <w:basedOn w:val="Normal"/>
    <w:uiPriority w:val="34"/>
    <w:qFormat/>
    <w:rsid w:val="00C10314"/>
    <w:pPr>
      <w:ind w:left="720"/>
      <w:contextualSpacing/>
    </w:pPr>
  </w:style>
  <w:style w:type="paragraph" w:styleId="Revision">
    <w:name w:val="Revision"/>
    <w:hidden/>
    <w:uiPriority w:val="99"/>
    <w:semiHidden/>
    <w:rsid w:val="00C10314"/>
    <w:pPr>
      <w:spacing w:after="0" w:line="240" w:lineRule="auto"/>
    </w:pPr>
  </w:style>
  <w:style w:type="paragraph" w:styleId="Header">
    <w:name w:val="header"/>
    <w:basedOn w:val="Normal"/>
    <w:link w:val="HeaderChar"/>
    <w:uiPriority w:val="99"/>
    <w:unhideWhenUsed/>
    <w:rsid w:val="00C10314"/>
    <w:pPr>
      <w:tabs>
        <w:tab w:val="center" w:pos="4844"/>
        <w:tab w:val="right" w:pos="9689"/>
      </w:tabs>
      <w:spacing w:after="0" w:line="240" w:lineRule="auto"/>
    </w:pPr>
  </w:style>
  <w:style w:type="character" w:customStyle="1" w:styleId="HeaderChar">
    <w:name w:val="Header Char"/>
    <w:basedOn w:val="DefaultParagraphFont"/>
    <w:link w:val="Header"/>
    <w:uiPriority w:val="99"/>
    <w:rsid w:val="00C10314"/>
  </w:style>
  <w:style w:type="paragraph" w:styleId="Footer">
    <w:name w:val="footer"/>
    <w:basedOn w:val="Normal"/>
    <w:link w:val="FooterChar"/>
    <w:uiPriority w:val="99"/>
    <w:unhideWhenUsed/>
    <w:rsid w:val="00C10314"/>
    <w:pPr>
      <w:tabs>
        <w:tab w:val="center" w:pos="4844"/>
        <w:tab w:val="right" w:pos="9689"/>
      </w:tabs>
      <w:spacing w:after="0" w:line="240" w:lineRule="auto"/>
    </w:pPr>
  </w:style>
  <w:style w:type="character" w:customStyle="1" w:styleId="FooterChar">
    <w:name w:val="Footer Char"/>
    <w:basedOn w:val="DefaultParagraphFont"/>
    <w:link w:val="Footer"/>
    <w:uiPriority w:val="99"/>
    <w:rsid w:val="00C10314"/>
  </w:style>
  <w:style w:type="paragraph" w:styleId="FootnoteText">
    <w:name w:val="footnote text"/>
    <w:basedOn w:val="Normal"/>
    <w:link w:val="FootnoteTextChar"/>
    <w:uiPriority w:val="99"/>
    <w:unhideWhenUsed/>
    <w:rsid w:val="00C10314"/>
    <w:pPr>
      <w:spacing w:after="0" w:line="240" w:lineRule="auto"/>
    </w:pPr>
    <w:rPr>
      <w:sz w:val="20"/>
      <w:szCs w:val="20"/>
    </w:rPr>
  </w:style>
  <w:style w:type="character" w:customStyle="1" w:styleId="FootnoteTextChar">
    <w:name w:val="Footnote Text Char"/>
    <w:basedOn w:val="DefaultParagraphFont"/>
    <w:link w:val="FootnoteText"/>
    <w:uiPriority w:val="99"/>
    <w:rsid w:val="00C10314"/>
    <w:rPr>
      <w:sz w:val="20"/>
      <w:szCs w:val="20"/>
    </w:rPr>
  </w:style>
  <w:style w:type="character" w:styleId="FootnoteReference">
    <w:name w:val="footnote reference"/>
    <w:basedOn w:val="DefaultParagraphFont"/>
    <w:uiPriority w:val="99"/>
    <w:semiHidden/>
    <w:unhideWhenUsed/>
    <w:rsid w:val="00C10314"/>
    <w:rPr>
      <w:vertAlign w:val="superscript"/>
    </w:rPr>
  </w:style>
  <w:style w:type="character" w:styleId="Emphasis">
    <w:name w:val="Emphasis"/>
    <w:basedOn w:val="DefaultParagraphFont"/>
    <w:uiPriority w:val="20"/>
    <w:qFormat/>
    <w:rsid w:val="00C10314"/>
    <w:rPr>
      <w:i/>
      <w:iCs/>
    </w:rPr>
  </w:style>
  <w:style w:type="paragraph" w:styleId="CommentSubject">
    <w:name w:val="annotation subject"/>
    <w:basedOn w:val="CommentText"/>
    <w:next w:val="CommentText"/>
    <w:link w:val="CommentSubjectChar"/>
    <w:uiPriority w:val="99"/>
    <w:semiHidden/>
    <w:unhideWhenUsed/>
    <w:rsid w:val="00972FA1"/>
    <w:rPr>
      <w:b/>
      <w:bCs/>
    </w:rPr>
  </w:style>
  <w:style w:type="character" w:customStyle="1" w:styleId="CommentSubjectChar">
    <w:name w:val="Comment Subject Char"/>
    <w:basedOn w:val="CommentTextChar"/>
    <w:link w:val="CommentSubject"/>
    <w:uiPriority w:val="99"/>
    <w:semiHidden/>
    <w:rsid w:val="00972FA1"/>
    <w:rPr>
      <w:b/>
      <w:bCs/>
      <w:sz w:val="20"/>
      <w:szCs w:val="20"/>
    </w:rPr>
  </w:style>
  <w:style w:type="paragraph" w:styleId="BalloonText">
    <w:name w:val="Balloon Text"/>
    <w:basedOn w:val="Normal"/>
    <w:link w:val="BalloonTextChar"/>
    <w:uiPriority w:val="99"/>
    <w:semiHidden/>
    <w:unhideWhenUsed/>
    <w:rsid w:val="00972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ia.skhvitaridze@uit.no"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A8C5F457A12B408D0D0A735A1F2EF5" ma:contentTypeVersion="9" ma:contentTypeDescription="Create a new document." ma:contentTypeScope="" ma:versionID="354fbdd8aab9bd3a6d56fac577f39ebc">
  <xsd:schema xmlns:xsd="http://www.w3.org/2001/XMLSchema" xmlns:xs="http://www.w3.org/2001/XMLSchema" xmlns:p="http://schemas.microsoft.com/office/2006/metadata/properties" xmlns:ns3="5523296a-6893-4cc7-8fa7-85c7acaa2a3a" xmlns:ns4="10119845-9627-40a1-9ff1-59c82e2ea7de" targetNamespace="http://schemas.microsoft.com/office/2006/metadata/properties" ma:root="true" ma:fieldsID="a94b2c3da67e5ed7d900353647920e13" ns3:_="" ns4:_="">
    <xsd:import namespace="5523296a-6893-4cc7-8fa7-85c7acaa2a3a"/>
    <xsd:import namespace="10119845-9627-40a1-9ff1-59c82e2ea7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3296a-6893-4cc7-8fa7-85c7acaa2a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19845-9627-40a1-9ff1-59c82e2ea7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A744-1743-4A67-9119-DB7CAA90518E}">
  <ds:schemaRefs>
    <ds:schemaRef ds:uri="http://schemas.microsoft.com/sharepoint/v3/contenttype/forms"/>
  </ds:schemaRefs>
</ds:datastoreItem>
</file>

<file path=customXml/itemProps2.xml><?xml version="1.0" encoding="utf-8"?>
<ds:datastoreItem xmlns:ds="http://schemas.openxmlformats.org/officeDocument/2006/customXml" ds:itemID="{1AC91641-D389-4063-B504-E11897AB89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4B966-206B-4BB7-A099-F0B18A45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3296a-6893-4cc7-8fa7-85c7acaa2a3a"/>
    <ds:schemaRef ds:uri="10119845-9627-40a1-9ff1-59c82e2e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1C618-3D3B-429B-BE3B-2FC30A88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6</cp:revision>
  <cp:lastPrinted>2023-03-21T16:30:00Z</cp:lastPrinted>
  <dcterms:created xsi:type="dcterms:W3CDTF">2023-04-13T18:34:00Z</dcterms:created>
  <dcterms:modified xsi:type="dcterms:W3CDTF">2023-04-22T12:53:00Z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0x010100DFA8C5F457A12B408D0D0A735A1F2EF5</vt:lpwstr>
  </property>
</Properties>
</file>