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06F0" w:rsidRPr="00F17D12" w:rsidRDefault="00B206F0" w:rsidP="00804C31">
      <w:pPr>
        <w:pStyle w:val="BATitle"/>
        <w:jc w:val="left"/>
        <w:rPr>
          <w:lang w:eastAsia="zh-CN"/>
        </w:rPr>
      </w:pPr>
      <w:bookmarkStart w:id="0" w:name="_Hlk128555305"/>
      <w:r>
        <w:t>The critical role of MnCeO</w:t>
      </w:r>
      <w:r w:rsidRPr="00F74EF6">
        <w:rPr>
          <w:vertAlign w:val="subscript"/>
        </w:rPr>
        <w:t>x</w:t>
      </w:r>
      <w:r>
        <w:t xml:space="preserve"> molecular dispersion in harsh </w:t>
      </w:r>
      <w:r>
        <w:rPr>
          <w:rFonts w:hint="eastAsia"/>
          <w:lang w:eastAsia="zh-CN"/>
        </w:rPr>
        <w:t>r</w:t>
      </w:r>
      <w:r>
        <w:rPr>
          <w:lang w:eastAsia="zh-CN"/>
        </w:rPr>
        <w:t>eaction conditions for VOC treatment</w:t>
      </w:r>
    </w:p>
    <w:bookmarkEnd w:id="0"/>
    <w:p w:rsidR="00B206F0" w:rsidRPr="00E40D86" w:rsidRDefault="00B206F0" w:rsidP="00250B7F">
      <w:pPr>
        <w:pStyle w:val="BBAuthorName"/>
        <w:jc w:val="left"/>
        <w:rPr>
          <w:rFonts w:eastAsiaTheme="minorEastAsia"/>
          <w:lang w:eastAsia="zh-CN"/>
        </w:rPr>
      </w:pPr>
      <w:r w:rsidRPr="00E40D86">
        <w:rPr>
          <w:rFonts w:eastAsiaTheme="minorEastAsia"/>
          <w:lang w:eastAsia="zh-CN"/>
        </w:rPr>
        <w:t>Ley Boon</w:t>
      </w:r>
      <w:r w:rsidRPr="00561A04">
        <w:rPr>
          <w:rFonts w:eastAsiaTheme="minorEastAsia"/>
          <w:lang w:eastAsia="zh-CN"/>
        </w:rPr>
        <w:t xml:space="preserve"> </w:t>
      </w:r>
      <w:proofErr w:type="spellStart"/>
      <w:r w:rsidRPr="00E40D86">
        <w:rPr>
          <w:rFonts w:eastAsiaTheme="minorEastAsia"/>
          <w:lang w:eastAsia="zh-CN"/>
        </w:rPr>
        <w:t>Sim</w:t>
      </w:r>
      <w:r>
        <w:rPr>
          <w:rFonts w:eastAsiaTheme="minorEastAsia"/>
          <w:lang w:eastAsia="zh-CN"/>
        </w:rPr>
        <w:t>,</w:t>
      </w:r>
      <w:r w:rsidRPr="00E40D86">
        <w:rPr>
          <w:rFonts w:eastAsiaTheme="minorEastAsia"/>
          <w:vertAlign w:val="superscript"/>
          <w:lang w:eastAsia="zh-CN"/>
        </w:rPr>
        <w:t>a</w:t>
      </w:r>
      <w:proofErr w:type="spellEnd"/>
      <w:r w:rsidRPr="00E40D86">
        <w:rPr>
          <w:rFonts w:eastAsiaTheme="minorEastAsia"/>
          <w:lang w:eastAsia="zh-CN"/>
        </w:rPr>
        <w:t xml:space="preserve"> </w:t>
      </w:r>
      <w:proofErr w:type="spellStart"/>
      <w:r w:rsidRPr="00E40D86">
        <w:rPr>
          <w:rFonts w:eastAsiaTheme="minorEastAsia"/>
          <w:lang w:eastAsia="zh-CN"/>
        </w:rPr>
        <w:t>Zibao</w:t>
      </w:r>
      <w:proofErr w:type="spellEnd"/>
      <w:r w:rsidRPr="00E40D86">
        <w:rPr>
          <w:rFonts w:eastAsiaTheme="minorEastAsia"/>
          <w:lang w:eastAsia="zh-CN"/>
        </w:rPr>
        <w:t xml:space="preserve"> </w:t>
      </w:r>
      <w:proofErr w:type="spellStart"/>
      <w:r w:rsidRPr="00E40D86">
        <w:rPr>
          <w:rFonts w:eastAsiaTheme="minorEastAsia"/>
          <w:lang w:eastAsia="zh-CN"/>
        </w:rPr>
        <w:t>Wu</w:t>
      </w:r>
      <w:r>
        <w:rPr>
          <w:rFonts w:eastAsiaTheme="minorEastAsia"/>
          <w:lang w:eastAsia="zh-CN"/>
        </w:rPr>
        <w:t>,</w:t>
      </w:r>
      <w:r w:rsidRPr="00E40D86">
        <w:rPr>
          <w:rFonts w:eastAsiaTheme="minorEastAsia"/>
          <w:vertAlign w:val="superscript"/>
          <w:lang w:eastAsia="zh-CN"/>
        </w:rPr>
        <w:t>a</w:t>
      </w:r>
      <w:proofErr w:type="spellEnd"/>
      <w:r w:rsidRPr="00E40D86">
        <w:rPr>
          <w:rFonts w:eastAsiaTheme="minorEastAsia"/>
          <w:lang w:eastAsia="zh-CN"/>
        </w:rPr>
        <w:t xml:space="preserve"> Chi </w:t>
      </w:r>
      <w:proofErr w:type="spellStart"/>
      <w:r w:rsidRPr="00E40D86">
        <w:rPr>
          <w:rFonts w:eastAsiaTheme="minorEastAsia"/>
          <w:lang w:eastAsia="zh-CN"/>
        </w:rPr>
        <w:t>Zhang</w:t>
      </w:r>
      <w:r>
        <w:rPr>
          <w:rFonts w:eastAsiaTheme="minorEastAsia"/>
          <w:lang w:eastAsia="zh-CN"/>
        </w:rPr>
        <w:t>,</w:t>
      </w:r>
      <w:r w:rsidRPr="00E40D86">
        <w:rPr>
          <w:rFonts w:eastAsiaTheme="minorEastAsia"/>
          <w:vertAlign w:val="superscript"/>
          <w:lang w:eastAsia="zh-CN"/>
        </w:rPr>
        <w:t>b</w:t>
      </w:r>
      <w:proofErr w:type="spellEnd"/>
      <w:r w:rsidRPr="00E40D86">
        <w:rPr>
          <w:rFonts w:eastAsiaTheme="minorEastAsia"/>
          <w:lang w:eastAsia="zh-CN"/>
        </w:rPr>
        <w:t xml:space="preserve"> </w:t>
      </w:r>
      <w:proofErr w:type="spellStart"/>
      <w:r w:rsidRPr="00E40D86">
        <w:rPr>
          <w:rFonts w:eastAsiaTheme="minorEastAsia"/>
          <w:lang w:eastAsia="zh-CN"/>
        </w:rPr>
        <w:t>Xianghua</w:t>
      </w:r>
      <w:proofErr w:type="spellEnd"/>
      <w:r w:rsidRPr="00E40D86">
        <w:rPr>
          <w:rFonts w:eastAsiaTheme="minorEastAsia"/>
          <w:lang w:eastAsia="zh-CN"/>
        </w:rPr>
        <w:t xml:space="preserve"> </w:t>
      </w:r>
      <w:proofErr w:type="spellStart"/>
      <w:r w:rsidRPr="00E40D86">
        <w:rPr>
          <w:rFonts w:eastAsiaTheme="minorEastAsia"/>
          <w:lang w:eastAsia="zh-CN"/>
        </w:rPr>
        <w:t>Liu</w:t>
      </w:r>
      <w:r>
        <w:rPr>
          <w:rFonts w:eastAsiaTheme="minorEastAsia"/>
          <w:lang w:eastAsia="zh-CN"/>
        </w:rPr>
        <w:t>,</w:t>
      </w:r>
      <w:r w:rsidRPr="00EA56E4">
        <w:rPr>
          <w:rFonts w:eastAsiaTheme="minorEastAsia" w:hint="eastAsia"/>
          <w:vertAlign w:val="superscript"/>
          <w:lang w:eastAsia="zh-CN"/>
        </w:rPr>
        <w:t>a</w:t>
      </w:r>
      <w:proofErr w:type="spellEnd"/>
      <w:r w:rsidRPr="00E40D86">
        <w:rPr>
          <w:rFonts w:eastAsiaTheme="minorEastAsia"/>
          <w:lang w:eastAsia="zh-CN"/>
        </w:rPr>
        <w:t xml:space="preserve"> Jile </w:t>
      </w:r>
      <w:proofErr w:type="spellStart"/>
      <w:r w:rsidRPr="00E40D86">
        <w:rPr>
          <w:rFonts w:eastAsiaTheme="minorEastAsia"/>
          <w:lang w:eastAsia="zh-CN"/>
        </w:rPr>
        <w:t>Fu</w:t>
      </w:r>
      <w:r>
        <w:rPr>
          <w:rFonts w:eastAsiaTheme="minorEastAsia"/>
          <w:lang w:eastAsia="zh-CN"/>
        </w:rPr>
        <w:t>,</w:t>
      </w:r>
      <w:r w:rsidRPr="00E40D86">
        <w:rPr>
          <w:rFonts w:eastAsiaTheme="minorEastAsia"/>
          <w:vertAlign w:val="superscript"/>
          <w:lang w:eastAsia="zh-CN"/>
        </w:rPr>
        <w:t>b</w:t>
      </w:r>
      <w:proofErr w:type="spellEnd"/>
      <w:r w:rsidRPr="00E40D86">
        <w:rPr>
          <w:rFonts w:eastAsiaTheme="minorEastAsia"/>
          <w:vertAlign w:val="superscript"/>
          <w:lang w:eastAsia="zh-CN"/>
        </w:rPr>
        <w:t>,</w:t>
      </w:r>
      <w:r w:rsidRPr="00E40D86">
        <w:rPr>
          <w:rFonts w:eastAsiaTheme="minorEastAsia"/>
          <w:lang w:eastAsia="zh-CN"/>
        </w:rPr>
        <w:t xml:space="preserve">* </w:t>
      </w:r>
      <w:proofErr w:type="spellStart"/>
      <w:r w:rsidRPr="00E40D86">
        <w:rPr>
          <w:rFonts w:eastAsiaTheme="minorEastAsia"/>
          <w:lang w:eastAsia="zh-CN"/>
        </w:rPr>
        <w:t>Nuowei</w:t>
      </w:r>
      <w:proofErr w:type="spellEnd"/>
      <w:r w:rsidRPr="00E40D86">
        <w:rPr>
          <w:rFonts w:eastAsiaTheme="minorEastAsia"/>
          <w:lang w:eastAsia="zh-CN"/>
        </w:rPr>
        <w:t xml:space="preserve"> </w:t>
      </w:r>
      <w:proofErr w:type="spellStart"/>
      <w:r w:rsidRPr="00E40D86">
        <w:rPr>
          <w:rFonts w:eastAsiaTheme="minorEastAsia"/>
          <w:lang w:eastAsia="zh-CN"/>
        </w:rPr>
        <w:t>Zhang</w:t>
      </w:r>
      <w:r>
        <w:rPr>
          <w:rFonts w:eastAsiaTheme="minorEastAsia"/>
          <w:lang w:eastAsia="zh-CN"/>
        </w:rPr>
        <w:t>,</w:t>
      </w:r>
      <w:r w:rsidRPr="00E40D86">
        <w:rPr>
          <w:rFonts w:eastAsiaTheme="minorEastAsia"/>
          <w:vertAlign w:val="superscript"/>
          <w:lang w:eastAsia="zh-CN"/>
        </w:rPr>
        <w:t>a</w:t>
      </w:r>
      <w:proofErr w:type="spellEnd"/>
      <w:r w:rsidRPr="00E40D86">
        <w:rPr>
          <w:rFonts w:eastAsiaTheme="minorEastAsia"/>
          <w:lang w:eastAsia="zh-CN"/>
        </w:rPr>
        <w:t xml:space="preserve"> </w:t>
      </w:r>
      <w:proofErr w:type="spellStart"/>
      <w:r w:rsidRPr="00E40D86">
        <w:rPr>
          <w:rFonts w:eastAsiaTheme="minorEastAsia"/>
          <w:lang w:eastAsia="zh-CN"/>
        </w:rPr>
        <w:t>Jiexiang</w:t>
      </w:r>
      <w:proofErr w:type="spellEnd"/>
      <w:r w:rsidRPr="00E40D86">
        <w:rPr>
          <w:rFonts w:eastAsiaTheme="minorEastAsia"/>
          <w:lang w:eastAsia="zh-CN"/>
        </w:rPr>
        <w:t xml:space="preserve"> </w:t>
      </w:r>
      <w:proofErr w:type="spellStart"/>
      <w:r w:rsidRPr="00E40D86">
        <w:rPr>
          <w:rFonts w:eastAsiaTheme="minorEastAsia"/>
          <w:lang w:eastAsia="zh-CN"/>
        </w:rPr>
        <w:t>Wang</w:t>
      </w:r>
      <w:r>
        <w:rPr>
          <w:rFonts w:eastAsiaTheme="minorEastAsia"/>
          <w:lang w:eastAsia="zh-CN"/>
        </w:rPr>
        <w:t>,</w:t>
      </w:r>
      <w:r w:rsidRPr="00E40D86">
        <w:rPr>
          <w:rFonts w:eastAsiaTheme="minorEastAsia"/>
          <w:vertAlign w:val="superscript"/>
          <w:lang w:eastAsia="zh-CN"/>
        </w:rPr>
        <w:t>a</w:t>
      </w:r>
      <w:proofErr w:type="spellEnd"/>
      <w:r w:rsidRPr="00E40D86">
        <w:rPr>
          <w:rFonts w:eastAsiaTheme="minorEastAsia"/>
          <w:lang w:eastAsia="zh-CN"/>
        </w:rPr>
        <w:t xml:space="preserve"> </w:t>
      </w:r>
      <w:proofErr w:type="spellStart"/>
      <w:r w:rsidRPr="00E40D86">
        <w:rPr>
          <w:rFonts w:eastAsiaTheme="minorEastAsia"/>
          <w:lang w:eastAsia="zh-CN"/>
        </w:rPr>
        <w:t>Songshou</w:t>
      </w:r>
      <w:proofErr w:type="spellEnd"/>
      <w:r w:rsidRPr="00E40D86">
        <w:rPr>
          <w:rFonts w:eastAsiaTheme="minorEastAsia"/>
          <w:lang w:eastAsia="zh-CN"/>
        </w:rPr>
        <w:t xml:space="preserve"> </w:t>
      </w:r>
      <w:proofErr w:type="spellStart"/>
      <w:r w:rsidRPr="00E40D86">
        <w:rPr>
          <w:rFonts w:eastAsiaTheme="minorEastAsia"/>
          <w:lang w:eastAsia="zh-CN"/>
        </w:rPr>
        <w:t>Ye</w:t>
      </w:r>
      <w:r>
        <w:rPr>
          <w:rFonts w:eastAsiaTheme="minorEastAsia"/>
          <w:lang w:eastAsia="zh-CN"/>
        </w:rPr>
        <w:t>,</w:t>
      </w:r>
      <w:r w:rsidRPr="00E40D86">
        <w:rPr>
          <w:rFonts w:eastAsiaTheme="minorEastAsia"/>
          <w:vertAlign w:val="superscript"/>
          <w:lang w:eastAsia="zh-CN"/>
        </w:rPr>
        <w:t>a</w:t>
      </w:r>
      <w:proofErr w:type="spellEnd"/>
      <w:r w:rsidRPr="00E40D86">
        <w:rPr>
          <w:rFonts w:eastAsiaTheme="minorEastAsia"/>
          <w:lang w:eastAsia="zh-CN"/>
        </w:rPr>
        <w:t xml:space="preserve"> </w:t>
      </w:r>
      <w:proofErr w:type="spellStart"/>
      <w:r w:rsidRPr="00E40D86">
        <w:rPr>
          <w:rFonts w:eastAsiaTheme="minorEastAsia"/>
          <w:lang w:eastAsia="zh-CN"/>
        </w:rPr>
        <w:t>Jinbao</w:t>
      </w:r>
      <w:proofErr w:type="spellEnd"/>
      <w:r w:rsidRPr="00E40D86">
        <w:rPr>
          <w:rFonts w:eastAsiaTheme="minorEastAsia"/>
          <w:lang w:eastAsia="zh-CN"/>
        </w:rPr>
        <w:t xml:space="preserve"> </w:t>
      </w:r>
      <w:proofErr w:type="spellStart"/>
      <w:r w:rsidRPr="00E40D86">
        <w:rPr>
          <w:rFonts w:eastAsiaTheme="minorEastAsia"/>
          <w:lang w:eastAsia="zh-CN"/>
        </w:rPr>
        <w:t>Zheng</w:t>
      </w:r>
      <w:r>
        <w:rPr>
          <w:rFonts w:eastAsiaTheme="minorEastAsia"/>
          <w:lang w:eastAsia="zh-CN"/>
        </w:rPr>
        <w:t>,</w:t>
      </w:r>
      <w:r w:rsidRPr="00E40D86">
        <w:rPr>
          <w:rFonts w:eastAsiaTheme="minorEastAsia"/>
          <w:vertAlign w:val="superscript"/>
          <w:lang w:eastAsia="zh-CN"/>
        </w:rPr>
        <w:t>a</w:t>
      </w:r>
      <w:proofErr w:type="spellEnd"/>
      <w:r w:rsidRPr="00E40D86">
        <w:rPr>
          <w:rFonts w:eastAsiaTheme="minorEastAsia"/>
          <w:lang w:eastAsia="zh-CN"/>
        </w:rPr>
        <w:t xml:space="preserve"> </w:t>
      </w:r>
      <w:proofErr w:type="spellStart"/>
      <w:r w:rsidRPr="00E40D86">
        <w:rPr>
          <w:rFonts w:eastAsiaTheme="minorEastAsia"/>
          <w:lang w:eastAsia="zh-CN"/>
        </w:rPr>
        <w:t>Binghui</w:t>
      </w:r>
      <w:proofErr w:type="spellEnd"/>
      <w:r w:rsidRPr="00E40D86">
        <w:rPr>
          <w:rFonts w:eastAsiaTheme="minorEastAsia"/>
          <w:lang w:eastAsia="zh-CN"/>
        </w:rPr>
        <w:t xml:space="preserve"> </w:t>
      </w:r>
      <w:proofErr w:type="spellStart"/>
      <w:r w:rsidRPr="00E40D86">
        <w:rPr>
          <w:rFonts w:eastAsiaTheme="minorEastAsia"/>
          <w:lang w:eastAsia="zh-CN"/>
        </w:rPr>
        <w:t>Chen</w:t>
      </w:r>
      <w:r>
        <w:rPr>
          <w:rFonts w:eastAsiaTheme="minorEastAsia"/>
          <w:lang w:eastAsia="zh-CN"/>
        </w:rPr>
        <w:t>,</w:t>
      </w:r>
      <w:r w:rsidRPr="00E40D86">
        <w:rPr>
          <w:rFonts w:eastAsiaTheme="minorEastAsia"/>
          <w:vertAlign w:val="superscript"/>
          <w:lang w:eastAsia="zh-CN"/>
        </w:rPr>
        <w:t>a</w:t>
      </w:r>
      <w:r>
        <w:rPr>
          <w:rFonts w:eastAsiaTheme="minorEastAsia"/>
          <w:vertAlign w:val="superscript"/>
          <w:lang w:eastAsia="zh-CN"/>
        </w:rPr>
        <w:t>,</w:t>
      </w:r>
      <w:r w:rsidRPr="00E40D86">
        <w:rPr>
          <w:rFonts w:eastAsiaTheme="minorEastAsia"/>
          <w:vertAlign w:val="superscript"/>
          <w:lang w:eastAsia="zh-CN"/>
        </w:rPr>
        <w:t>b</w:t>
      </w:r>
      <w:proofErr w:type="spellEnd"/>
      <w:r w:rsidRPr="00E40D86">
        <w:rPr>
          <w:rFonts w:eastAsiaTheme="minorEastAsia"/>
          <w:vertAlign w:val="superscript"/>
          <w:lang w:eastAsia="zh-CN"/>
        </w:rPr>
        <w:t>,</w:t>
      </w:r>
      <w:r w:rsidRPr="00E40D86">
        <w:rPr>
          <w:rFonts w:eastAsiaTheme="minorEastAsia"/>
          <w:lang w:eastAsia="zh-CN"/>
        </w:rPr>
        <w:t>*</w:t>
      </w:r>
    </w:p>
    <w:p w:rsidR="00B206F0" w:rsidRPr="00E40D86" w:rsidRDefault="00B206F0" w:rsidP="00250B7F">
      <w:pPr>
        <w:pStyle w:val="BCAuthorAddress"/>
        <w:jc w:val="left"/>
        <w:rPr>
          <w:rFonts w:eastAsia="Times New Roman"/>
        </w:rPr>
      </w:pPr>
      <w:bookmarkStart w:id="1" w:name="_Hlk128493061"/>
      <w:r w:rsidRPr="00E40D86">
        <w:rPr>
          <w:rFonts w:eastAsia="Times New Roman"/>
          <w:vertAlign w:val="superscript"/>
        </w:rPr>
        <w:t>a</w:t>
      </w:r>
      <w:r w:rsidRPr="00E40D86">
        <w:rPr>
          <w:rFonts w:eastAsia="Times New Roman"/>
        </w:rPr>
        <w:t xml:space="preserve"> Department of Chemical and Biochemical Engineering, College of Chemistry and Chemical Engineering, National Engineering Laboratory for Green Chemical Productions of Alcohols-Ethers-Esters, Xiamen University, Xiamen 361005, PR China</w:t>
      </w:r>
    </w:p>
    <w:p w:rsidR="00B206F0" w:rsidRPr="00250B7F" w:rsidRDefault="00B206F0" w:rsidP="00250B7F">
      <w:pPr>
        <w:pStyle w:val="TAMainText"/>
        <w:spacing w:after="240"/>
        <w:ind w:firstLine="0"/>
        <w:rPr>
          <w:rFonts w:eastAsiaTheme="minorEastAsia"/>
          <w:b/>
          <w:bCs/>
          <w:lang w:eastAsia="zh-CN"/>
        </w:rPr>
        <w:sectPr w:rsidR="00B206F0" w:rsidRPr="00250B7F">
          <w:pgSz w:w="11906" w:h="16838"/>
          <w:pgMar w:top="1440" w:right="1440" w:bottom="1440" w:left="1440" w:header="708" w:footer="708" w:gutter="0"/>
          <w:cols w:space="708"/>
          <w:docGrid w:linePitch="360"/>
        </w:sectPr>
      </w:pPr>
      <w:r w:rsidRPr="00E40D86">
        <w:rPr>
          <w:rFonts w:eastAsia="Times New Roman"/>
          <w:vertAlign w:val="superscript"/>
        </w:rPr>
        <w:t>b</w:t>
      </w:r>
      <w:r w:rsidRPr="00E40D86">
        <w:rPr>
          <w:rFonts w:eastAsia="Times New Roman"/>
        </w:rPr>
        <w:t xml:space="preserve"> </w:t>
      </w:r>
      <w:r w:rsidRPr="00E40D86">
        <w:rPr>
          <w:rFonts w:eastAsia="Times New Roman" w:hint="eastAsia"/>
        </w:rPr>
        <w:t>School</w:t>
      </w:r>
      <w:r w:rsidRPr="00E40D86">
        <w:rPr>
          <w:rFonts w:eastAsia="Times New Roman"/>
        </w:rPr>
        <w:t xml:space="preserve"> </w:t>
      </w:r>
      <w:r w:rsidRPr="00E40D86">
        <w:rPr>
          <w:rFonts w:eastAsia="Times New Roman" w:hint="eastAsia"/>
        </w:rPr>
        <w:t>of</w:t>
      </w:r>
      <w:r w:rsidRPr="00E40D86">
        <w:rPr>
          <w:rFonts w:eastAsia="Times New Roman"/>
        </w:rPr>
        <w:t xml:space="preserve"> </w:t>
      </w:r>
      <w:r w:rsidRPr="00E40D86">
        <w:rPr>
          <w:rFonts w:eastAsia="Times New Roman" w:hint="eastAsia"/>
        </w:rPr>
        <w:t>Ene</w:t>
      </w:r>
      <w:r w:rsidRPr="00E40D86">
        <w:rPr>
          <w:rFonts w:eastAsia="Times New Roman"/>
        </w:rPr>
        <w:t xml:space="preserve">rgy and Chemical Engineering, Xiamen University Malaysia, Jalan </w:t>
      </w:r>
      <w:proofErr w:type="spellStart"/>
      <w:r w:rsidRPr="00E40D86">
        <w:rPr>
          <w:rFonts w:eastAsia="Times New Roman"/>
        </w:rPr>
        <w:t>Sunsuria</w:t>
      </w:r>
      <w:proofErr w:type="spellEnd"/>
      <w:r w:rsidRPr="00E40D86">
        <w:rPr>
          <w:rFonts w:eastAsia="Times New Roman"/>
        </w:rPr>
        <w:t xml:space="preserve">, Bandar </w:t>
      </w:r>
      <w:proofErr w:type="spellStart"/>
      <w:r w:rsidRPr="00E40D86">
        <w:rPr>
          <w:rFonts w:eastAsia="Times New Roman"/>
        </w:rPr>
        <w:t>Sunsuria</w:t>
      </w:r>
      <w:proofErr w:type="spellEnd"/>
      <w:r w:rsidRPr="00E40D86">
        <w:rPr>
          <w:rFonts w:eastAsia="Times New Roman"/>
        </w:rPr>
        <w:t>, 43900 Sepang, Malaysia</w:t>
      </w:r>
      <w:bookmarkEnd w:id="1"/>
    </w:p>
    <w:p w:rsidR="00B206F0" w:rsidRPr="00E40D86" w:rsidRDefault="00B206F0" w:rsidP="00C77892">
      <w:pPr>
        <w:pStyle w:val="TAMainText"/>
        <w:spacing w:after="240"/>
        <w:ind w:firstLine="0"/>
        <w:rPr>
          <w:b/>
          <w:bCs/>
        </w:rPr>
      </w:pPr>
      <w:r w:rsidRPr="00E40D86">
        <w:rPr>
          <w:b/>
          <w:bCs/>
        </w:rPr>
        <w:lastRenderedPageBreak/>
        <w:t>Experimental section</w:t>
      </w:r>
    </w:p>
    <w:p w:rsidR="00B206F0" w:rsidRPr="00E40D86" w:rsidRDefault="00B206F0" w:rsidP="00C77892">
      <w:pPr>
        <w:pStyle w:val="TAMainText"/>
        <w:spacing w:after="240"/>
        <w:ind w:firstLine="0"/>
        <w:rPr>
          <w:i/>
          <w:lang w:eastAsia="zh-CN"/>
        </w:rPr>
      </w:pPr>
      <w:r w:rsidRPr="00E40D86">
        <w:rPr>
          <w:i/>
          <w:iCs/>
          <w:lang w:val="en"/>
        </w:rPr>
        <w:t>Preparation of CP-MnCe (f)</w:t>
      </w:r>
    </w:p>
    <w:p w:rsidR="00B206F0" w:rsidRPr="00E40D86" w:rsidRDefault="00B206F0" w:rsidP="000173F4">
      <w:pPr>
        <w:pStyle w:val="TAMainText"/>
        <w:spacing w:after="240"/>
        <w:ind w:firstLine="0"/>
        <w:rPr>
          <w:lang w:val="en"/>
        </w:rPr>
      </w:pPr>
      <w:r w:rsidRPr="000173F4">
        <w:rPr>
          <w:lang w:val="en-MY"/>
        </w:rPr>
        <w:t xml:space="preserve">To prepare the catalyst, firstly 1.736 g of cerium nitrate hexahydrate </w:t>
      </w:r>
      <w:r>
        <w:rPr>
          <w:lang w:val="en-MY"/>
        </w:rPr>
        <w:t>[</w:t>
      </w:r>
      <w:proofErr w:type="gramStart"/>
      <w:r w:rsidRPr="000173F4">
        <w:rPr>
          <w:lang w:val="en-MY"/>
        </w:rPr>
        <w:t>Ce(</w:t>
      </w:r>
      <w:proofErr w:type="gramEnd"/>
      <w:r w:rsidRPr="000173F4">
        <w:rPr>
          <w:lang w:val="en-MY"/>
        </w:rPr>
        <w:t>NO</w:t>
      </w:r>
      <w:r w:rsidRPr="000173F4">
        <w:rPr>
          <w:vertAlign w:val="subscript"/>
          <w:lang w:val="en-MY"/>
        </w:rPr>
        <w:t>3</w:t>
      </w:r>
      <w:r w:rsidRPr="000173F4">
        <w:rPr>
          <w:lang w:val="en-MY"/>
        </w:rPr>
        <w:t>)</w:t>
      </w:r>
      <w:r w:rsidRPr="000173F4">
        <w:rPr>
          <w:vertAlign w:val="subscript"/>
          <w:lang w:val="en-MY"/>
        </w:rPr>
        <w:t>3</w:t>
      </w:r>
      <w:r w:rsidRPr="000173F4">
        <w:rPr>
          <w:lang w:val="en-MY"/>
        </w:rPr>
        <w:t>·6H</w:t>
      </w:r>
      <w:r w:rsidRPr="000173F4">
        <w:rPr>
          <w:vertAlign w:val="subscript"/>
          <w:lang w:val="en-MY"/>
        </w:rPr>
        <w:t>2</w:t>
      </w:r>
      <w:r w:rsidRPr="000173F4">
        <w:rPr>
          <w:lang w:val="en-MY"/>
        </w:rPr>
        <w:t>O</w:t>
      </w:r>
      <w:r>
        <w:rPr>
          <w:lang w:val="en-MY"/>
        </w:rPr>
        <w:t>]</w:t>
      </w:r>
      <w:r w:rsidRPr="000173F4">
        <w:rPr>
          <w:lang w:val="en-MY"/>
        </w:rPr>
        <w:t xml:space="preserve"> and 1.432 g of manganese nitrate </w:t>
      </w:r>
      <w:r>
        <w:rPr>
          <w:lang w:val="en-MY"/>
        </w:rPr>
        <w:t>[</w:t>
      </w:r>
      <w:r w:rsidRPr="000173F4">
        <w:rPr>
          <w:lang w:val="en-MY"/>
        </w:rPr>
        <w:t>Mn(NO</w:t>
      </w:r>
      <w:r w:rsidRPr="000173F4">
        <w:rPr>
          <w:vertAlign w:val="subscript"/>
          <w:lang w:val="en-MY"/>
        </w:rPr>
        <w:t>3</w:t>
      </w:r>
      <w:r w:rsidRPr="000173F4">
        <w:rPr>
          <w:lang w:val="en-MY"/>
        </w:rPr>
        <w:t>)</w:t>
      </w:r>
      <w:r w:rsidRPr="000173F4">
        <w:rPr>
          <w:vertAlign w:val="subscript"/>
          <w:lang w:val="en-MY"/>
        </w:rPr>
        <w:t>2</w:t>
      </w:r>
      <w:r>
        <w:rPr>
          <w:lang w:val="en-MY"/>
        </w:rPr>
        <w:t>]</w:t>
      </w:r>
      <w:r w:rsidRPr="000173F4">
        <w:rPr>
          <w:lang w:val="en-MY"/>
        </w:rPr>
        <w:t xml:space="preserve"> were dissolved in 70 mL of deionized water and stirred for 10 minutes. In a separate beaker, 0.896 g of potassium hydroxide (KOH) was dissolved in 70 mL of deionized water and stirred for 10 minutes. Then, the potassium hydroxide solution was added dropwise into the mixed solution of cerium nitrate and manganese nitrate. </w:t>
      </w:r>
      <w:r>
        <w:rPr>
          <w:lang w:val="en-MY"/>
        </w:rPr>
        <w:t>T</w:t>
      </w:r>
      <w:r w:rsidRPr="000173F4">
        <w:rPr>
          <w:lang w:val="en-MY"/>
        </w:rPr>
        <w:t>he resulting solution was stirred at 60 ℃ for 120 minutes. After stirring, the solid was filtered, washed, and dried in an oven at 60 °C. Finally, the catalyst was calcined in air at 400 °C for 4 hours.</w:t>
      </w:r>
    </w:p>
    <w:p w:rsidR="00B206F0" w:rsidRPr="00E40D86" w:rsidRDefault="00B206F0" w:rsidP="00C77892">
      <w:pPr>
        <w:pStyle w:val="TAMainText"/>
        <w:spacing w:after="240"/>
        <w:ind w:firstLine="0"/>
        <w:rPr>
          <w:i/>
        </w:rPr>
      </w:pPr>
      <w:r w:rsidRPr="00E40D86">
        <w:rPr>
          <w:i/>
          <w:iCs/>
          <w:lang w:val="en"/>
        </w:rPr>
        <w:t>Preparation of IP-MnCe (f)</w:t>
      </w:r>
    </w:p>
    <w:p w:rsidR="00B206F0" w:rsidRPr="00E40D86" w:rsidRDefault="00B206F0" w:rsidP="000173F4">
      <w:pPr>
        <w:pStyle w:val="TAMainText"/>
        <w:spacing w:after="240"/>
        <w:ind w:firstLine="0"/>
        <w:rPr>
          <w:lang w:val="en"/>
        </w:rPr>
      </w:pPr>
      <w:bookmarkStart w:id="2" w:name="_Hlk104278055"/>
      <w:r w:rsidRPr="000173F4">
        <w:rPr>
          <w:lang w:val="en-MY"/>
        </w:rPr>
        <w:t>To prepare the CeO</w:t>
      </w:r>
      <w:r w:rsidRPr="00734DA2">
        <w:rPr>
          <w:vertAlign w:val="subscript"/>
          <w:lang w:val="en-MY"/>
        </w:rPr>
        <w:t>2</w:t>
      </w:r>
      <w:r w:rsidRPr="000173F4">
        <w:rPr>
          <w:lang w:val="en-MY"/>
        </w:rPr>
        <w:t xml:space="preserve">, a solution of 1.736 g of cerium nitrate hexahydrate </w:t>
      </w:r>
      <w:r>
        <w:rPr>
          <w:lang w:val="en-MY"/>
        </w:rPr>
        <w:t>[</w:t>
      </w:r>
      <w:proofErr w:type="gramStart"/>
      <w:r w:rsidRPr="000173F4">
        <w:rPr>
          <w:lang w:val="en-MY"/>
        </w:rPr>
        <w:t>Ce(</w:t>
      </w:r>
      <w:proofErr w:type="gramEnd"/>
      <w:r w:rsidRPr="000173F4">
        <w:rPr>
          <w:lang w:val="en-MY"/>
        </w:rPr>
        <w:t>NO</w:t>
      </w:r>
      <w:r w:rsidRPr="00734DA2">
        <w:rPr>
          <w:vertAlign w:val="subscript"/>
          <w:lang w:val="en-MY"/>
        </w:rPr>
        <w:t>3</w:t>
      </w:r>
      <w:r w:rsidRPr="000173F4">
        <w:rPr>
          <w:lang w:val="en-MY"/>
        </w:rPr>
        <w:t>)</w:t>
      </w:r>
      <w:r w:rsidRPr="00734DA2">
        <w:rPr>
          <w:vertAlign w:val="subscript"/>
          <w:lang w:val="en-MY"/>
        </w:rPr>
        <w:t>3</w:t>
      </w:r>
      <w:r w:rsidRPr="000173F4">
        <w:rPr>
          <w:lang w:val="en-MY"/>
        </w:rPr>
        <w:t>·6H</w:t>
      </w:r>
      <w:r w:rsidRPr="00734DA2">
        <w:rPr>
          <w:vertAlign w:val="subscript"/>
          <w:lang w:val="en-MY"/>
        </w:rPr>
        <w:t>2</w:t>
      </w:r>
      <w:r w:rsidRPr="000173F4">
        <w:rPr>
          <w:lang w:val="en-MY"/>
        </w:rPr>
        <w:t>O</w:t>
      </w:r>
      <w:r>
        <w:rPr>
          <w:lang w:val="en-MY"/>
        </w:rPr>
        <w:t>]</w:t>
      </w:r>
      <w:r w:rsidRPr="000173F4">
        <w:rPr>
          <w:lang w:val="en-MY"/>
        </w:rPr>
        <w:t xml:space="preserve"> in 70 mL of deionized water was stirred for 10 min. Separately, a solution of 0.448 g of potassium hydroxide (KOH) in 70 mL of deionized water was also stirred for 10 min. The potassium hydroxide solution was then added dropwise to the cerium nitrate solution and the resulting mixture was stirred at 60 ℃ for 120 min. The solid was filtered, washed, and dried at 60 °C, followed by calcination in air at 400 °C for 4 h to obtain CeO</w:t>
      </w:r>
      <w:r w:rsidRPr="00734DA2">
        <w:rPr>
          <w:vertAlign w:val="subscript"/>
          <w:lang w:val="en-MY"/>
        </w:rPr>
        <w:t>2</w:t>
      </w:r>
      <w:r w:rsidRPr="000173F4">
        <w:rPr>
          <w:lang w:val="en-MY"/>
        </w:rPr>
        <w:t xml:space="preserve"> powder. To prepare the MnOx-CeO</w:t>
      </w:r>
      <w:r w:rsidRPr="00734DA2">
        <w:rPr>
          <w:vertAlign w:val="subscript"/>
          <w:lang w:val="en-MY"/>
        </w:rPr>
        <w:t>2</w:t>
      </w:r>
      <w:r w:rsidRPr="000173F4">
        <w:rPr>
          <w:lang w:val="en-MY"/>
        </w:rPr>
        <w:t xml:space="preserve"> catalysts, 1.432 g manganese nitrate </w:t>
      </w:r>
      <w:r>
        <w:rPr>
          <w:lang w:val="en-MY"/>
        </w:rPr>
        <w:t>[</w:t>
      </w:r>
      <w:proofErr w:type="gramStart"/>
      <w:r w:rsidRPr="000173F4">
        <w:rPr>
          <w:lang w:val="en-MY"/>
        </w:rPr>
        <w:t>Mn(</w:t>
      </w:r>
      <w:proofErr w:type="gramEnd"/>
      <w:r w:rsidRPr="000173F4">
        <w:rPr>
          <w:lang w:val="en-MY"/>
        </w:rPr>
        <w:t>NO</w:t>
      </w:r>
      <w:r w:rsidRPr="00734DA2">
        <w:rPr>
          <w:vertAlign w:val="subscript"/>
          <w:lang w:val="en-MY"/>
        </w:rPr>
        <w:t>3</w:t>
      </w:r>
      <w:r w:rsidRPr="000173F4">
        <w:rPr>
          <w:lang w:val="en-MY"/>
        </w:rPr>
        <w:t>)</w:t>
      </w:r>
      <w:r w:rsidRPr="00734DA2">
        <w:rPr>
          <w:vertAlign w:val="subscript"/>
          <w:lang w:val="en-MY"/>
        </w:rPr>
        <w:t>2</w:t>
      </w:r>
      <w:r>
        <w:rPr>
          <w:lang w:val="en-MY"/>
        </w:rPr>
        <w:t>]</w:t>
      </w:r>
      <w:r w:rsidRPr="000173F4">
        <w:rPr>
          <w:lang w:val="en-MY"/>
        </w:rPr>
        <w:t xml:space="preserve"> was added to a beaker and the prepared CeO</w:t>
      </w:r>
      <w:r w:rsidRPr="00734DA2">
        <w:rPr>
          <w:vertAlign w:val="subscript"/>
          <w:lang w:val="en-MY"/>
        </w:rPr>
        <w:t>2</w:t>
      </w:r>
      <w:r w:rsidRPr="000173F4">
        <w:rPr>
          <w:lang w:val="en-MY"/>
        </w:rPr>
        <w:t xml:space="preserve"> powder was added via incipient-wetness impregnation method. The impregnated solid was dried overnight at 60 °C, and then calcined in air at 400 °C for 4 h.</w:t>
      </w:r>
    </w:p>
    <w:bookmarkEnd w:id="2"/>
    <w:p w:rsidR="00B206F0" w:rsidRPr="00E40D86" w:rsidRDefault="00B206F0" w:rsidP="00C77892">
      <w:pPr>
        <w:pStyle w:val="TAMainText"/>
        <w:spacing w:after="240"/>
        <w:ind w:firstLine="0"/>
        <w:rPr>
          <w:i/>
        </w:rPr>
      </w:pPr>
      <w:r w:rsidRPr="00E40D86">
        <w:rPr>
          <w:i/>
          <w:iCs/>
          <w:lang w:val="en"/>
        </w:rPr>
        <w:t>Preparation of RH-MnCe (f)</w:t>
      </w:r>
    </w:p>
    <w:p w:rsidR="00B206F0" w:rsidRPr="00E40D86" w:rsidRDefault="00B206F0" w:rsidP="00734DA2">
      <w:pPr>
        <w:pStyle w:val="TAMainText"/>
        <w:spacing w:after="240"/>
        <w:ind w:firstLine="0"/>
        <w:rPr>
          <w:lang w:val="en"/>
        </w:rPr>
      </w:pPr>
      <w:bookmarkStart w:id="3" w:name="_Hlk104732615"/>
      <w:r w:rsidRPr="00734DA2">
        <w:rPr>
          <w:lang w:val="en-MY"/>
        </w:rPr>
        <w:t xml:space="preserve">0.868 g of cerium nitrate hexahydrate </w:t>
      </w:r>
      <w:r>
        <w:rPr>
          <w:lang w:val="en-MY"/>
        </w:rPr>
        <w:t>[</w:t>
      </w:r>
      <w:proofErr w:type="gramStart"/>
      <w:r w:rsidRPr="00734DA2">
        <w:rPr>
          <w:lang w:val="en-MY"/>
        </w:rPr>
        <w:t>Ce(</w:t>
      </w:r>
      <w:proofErr w:type="gramEnd"/>
      <w:r w:rsidRPr="00734DA2">
        <w:rPr>
          <w:lang w:val="en-MY"/>
        </w:rPr>
        <w:t>NO</w:t>
      </w:r>
      <w:r w:rsidRPr="00734DA2">
        <w:rPr>
          <w:vertAlign w:val="subscript"/>
          <w:lang w:val="en-MY"/>
        </w:rPr>
        <w:t>3</w:t>
      </w:r>
      <w:r w:rsidRPr="00734DA2">
        <w:rPr>
          <w:lang w:val="en-MY"/>
        </w:rPr>
        <w:t>)</w:t>
      </w:r>
      <w:r w:rsidRPr="00734DA2">
        <w:rPr>
          <w:vertAlign w:val="subscript"/>
          <w:lang w:val="en-MY"/>
        </w:rPr>
        <w:t>3</w:t>
      </w:r>
      <w:r w:rsidRPr="00734DA2">
        <w:rPr>
          <w:lang w:val="en-MY"/>
        </w:rPr>
        <w:t>·6H</w:t>
      </w:r>
      <w:r w:rsidRPr="00734DA2">
        <w:rPr>
          <w:vertAlign w:val="subscript"/>
          <w:lang w:val="en-MY"/>
        </w:rPr>
        <w:t>2</w:t>
      </w:r>
      <w:r w:rsidRPr="00734DA2">
        <w:rPr>
          <w:lang w:val="en-MY"/>
        </w:rPr>
        <w:t>O</w:t>
      </w:r>
      <w:r>
        <w:rPr>
          <w:lang w:val="en-MY"/>
        </w:rPr>
        <w:t>]</w:t>
      </w:r>
      <w:r w:rsidRPr="00734DA2">
        <w:rPr>
          <w:lang w:val="en-MY"/>
        </w:rPr>
        <w:t xml:space="preserve"> and 0.199 g of manganese nitrate </w:t>
      </w:r>
      <w:r>
        <w:rPr>
          <w:lang w:val="en-MY"/>
        </w:rPr>
        <w:t>[</w:t>
      </w:r>
      <w:r w:rsidRPr="00734DA2">
        <w:rPr>
          <w:lang w:val="en-MY"/>
        </w:rPr>
        <w:t>Mn(NO</w:t>
      </w:r>
      <w:r w:rsidRPr="00734DA2">
        <w:rPr>
          <w:vertAlign w:val="subscript"/>
          <w:lang w:val="en-MY"/>
        </w:rPr>
        <w:t>3</w:t>
      </w:r>
      <w:r w:rsidRPr="00734DA2">
        <w:rPr>
          <w:lang w:val="en-MY"/>
        </w:rPr>
        <w:t>)</w:t>
      </w:r>
      <w:r w:rsidRPr="00734DA2">
        <w:rPr>
          <w:vertAlign w:val="subscript"/>
          <w:lang w:val="en-MY"/>
        </w:rPr>
        <w:t>2</w:t>
      </w:r>
      <w:r>
        <w:rPr>
          <w:lang w:val="en-MY"/>
        </w:rPr>
        <w:t>]</w:t>
      </w:r>
      <w:r w:rsidRPr="00734DA2">
        <w:rPr>
          <w:lang w:val="en-MY"/>
        </w:rPr>
        <w:t xml:space="preserve"> were dissolved in 10 mL of deionized water and stirred for 10 minutes. Separately, </w:t>
      </w:r>
      <w:r w:rsidRPr="00734DA2">
        <w:rPr>
          <w:lang w:val="en-MY"/>
        </w:rPr>
        <w:lastRenderedPageBreak/>
        <w:t>0.2282 g of potassium permanganate (KMnO</w:t>
      </w:r>
      <w:r w:rsidRPr="00734DA2">
        <w:rPr>
          <w:vertAlign w:val="subscript"/>
          <w:lang w:val="en-MY"/>
        </w:rPr>
        <w:t>4</w:t>
      </w:r>
      <w:r w:rsidRPr="00734DA2">
        <w:rPr>
          <w:lang w:val="en-MY"/>
        </w:rPr>
        <w:t>) was dissolved in 30 mL of deionized water and stirred for 10 minutes, and 0.448 g of potassium hydroxide (KOH) was dissolved in 30 mL of deionized water and stirred for 10 minutes. The potassium permanganate solution and potassium hydroxide solution were then added simultaneously to the mixed solution of cerium nitrate and manganese nitrate to adjust the pH to 8. The resulting solution was stirred at 60 ℃ for 30 minutes, and then transferred to a hydrothermal reactor and heated to 180 ℃ for 20 hours. After cooling to room temperature, the solid was filtered, washed, and dried in an oven at 60 °C. Finally, the catalyst was calcined in air at 400 °C for 4 hours. The concentration of cerium nitrate hexahydrate and manganese nitrate was adjusted for different Mn/Ce ratios, while the amount of KMnO</w:t>
      </w:r>
      <w:r w:rsidRPr="00734DA2">
        <w:rPr>
          <w:vertAlign w:val="subscript"/>
          <w:lang w:val="en-MY"/>
        </w:rPr>
        <w:t>4</w:t>
      </w:r>
      <w:r w:rsidRPr="00734DA2">
        <w:rPr>
          <w:lang w:val="en-MY"/>
        </w:rPr>
        <w:t xml:space="preserve"> was kept constant.</w:t>
      </w:r>
    </w:p>
    <w:p w:rsidR="00B206F0" w:rsidRPr="00E40D86" w:rsidRDefault="00B206F0" w:rsidP="00C77892">
      <w:pPr>
        <w:pStyle w:val="TAMainText"/>
        <w:spacing w:after="240"/>
        <w:ind w:firstLine="0"/>
        <w:rPr>
          <w:i/>
        </w:rPr>
      </w:pPr>
      <w:bookmarkStart w:id="4" w:name="_Hlk106355525"/>
      <w:bookmarkEnd w:id="3"/>
      <w:r w:rsidRPr="00E40D86">
        <w:rPr>
          <w:i/>
        </w:rPr>
        <w:t xml:space="preserve">High-temperature </w:t>
      </w:r>
      <w:r w:rsidRPr="00E40D86">
        <w:rPr>
          <w:i/>
          <w:iCs/>
          <w:lang w:val="en"/>
        </w:rPr>
        <w:t>hydrothermal treatment</w:t>
      </w:r>
      <w:r w:rsidRPr="00E40D86" w:rsidDel="00AF32B7">
        <w:rPr>
          <w:i/>
          <w:iCs/>
          <w:lang w:val="en"/>
        </w:rPr>
        <w:t xml:space="preserve"> </w:t>
      </w:r>
    </w:p>
    <w:bookmarkEnd w:id="4"/>
    <w:p w:rsidR="00B206F0" w:rsidRPr="00E40D86" w:rsidRDefault="00B206F0" w:rsidP="00734DA2">
      <w:pPr>
        <w:pStyle w:val="TAMainText"/>
        <w:spacing w:after="240"/>
        <w:ind w:firstLine="0"/>
        <w:rPr>
          <w:i/>
        </w:rPr>
      </w:pPr>
      <w:r w:rsidRPr="00734DA2">
        <w:rPr>
          <w:lang w:val="en-MY"/>
        </w:rPr>
        <w:t>The newly prepared catalysts were placed in a quartz tube padded with quartz wool and inserted into the reaction furnace. Water vapor was then introduced at 750 ℃ for 12 hours. Catalysts that were freshly prepared using different methods were labelled as "f", whereas the corresponding catalysts that were</w:t>
      </w:r>
      <w:r>
        <w:rPr>
          <w:lang w:val="en-MY"/>
        </w:rPr>
        <w:t xml:space="preserve"> hydrothermally</w:t>
      </w:r>
      <w:r w:rsidRPr="00734DA2">
        <w:rPr>
          <w:lang w:val="en-MY"/>
        </w:rPr>
        <w:t xml:space="preserve"> treated were labelled as "h".</w:t>
      </w:r>
    </w:p>
    <w:p w:rsidR="00B206F0" w:rsidRPr="00E40D86" w:rsidRDefault="00B206F0" w:rsidP="00C77892">
      <w:pPr>
        <w:pStyle w:val="TAMainText"/>
        <w:spacing w:after="240"/>
        <w:ind w:firstLine="0"/>
        <w:rPr>
          <w:i/>
        </w:rPr>
      </w:pPr>
      <w:r w:rsidRPr="00E40D86">
        <w:rPr>
          <w:i/>
          <w:iCs/>
          <w:lang w:val="en"/>
        </w:rPr>
        <w:t>Preparation of MnCe/cordierite</w:t>
      </w:r>
    </w:p>
    <w:p w:rsidR="00B206F0" w:rsidRPr="00E40D86" w:rsidRDefault="00B206F0" w:rsidP="00C77892">
      <w:pPr>
        <w:pStyle w:val="TAMainText"/>
        <w:spacing w:after="240"/>
        <w:rPr>
          <w:lang w:val="en"/>
        </w:rPr>
      </w:pPr>
      <w:r w:rsidRPr="00E40D86">
        <w:rPr>
          <w:b/>
          <w:bCs/>
          <w:lang w:val="en"/>
        </w:rPr>
        <w:t>Preparation of alumina sol.</w:t>
      </w:r>
      <w:r w:rsidRPr="00E40D86">
        <w:rPr>
          <w:lang w:val="en"/>
        </w:rPr>
        <w:t xml:space="preserve"> </w:t>
      </w:r>
      <w:r w:rsidRPr="00734DA2">
        <w:rPr>
          <w:lang w:val="en-MY"/>
        </w:rPr>
        <w:t>A solution was made by dissolving 150 g of nitric acid in 2850 g of deionized water. 198 g of pseudo-boehmite was then added to the nitric acid solution, and the resulting mixture was stirred until it was homogeneous.</w:t>
      </w:r>
    </w:p>
    <w:p w:rsidR="00B206F0" w:rsidRPr="00E40D86" w:rsidRDefault="00B206F0" w:rsidP="00C77892">
      <w:pPr>
        <w:pStyle w:val="TAMainText"/>
        <w:spacing w:after="240"/>
        <w:rPr>
          <w:lang w:val="en"/>
        </w:rPr>
      </w:pPr>
      <w:r w:rsidRPr="00E40D86">
        <w:rPr>
          <w:b/>
          <w:bCs/>
          <w:lang w:val="en"/>
        </w:rPr>
        <w:t>Preparation of binder.</w:t>
      </w:r>
      <w:r w:rsidRPr="00E40D86">
        <w:rPr>
          <w:lang w:val="en"/>
        </w:rPr>
        <w:t xml:space="preserve"> </w:t>
      </w:r>
      <w:r w:rsidRPr="00734DA2">
        <w:rPr>
          <w:lang w:val="en-MY"/>
        </w:rPr>
        <w:t>A solution was made by dissolving 30 g of polyethylene glycol in 60 mL of aluminium sol, and the resulting mixture was stirred until it was homogeneous.</w:t>
      </w:r>
      <w:r w:rsidRPr="00E40D86">
        <w:rPr>
          <w:lang w:val="en"/>
        </w:rPr>
        <w:t xml:space="preserve"> </w:t>
      </w:r>
    </w:p>
    <w:p w:rsidR="00B206F0" w:rsidRPr="00E40D86" w:rsidRDefault="00B206F0" w:rsidP="00C77892">
      <w:pPr>
        <w:pStyle w:val="TAMainText"/>
        <w:spacing w:after="240"/>
        <w:rPr>
          <w:lang w:val="en"/>
        </w:rPr>
      </w:pPr>
      <w:r w:rsidRPr="00E40D86">
        <w:rPr>
          <w:b/>
          <w:lang w:val="en"/>
        </w:rPr>
        <w:t>Impregnation.</w:t>
      </w:r>
      <w:r w:rsidRPr="00E40D86">
        <w:rPr>
          <w:lang w:val="en"/>
        </w:rPr>
        <w:t xml:space="preserve"> </w:t>
      </w:r>
      <w:r w:rsidRPr="00734DA2">
        <w:rPr>
          <w:lang w:val="en-MY"/>
        </w:rPr>
        <w:t xml:space="preserve">To prepare the catalyst, 5 g of powdered catalyst was mixed with 30 mL of deionized water, followed by the addition of 9 mL of binder. The mixture containing the </w:t>
      </w:r>
      <w:r w:rsidRPr="00734DA2">
        <w:rPr>
          <w:lang w:val="en-MY"/>
        </w:rPr>
        <w:lastRenderedPageBreak/>
        <w:t>catalyst was stirred well and heated to 60 °C for 6 hours. Afterward, cordierite was thoroughly impregnated with the mixture and dried in an oven at 100 °C for 6 hours. The cordierite was then impregnated with the mixture once more and dried overnight at 100 °C. Finally, it was calcined at 550 °C for 3 hours.</w:t>
      </w:r>
    </w:p>
    <w:p w:rsidR="00B206F0" w:rsidRPr="00E40D86" w:rsidRDefault="00B206F0" w:rsidP="00C77892">
      <w:pPr>
        <w:pStyle w:val="TAMainText"/>
        <w:spacing w:after="240"/>
        <w:ind w:firstLine="0"/>
        <w:rPr>
          <w:i/>
          <w:iCs/>
          <w:lang w:val="en"/>
        </w:rPr>
      </w:pPr>
      <w:r w:rsidRPr="00E40D86">
        <w:rPr>
          <w:i/>
          <w:iCs/>
          <w:lang w:val="en"/>
        </w:rPr>
        <w:t>Catalyst activity evaluation</w:t>
      </w:r>
    </w:p>
    <w:p w:rsidR="00B206F0" w:rsidRPr="00E40D86" w:rsidRDefault="00B206F0" w:rsidP="00734DA2">
      <w:pPr>
        <w:pStyle w:val="TAMainText"/>
        <w:spacing w:after="240"/>
        <w:ind w:firstLine="0"/>
        <w:rPr>
          <w:bCs/>
          <w:lang w:val="en"/>
        </w:rPr>
      </w:pPr>
      <w:r w:rsidRPr="00734DA2">
        <w:rPr>
          <w:lang w:val="en-MY"/>
        </w:rPr>
        <w:t>In the fixed-bed reactor, 20-40 mesh catalysts (0.1 g) were used to perform the oxidation of ethyl acetate. The ethyl acetate was introduced into the reactor with a concentration of 1000 ppm via air, and the mass velocity was 30000 mL/(</w:t>
      </w:r>
      <w:proofErr w:type="spellStart"/>
      <w:r w:rsidRPr="00734DA2">
        <w:rPr>
          <w:lang w:val="en-MY"/>
        </w:rPr>
        <w:t>g</w:t>
      </w:r>
      <w:r w:rsidRPr="00734DA2">
        <w:rPr>
          <w:vertAlign w:val="subscript"/>
          <w:lang w:val="en-MY"/>
        </w:rPr>
        <w:t>cat</w:t>
      </w:r>
      <w:r w:rsidRPr="00734DA2">
        <w:rPr>
          <w:lang w:val="en-MY"/>
        </w:rPr>
        <w:t>·h</w:t>
      </w:r>
      <w:proofErr w:type="spellEnd"/>
      <w:r w:rsidRPr="00734DA2">
        <w:rPr>
          <w:lang w:val="en-MY"/>
        </w:rPr>
        <w:t>). The gas chromatography (GC) equipped with an FID detector was used to measure the online products. Additionally, the outlet gas was introduced into a methanation reactor connected to another FID detector to verify the production of CO and CO</w:t>
      </w:r>
      <w:r w:rsidRPr="00734DA2">
        <w:rPr>
          <w:vertAlign w:val="subscript"/>
          <w:lang w:val="en-MY"/>
        </w:rPr>
        <w:t>2</w:t>
      </w:r>
      <w:r w:rsidRPr="00734DA2">
        <w:rPr>
          <w:lang w:val="en-MY"/>
        </w:rPr>
        <w:t>.</w:t>
      </w:r>
      <w:r w:rsidRPr="00E40D86">
        <w:rPr>
          <w:bCs/>
          <w:lang w:val="en"/>
        </w:rPr>
        <w:t xml:space="preserve"> </w:t>
      </w:r>
    </w:p>
    <w:p w:rsidR="00B206F0" w:rsidRPr="00E40D86" w:rsidRDefault="00B206F0" w:rsidP="00C77892">
      <w:pPr>
        <w:pStyle w:val="TAMainText"/>
        <w:spacing w:after="240"/>
        <w:ind w:firstLine="0"/>
        <w:rPr>
          <w:i/>
        </w:rPr>
      </w:pPr>
      <w:r w:rsidRPr="00E40D86">
        <w:rPr>
          <w:i/>
        </w:rPr>
        <w:t>Characterization of catalysts</w:t>
      </w:r>
    </w:p>
    <w:p w:rsidR="00B206F0" w:rsidRPr="00E40D86" w:rsidRDefault="00B206F0" w:rsidP="00734DA2">
      <w:pPr>
        <w:pStyle w:val="TAMainText"/>
        <w:spacing w:after="240"/>
        <w:ind w:firstLine="0"/>
        <w:rPr>
          <w:iCs/>
          <w:lang w:val="en"/>
        </w:rPr>
      </w:pPr>
      <w:r w:rsidRPr="00734DA2">
        <w:rPr>
          <w:iCs/>
          <w:lang w:val="en-MY"/>
        </w:rPr>
        <w:t>The catalysts were analysed using X-ray diffraction (XRD) with a Rigaku Ultima IV X-ray diffractometer from Rigaku, Japan. The analysis was conducted with the following conditions: a Cu Kα X-ray source (λ = 0.15418 nm), 40 kV voltage, 30 mA current, 5° &lt; 2θ &lt; 90° detection range, and 10°/min scanning speed. The specific surface area of the sample was obtained by processing the data from the N</w:t>
      </w:r>
      <w:r w:rsidRPr="00734DA2">
        <w:rPr>
          <w:iCs/>
          <w:vertAlign w:val="subscript"/>
          <w:lang w:val="en-MY"/>
        </w:rPr>
        <w:t>2</w:t>
      </w:r>
      <w:r w:rsidRPr="00734DA2">
        <w:rPr>
          <w:iCs/>
          <w:lang w:val="en-MY"/>
        </w:rPr>
        <w:t xml:space="preserve"> adsorption-desorption analysis (BET), which was conducted using a TriStar II 3020 automatic physical adsorption instrument manufactured by the Micromeritics Company in the United States, following the </w:t>
      </w:r>
      <w:proofErr w:type="spellStart"/>
      <w:r w:rsidRPr="00734DA2">
        <w:rPr>
          <w:iCs/>
          <w:lang w:val="en-MY"/>
        </w:rPr>
        <w:t>Brunauer</w:t>
      </w:r>
      <w:proofErr w:type="spellEnd"/>
      <w:r w:rsidRPr="00734DA2">
        <w:rPr>
          <w:iCs/>
          <w:lang w:val="en-MY"/>
        </w:rPr>
        <w:t>-Emmett-Teller (BET) method. Additionally, the hydrogen temperature-programmed reduction experiment (H</w:t>
      </w:r>
      <w:r w:rsidRPr="00734DA2">
        <w:rPr>
          <w:iCs/>
          <w:vertAlign w:val="subscript"/>
          <w:lang w:val="en-MY"/>
        </w:rPr>
        <w:t>2</w:t>
      </w:r>
      <w:r w:rsidRPr="00734DA2">
        <w:rPr>
          <w:iCs/>
          <w:lang w:val="en-MY"/>
        </w:rPr>
        <w:t>-TPR) analysis was performed using an Auto Chem II 2920 automatic temperature programmed chemisorption instrument produced by the Micromeritics Instrument Company in the United States.</w:t>
      </w:r>
      <w:r w:rsidRPr="00E40D86">
        <w:rPr>
          <w:iCs/>
          <w:lang w:val="en"/>
        </w:rPr>
        <w:t xml:space="preserve"> </w:t>
      </w:r>
      <w:r w:rsidRPr="001E2E2D">
        <w:rPr>
          <w:iCs/>
          <w:lang w:val="en-MY"/>
        </w:rPr>
        <w:t>The H</w:t>
      </w:r>
      <w:r w:rsidRPr="001E2E2D">
        <w:rPr>
          <w:iCs/>
          <w:vertAlign w:val="subscript"/>
          <w:lang w:val="en-MY"/>
        </w:rPr>
        <w:t>2</w:t>
      </w:r>
      <w:r w:rsidRPr="001E2E2D">
        <w:rPr>
          <w:iCs/>
          <w:lang w:val="en-MY"/>
        </w:rPr>
        <w:t xml:space="preserve">-TPR spectra were exported for subsequent analysis after being obtained by Hai Xin SE Pu Instrument Co., Ltd. The scanning electron microscopy (SEM) was conducted using </w:t>
      </w:r>
      <w:r w:rsidRPr="001E2E2D">
        <w:rPr>
          <w:iCs/>
          <w:lang w:val="en-MY"/>
        </w:rPr>
        <w:lastRenderedPageBreak/>
        <w:t xml:space="preserve">a Zeiss SUPRA 55 field emission scanning electron </w:t>
      </w:r>
      <w:proofErr w:type="gramStart"/>
      <w:r w:rsidRPr="001E2E2D">
        <w:rPr>
          <w:iCs/>
          <w:lang w:val="en-MY"/>
        </w:rPr>
        <w:t>microscope</w:t>
      </w:r>
      <w:proofErr w:type="gramEnd"/>
      <w:r w:rsidRPr="001E2E2D">
        <w:rPr>
          <w:iCs/>
          <w:lang w:val="en-MY"/>
        </w:rPr>
        <w:t>. During the X-ray photoelectron spectroscopy (XPS) analysis of the catalysts, a K-Alpha spectrometer manufactured by Thermo Fisher Scientific was used with Al-Kα serving as the X-ray excitation source. The binding energies of the elements were corrected using the binding energy of carbon C 1s (E</w:t>
      </w:r>
      <w:r w:rsidRPr="001E2E2D">
        <w:rPr>
          <w:iCs/>
          <w:vertAlign w:val="subscript"/>
          <w:lang w:val="en-MY"/>
        </w:rPr>
        <w:t>b</w:t>
      </w:r>
      <w:r w:rsidRPr="001E2E2D">
        <w:rPr>
          <w:iCs/>
          <w:lang w:val="en-MY"/>
        </w:rPr>
        <w:t xml:space="preserve"> = 284.6 eV) as the reference value. The XPS Fitting software was used to obtain the valence content and peak area of the elements. O</w:t>
      </w:r>
      <w:r w:rsidRPr="001E2E2D">
        <w:rPr>
          <w:iCs/>
          <w:vertAlign w:val="subscript"/>
          <w:lang w:val="en-MY"/>
        </w:rPr>
        <w:t>2</w:t>
      </w:r>
      <w:r w:rsidRPr="001E2E2D">
        <w:rPr>
          <w:iCs/>
          <w:lang w:val="en-MY"/>
        </w:rPr>
        <w:t xml:space="preserve">-TPD measurements of the catalysts were performed using a </w:t>
      </w:r>
      <w:r w:rsidRPr="00216E52">
        <w:rPr>
          <w:iCs/>
          <w:lang w:val="en-MY"/>
        </w:rPr>
        <w:t>homemade apparatus</w:t>
      </w:r>
      <w:r w:rsidRPr="001E2E2D">
        <w:rPr>
          <w:iCs/>
          <w:lang w:val="en-MY"/>
        </w:rPr>
        <w:t xml:space="preserve"> with mass spectrometry. The catalysts (100 mg) were </w:t>
      </w:r>
      <w:proofErr w:type="spellStart"/>
      <w:r w:rsidRPr="001E2E2D">
        <w:rPr>
          <w:iCs/>
          <w:lang w:val="en-MY"/>
        </w:rPr>
        <w:t>pretreated</w:t>
      </w:r>
      <w:proofErr w:type="spellEnd"/>
      <w:r w:rsidRPr="001E2E2D">
        <w:rPr>
          <w:iCs/>
          <w:lang w:val="en-MY"/>
        </w:rPr>
        <w:t xml:space="preserve"> with </w:t>
      </w:r>
      <w:proofErr w:type="spellStart"/>
      <w:r w:rsidRPr="001E2E2D">
        <w:rPr>
          <w:iCs/>
          <w:lang w:val="en-MY"/>
        </w:rPr>
        <w:t>He</w:t>
      </w:r>
      <w:proofErr w:type="spellEnd"/>
      <w:r w:rsidRPr="001E2E2D">
        <w:rPr>
          <w:iCs/>
          <w:lang w:val="en-MY"/>
        </w:rPr>
        <w:t xml:space="preserve"> flow (30 mL/min) at 300 ℃ for 60 minutes to remove physically adsorbed molecules, then cooled down to 50 ℃. Subsequently, a 10% O</w:t>
      </w:r>
      <w:r w:rsidRPr="001E2E2D">
        <w:rPr>
          <w:iCs/>
          <w:vertAlign w:val="subscript"/>
          <w:lang w:val="en-MY"/>
        </w:rPr>
        <w:t>2</w:t>
      </w:r>
      <w:r w:rsidRPr="001E2E2D">
        <w:rPr>
          <w:iCs/>
          <w:lang w:val="en-MY"/>
        </w:rPr>
        <w:t>/He flow (30 mL/min) was introduced for 60 minutes, followed by purging with pure He (30 mL/min) for 45 minutes at 50 ℃ to remove the O</w:t>
      </w:r>
      <w:r w:rsidRPr="001E2E2D">
        <w:rPr>
          <w:iCs/>
          <w:vertAlign w:val="subscript"/>
          <w:lang w:val="en-MY"/>
        </w:rPr>
        <w:t>2</w:t>
      </w:r>
      <w:r w:rsidRPr="001E2E2D">
        <w:rPr>
          <w:iCs/>
          <w:lang w:val="en-MY"/>
        </w:rPr>
        <w:t>. Finally, the temperature was increased to 850 ℃ with a ramp rate of 10 ℃/min in a flowing He stream, and the fraction signal with m/z = 32 was used.</w:t>
      </w:r>
    </w:p>
    <w:p w:rsidR="00B206F0" w:rsidRPr="00E40D86" w:rsidRDefault="00B206F0" w:rsidP="00C77892">
      <w:pPr>
        <w:pStyle w:val="TAMainText"/>
        <w:spacing w:after="240"/>
        <w:ind w:firstLine="0"/>
        <w:rPr>
          <w:i/>
          <w:lang w:val="en"/>
        </w:rPr>
      </w:pPr>
      <w:r w:rsidRPr="00E40D86">
        <w:rPr>
          <w:i/>
          <w:lang w:val="en"/>
        </w:rPr>
        <w:t>Calculation Setups</w:t>
      </w:r>
    </w:p>
    <w:p w:rsidR="00B206F0" w:rsidRDefault="00B206F0" w:rsidP="00C77892">
      <w:pPr>
        <w:spacing w:line="480" w:lineRule="auto"/>
        <w:jc w:val="both"/>
        <w:rPr>
          <w:rFonts w:ascii="Times New Roman" w:hAnsi="Times New Roman" w:cs="Times New Roman"/>
          <w:sz w:val="24"/>
          <w:szCs w:val="24"/>
        </w:rPr>
      </w:pPr>
      <w:bookmarkStart w:id="5" w:name="_Hlk131456959"/>
      <w:r w:rsidRPr="001E2E2D">
        <w:rPr>
          <w:rFonts w:ascii="Times New Roman" w:hAnsi="Times New Roman" w:cs="Times New Roman"/>
          <w:sz w:val="24"/>
          <w:szCs w:val="24"/>
        </w:rPr>
        <w:t>Version 6.6 of the Quantum ESPRESSO electronic structure code</w:t>
      </w:r>
      <w:r>
        <w:rPr>
          <w:rFonts w:ascii="Times New Roman" w:hAnsi="Times New Roman" w:cs="Times New Roman"/>
          <w:sz w:val="24"/>
          <w:szCs w:val="24"/>
        </w:rPr>
        <w:t xml:space="preserve"> </w:t>
      </w:r>
      <w:r>
        <w:rPr>
          <w:rFonts w:ascii="Times New Roman" w:hAnsi="Times New Roman" w:cs="Times New Roman"/>
          <w:noProof/>
          <w:sz w:val="24"/>
          <w:szCs w:val="24"/>
        </w:rPr>
        <w:t>(Giannozzi</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2009, Giannozzi</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2017)</w:t>
      </w:r>
      <w:r w:rsidRPr="00695119">
        <w:rPr>
          <w:rFonts w:ascii="Times New Roman" w:hAnsi="Times New Roman" w:cs="Times New Roman"/>
          <w:sz w:val="24"/>
          <w:szCs w:val="24"/>
        </w:rPr>
        <w:t xml:space="preserve"> </w:t>
      </w:r>
      <w:r w:rsidRPr="001E2E2D">
        <w:rPr>
          <w:rFonts w:ascii="Times New Roman" w:hAnsi="Times New Roman" w:cs="Times New Roman"/>
          <w:sz w:val="24"/>
          <w:szCs w:val="24"/>
        </w:rPr>
        <w:t xml:space="preserve">was used for all spin-polarized density functional theory (DFT) calculations. Van der Waals correction was included using </w:t>
      </w:r>
      <w:proofErr w:type="spellStart"/>
      <w:r w:rsidRPr="001E2E2D">
        <w:rPr>
          <w:rFonts w:ascii="Times New Roman" w:hAnsi="Times New Roman" w:cs="Times New Roman"/>
          <w:sz w:val="24"/>
          <w:szCs w:val="24"/>
        </w:rPr>
        <w:t>Grimme's</w:t>
      </w:r>
      <w:proofErr w:type="spellEnd"/>
      <w:r w:rsidRPr="001E2E2D">
        <w:rPr>
          <w:rFonts w:ascii="Times New Roman" w:hAnsi="Times New Roman" w:cs="Times New Roman"/>
          <w:sz w:val="24"/>
          <w:szCs w:val="24"/>
        </w:rPr>
        <w:t xml:space="preserve"> D3 method</w:t>
      </w:r>
      <w:r>
        <w:rPr>
          <w:rFonts w:ascii="Times New Roman" w:hAnsi="Times New Roman" w:cs="Times New Roman"/>
          <w:sz w:val="24"/>
          <w:szCs w:val="24"/>
        </w:rPr>
        <w:t xml:space="preserve"> </w:t>
      </w:r>
      <w:r>
        <w:rPr>
          <w:rFonts w:ascii="Times New Roman" w:hAnsi="Times New Roman" w:cs="Times New Roman"/>
          <w:noProof/>
          <w:sz w:val="24"/>
          <w:szCs w:val="24"/>
        </w:rPr>
        <w:t>(Grimme</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2010, Caldeweyher</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2017)</w:t>
      </w:r>
      <w:r>
        <w:rPr>
          <w:rFonts w:ascii="Times New Roman" w:hAnsi="Times New Roman" w:cs="Times New Roman"/>
          <w:sz w:val="24"/>
          <w:szCs w:val="24"/>
        </w:rPr>
        <w:t>,</w:t>
      </w:r>
      <w:r w:rsidRPr="00695119">
        <w:rPr>
          <w:rFonts w:ascii="Times New Roman" w:hAnsi="Times New Roman" w:cs="Times New Roman"/>
          <w:sz w:val="24"/>
          <w:szCs w:val="24"/>
        </w:rPr>
        <w:t xml:space="preserve"> </w:t>
      </w:r>
      <w:r w:rsidRPr="001E2E2D">
        <w:rPr>
          <w:rFonts w:ascii="Times New Roman" w:hAnsi="Times New Roman" w:cs="Times New Roman"/>
          <w:sz w:val="24"/>
          <w:szCs w:val="24"/>
        </w:rPr>
        <w:t>while the projector augmented wave (PAW) method was employed to describe the interactions between the ion cores and electrons</w:t>
      </w:r>
      <w:r>
        <w:rPr>
          <w:rFonts w:ascii="Times New Roman" w:hAnsi="Times New Roman" w:cs="Times New Roman"/>
          <w:sz w:val="24"/>
          <w:szCs w:val="24"/>
        </w:rPr>
        <w:t xml:space="preserve"> </w:t>
      </w:r>
      <w:r>
        <w:rPr>
          <w:rFonts w:ascii="Times New Roman" w:hAnsi="Times New Roman" w:cs="Times New Roman"/>
          <w:noProof/>
          <w:sz w:val="24"/>
          <w:szCs w:val="24"/>
        </w:rPr>
        <w:t>(Blöchl 1994)</w:t>
      </w:r>
      <w:r w:rsidRPr="00695119">
        <w:rPr>
          <w:rFonts w:ascii="Times New Roman" w:hAnsi="Times New Roman" w:cs="Times New Roman"/>
          <w:sz w:val="24"/>
          <w:szCs w:val="24"/>
        </w:rPr>
        <w:t xml:space="preserve">. </w:t>
      </w:r>
      <w:r w:rsidRPr="001E2E2D">
        <w:rPr>
          <w:rFonts w:ascii="Times New Roman" w:hAnsi="Times New Roman" w:cs="Times New Roman"/>
          <w:sz w:val="24"/>
          <w:szCs w:val="24"/>
        </w:rPr>
        <w:t>The generalized gradient approximation with a Hubbard parameter</w:t>
      </w:r>
      <w:r>
        <w:rPr>
          <w:rFonts w:ascii="Times New Roman" w:hAnsi="Times New Roman" w:cs="Times New Roman"/>
          <w:sz w:val="24"/>
          <w:szCs w:val="24"/>
        </w:rPr>
        <w:t xml:space="preserve"> </w:t>
      </w:r>
      <w:r>
        <w:rPr>
          <w:rFonts w:ascii="Times New Roman" w:hAnsi="Times New Roman" w:cs="Times New Roman"/>
          <w:noProof/>
          <w:sz w:val="24"/>
          <w:szCs w:val="24"/>
        </w:rPr>
        <w:t>(Dudarev</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1998)</w:t>
      </w:r>
      <w:r w:rsidRPr="00695119">
        <w:rPr>
          <w:rFonts w:ascii="Times New Roman" w:hAnsi="Times New Roman" w:cs="Times New Roman"/>
          <w:sz w:val="24"/>
          <w:szCs w:val="24"/>
        </w:rPr>
        <w:t xml:space="preserve"> (DFT + U) </w:t>
      </w:r>
      <w:r w:rsidRPr="001E2E2D">
        <w:rPr>
          <w:rFonts w:ascii="Times New Roman" w:hAnsi="Times New Roman" w:cs="Times New Roman"/>
          <w:sz w:val="24"/>
          <w:szCs w:val="24"/>
        </w:rPr>
        <w:t xml:space="preserve">based on the </w:t>
      </w:r>
      <w:proofErr w:type="spellStart"/>
      <w:r w:rsidRPr="001E2E2D">
        <w:rPr>
          <w:rFonts w:ascii="Times New Roman" w:hAnsi="Times New Roman" w:cs="Times New Roman"/>
          <w:sz w:val="24"/>
          <w:szCs w:val="24"/>
        </w:rPr>
        <w:t>Perdew</w:t>
      </w:r>
      <w:proofErr w:type="spellEnd"/>
      <w:r w:rsidRPr="001E2E2D">
        <w:rPr>
          <w:rFonts w:ascii="Times New Roman" w:hAnsi="Times New Roman" w:cs="Times New Roman"/>
          <w:sz w:val="24"/>
          <w:szCs w:val="24"/>
        </w:rPr>
        <w:t>-Burke-</w:t>
      </w:r>
      <w:proofErr w:type="spellStart"/>
      <w:r w:rsidRPr="001E2E2D">
        <w:rPr>
          <w:rFonts w:ascii="Times New Roman" w:hAnsi="Times New Roman" w:cs="Times New Roman"/>
          <w:sz w:val="24"/>
          <w:szCs w:val="24"/>
        </w:rPr>
        <w:t>Ernzerhof</w:t>
      </w:r>
      <w:proofErr w:type="spellEnd"/>
      <w:r w:rsidRPr="001E2E2D">
        <w:rPr>
          <w:rFonts w:ascii="Times New Roman" w:hAnsi="Times New Roman" w:cs="Times New Roman"/>
          <w:sz w:val="24"/>
          <w:szCs w:val="24"/>
        </w:rPr>
        <w:t xml:space="preserve"> functional</w:t>
      </w:r>
      <w:r>
        <w:rPr>
          <w:rFonts w:ascii="Times New Roman" w:hAnsi="Times New Roman" w:cs="Times New Roman"/>
          <w:sz w:val="24"/>
          <w:szCs w:val="24"/>
        </w:rPr>
        <w:t xml:space="preserve"> </w:t>
      </w:r>
      <w:r>
        <w:rPr>
          <w:rFonts w:ascii="Times New Roman" w:hAnsi="Times New Roman" w:cs="Times New Roman"/>
          <w:noProof/>
          <w:sz w:val="24"/>
          <w:szCs w:val="24"/>
        </w:rPr>
        <w:t>(Perdew</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1996)</w:t>
      </w:r>
      <w:r w:rsidRPr="00695119">
        <w:rPr>
          <w:rFonts w:ascii="Times New Roman" w:hAnsi="Times New Roman" w:cs="Times New Roman"/>
          <w:sz w:val="24"/>
          <w:szCs w:val="24"/>
        </w:rPr>
        <w:t xml:space="preserve"> </w:t>
      </w:r>
      <w:r w:rsidRPr="001E2E2D">
        <w:rPr>
          <w:rFonts w:ascii="Times New Roman" w:hAnsi="Times New Roman" w:cs="Times New Roman"/>
          <w:sz w:val="24"/>
          <w:szCs w:val="24"/>
        </w:rPr>
        <w:t>was used to treat electron exchange-correlation. Due to the limitations of DFT in representing the nature of Ce 4f electrons and d-states of metal oxides</w:t>
      </w:r>
      <w:r>
        <w:rPr>
          <w:rFonts w:ascii="Times New Roman" w:hAnsi="Times New Roman" w:cs="Times New Roman"/>
          <w:sz w:val="24"/>
          <w:szCs w:val="24"/>
        </w:rPr>
        <w:t xml:space="preserve"> </w:t>
      </w:r>
      <w:r>
        <w:rPr>
          <w:rFonts w:ascii="Times New Roman" w:hAnsi="Times New Roman" w:cs="Times New Roman"/>
          <w:noProof/>
          <w:sz w:val="24"/>
          <w:szCs w:val="24"/>
        </w:rPr>
        <w:t>(Krcha</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2012, Carey and Nolan 2016)</w:t>
      </w:r>
      <w:r>
        <w:rPr>
          <w:rFonts w:ascii="Times New Roman" w:hAnsi="Times New Roman" w:cs="Times New Roman"/>
          <w:sz w:val="24"/>
          <w:szCs w:val="24"/>
        </w:rPr>
        <w:t>,</w:t>
      </w:r>
      <w:r w:rsidRPr="00695119">
        <w:rPr>
          <w:rFonts w:ascii="Times New Roman" w:hAnsi="Times New Roman" w:cs="Times New Roman"/>
          <w:sz w:val="24"/>
          <w:szCs w:val="24"/>
        </w:rPr>
        <w:t xml:space="preserve"> </w:t>
      </w:r>
      <w:r w:rsidRPr="001E2E2D">
        <w:rPr>
          <w:rFonts w:ascii="Times New Roman" w:hAnsi="Times New Roman" w:cs="Times New Roman"/>
          <w:sz w:val="24"/>
          <w:szCs w:val="24"/>
        </w:rPr>
        <w:t>a U value of 6.3 eV was utilized, as documented by Jiang et al</w:t>
      </w:r>
      <w:r>
        <w:rPr>
          <w:rFonts w:ascii="Times New Roman" w:hAnsi="Times New Roman" w:cs="Times New Roman"/>
          <w:sz w:val="24"/>
          <w:szCs w:val="24"/>
        </w:rPr>
        <w:t xml:space="preserve"> </w:t>
      </w:r>
      <w:r>
        <w:rPr>
          <w:rFonts w:ascii="Times New Roman" w:hAnsi="Times New Roman" w:cs="Times New Roman"/>
          <w:noProof/>
          <w:sz w:val="24"/>
          <w:szCs w:val="24"/>
        </w:rPr>
        <w:t>(Jiang</w:t>
      </w:r>
      <w:r w:rsidRPr="005B1ECA">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2005)</w:t>
      </w:r>
      <w:r w:rsidRPr="00695119">
        <w:rPr>
          <w:rFonts w:ascii="Times New Roman" w:hAnsi="Times New Roman" w:cs="Times New Roman"/>
          <w:sz w:val="24"/>
          <w:szCs w:val="24"/>
        </w:rPr>
        <w:t xml:space="preserve">. </w:t>
      </w:r>
      <w:r w:rsidRPr="001E2E2D">
        <w:rPr>
          <w:rFonts w:ascii="Times New Roman" w:hAnsi="Times New Roman" w:cs="Times New Roman"/>
          <w:sz w:val="24"/>
          <w:szCs w:val="24"/>
        </w:rPr>
        <w:t xml:space="preserve">A plane wave basis set with a </w:t>
      </w:r>
      <w:proofErr w:type="spellStart"/>
      <w:r w:rsidRPr="001E2E2D">
        <w:rPr>
          <w:rFonts w:ascii="Times New Roman" w:hAnsi="Times New Roman" w:cs="Times New Roman"/>
          <w:sz w:val="24"/>
          <w:szCs w:val="24"/>
        </w:rPr>
        <w:t>cutoff</w:t>
      </w:r>
      <w:proofErr w:type="spellEnd"/>
      <w:r w:rsidRPr="001E2E2D">
        <w:rPr>
          <w:rFonts w:ascii="Times New Roman" w:hAnsi="Times New Roman" w:cs="Times New Roman"/>
          <w:sz w:val="24"/>
          <w:szCs w:val="24"/>
        </w:rPr>
        <w:t xml:space="preserve"> energy of 400 eV was employed, and Brillouin zone sampling was restricted to </w:t>
      </w:r>
      <w:r w:rsidRPr="001E2E2D">
        <w:rPr>
          <w:rFonts w:ascii="Times New Roman" w:hAnsi="Times New Roman" w:cs="Times New Roman"/>
          <w:sz w:val="24"/>
          <w:szCs w:val="24"/>
        </w:rPr>
        <w:lastRenderedPageBreak/>
        <w:t>the Γ point. The Gaussian smearing model with σ = 0.01 was used to integrate the Brillouin zone. During the calculations, all atoms were allowed to fully relax, with convergence of the structural optimization determined when the maximum forces on unconstrained atoms were less than 0.005 eV/Å. The optimized structures were visualized using VESTA</w:t>
      </w:r>
      <w:r>
        <w:rPr>
          <w:rFonts w:ascii="Times New Roman" w:hAnsi="Times New Roman" w:cs="Times New Roman"/>
          <w:sz w:val="24"/>
          <w:szCs w:val="24"/>
        </w:rPr>
        <w:t xml:space="preserve"> </w:t>
      </w:r>
      <w:r>
        <w:rPr>
          <w:rFonts w:ascii="Times New Roman" w:hAnsi="Times New Roman" w:cs="Times New Roman"/>
          <w:noProof/>
          <w:sz w:val="24"/>
          <w:szCs w:val="24"/>
        </w:rPr>
        <w:t>(Momma and Izumi 2011)</w:t>
      </w:r>
      <w:r w:rsidRPr="00695119">
        <w:rPr>
          <w:rFonts w:ascii="Times New Roman" w:hAnsi="Times New Roman" w:cs="Times New Roman"/>
          <w:sz w:val="24"/>
          <w:szCs w:val="24"/>
        </w:rPr>
        <w:t>.</w:t>
      </w:r>
    </w:p>
    <w:p w:rsidR="00B206F0" w:rsidRDefault="00B206F0" w:rsidP="00C77892">
      <w:pPr>
        <w:spacing w:line="480" w:lineRule="auto"/>
        <w:jc w:val="both"/>
        <w:rPr>
          <w:rFonts w:ascii="Times New Roman" w:hAnsi="Times New Roman" w:cs="Times New Roman"/>
          <w:sz w:val="24"/>
          <w:szCs w:val="24"/>
        </w:rPr>
      </w:pPr>
    </w:p>
    <w:p w:rsidR="00B206F0" w:rsidRDefault="00B206F0" w:rsidP="00C77892">
      <w:pPr>
        <w:spacing w:line="480" w:lineRule="auto"/>
        <w:jc w:val="both"/>
        <w:rPr>
          <w:rFonts w:ascii="Times New Roman" w:hAnsi="Times New Roman" w:cs="Times New Roman"/>
          <w:sz w:val="24"/>
          <w:szCs w:val="24"/>
        </w:rPr>
      </w:pPr>
    </w:p>
    <w:p w:rsidR="00B206F0" w:rsidRDefault="00B206F0" w:rsidP="00804C31">
      <w:pPr>
        <w:pStyle w:val="TAMainText"/>
        <w:spacing w:after="240"/>
        <w:ind w:firstLine="0"/>
        <w:rPr>
          <w:b/>
          <w:bCs/>
        </w:rPr>
        <w:sectPr w:rsidR="00B206F0">
          <w:pgSz w:w="11906" w:h="16838"/>
          <w:pgMar w:top="1440" w:right="1440" w:bottom="1440" w:left="1440" w:header="708" w:footer="708" w:gutter="0"/>
          <w:cols w:space="708"/>
          <w:docGrid w:linePitch="360"/>
        </w:sectPr>
      </w:pPr>
    </w:p>
    <w:p w:rsidR="00B206F0" w:rsidRPr="007F1E0E" w:rsidRDefault="00B206F0" w:rsidP="00804C31">
      <w:pPr>
        <w:pStyle w:val="TAMainText"/>
        <w:spacing w:after="240"/>
        <w:ind w:firstLine="0"/>
        <w:rPr>
          <w:b/>
        </w:rPr>
      </w:pPr>
      <w:r w:rsidRPr="007F1E0E">
        <w:rPr>
          <w:b/>
          <w:bCs/>
        </w:rPr>
        <w:lastRenderedPageBreak/>
        <w:t>Results</w:t>
      </w:r>
      <w:r w:rsidRPr="007F1E0E">
        <w:rPr>
          <w:rFonts w:ascii="Times New Roman" w:hAnsi="Times New Roman"/>
          <w:b/>
          <w:szCs w:val="24"/>
        </w:rPr>
        <w:t xml:space="preserve"> </w:t>
      </w:r>
      <w:r w:rsidRPr="007F1E0E">
        <w:rPr>
          <w:b/>
        </w:rPr>
        <w:t>and discussion</w:t>
      </w:r>
    </w:p>
    <w:p w:rsidR="00B206F0" w:rsidRDefault="00B206F0" w:rsidP="00804C3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54FA19" wp14:editId="3D0B4F59">
            <wp:extent cx="5305269" cy="22269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2 yield.tif"/>
                    <pic:cNvPicPr/>
                  </pic:nvPicPr>
                  <pic:blipFill rotWithShape="1">
                    <a:blip r:embed="rId4" cstate="print">
                      <a:extLst>
                        <a:ext uri="{28A0092B-C50C-407E-A947-70E740481C1C}">
                          <a14:useLocalDpi xmlns:a14="http://schemas.microsoft.com/office/drawing/2010/main" val="0"/>
                        </a:ext>
                      </a:extLst>
                    </a:blip>
                    <a:srcRect l="1900" t="6404" r="5511"/>
                    <a:stretch/>
                  </pic:blipFill>
                  <pic:spPr bwMode="auto">
                    <a:xfrm>
                      <a:off x="0" y="0"/>
                      <a:ext cx="5306756" cy="2227569"/>
                    </a:xfrm>
                    <a:prstGeom prst="rect">
                      <a:avLst/>
                    </a:prstGeom>
                    <a:ln>
                      <a:noFill/>
                    </a:ln>
                    <a:extLst>
                      <a:ext uri="{53640926-AAD7-44D8-BBD7-CCE9431645EC}">
                        <a14:shadowObscured xmlns:a14="http://schemas.microsoft.com/office/drawing/2010/main"/>
                      </a:ext>
                    </a:extLst>
                  </pic:spPr>
                </pic:pic>
              </a:graphicData>
            </a:graphic>
          </wp:inline>
        </w:drawing>
      </w:r>
    </w:p>
    <w:p w:rsidR="00B206F0" w:rsidRDefault="00B206F0" w:rsidP="00804C31">
      <w:pPr>
        <w:spacing w:line="240" w:lineRule="auto"/>
        <w:jc w:val="both"/>
        <w:rPr>
          <w:rFonts w:ascii="Times New Roman" w:hAnsi="Times New Roman" w:cs="Times New Roman"/>
          <w:sz w:val="24"/>
          <w:szCs w:val="24"/>
        </w:rPr>
      </w:pPr>
      <w:r w:rsidRPr="00E51CD9">
        <w:rPr>
          <w:rFonts w:ascii="Times New Roman" w:hAnsi="Times New Roman" w:cs="Times New Roman"/>
          <w:b/>
          <w:sz w:val="24"/>
          <w:szCs w:val="24"/>
        </w:rPr>
        <w:t>Figure S</w:t>
      </w:r>
      <w:r>
        <w:rPr>
          <w:rFonts w:ascii="Times New Roman" w:hAnsi="Times New Roman" w:cs="Times New Roman"/>
          <w:b/>
          <w:sz w:val="24"/>
          <w:szCs w:val="24"/>
        </w:rPr>
        <w:t>1</w:t>
      </w:r>
      <w:r w:rsidRPr="00E51CD9">
        <w:rPr>
          <w:rFonts w:ascii="Times New Roman" w:hAnsi="Times New Roman" w:cs="Times New Roman"/>
          <w:sz w:val="24"/>
          <w:szCs w:val="24"/>
        </w:rPr>
        <w:t xml:space="preserve"> </w:t>
      </w:r>
      <w:r>
        <w:rPr>
          <w:rFonts w:ascii="Times New Roman" w:hAnsi="Times New Roman" w:cs="Times New Roman"/>
          <w:sz w:val="24"/>
          <w:szCs w:val="24"/>
        </w:rPr>
        <w:t>CO</w:t>
      </w:r>
      <w:r w:rsidRPr="00E51CD9">
        <w:rPr>
          <w:rFonts w:ascii="Times New Roman" w:hAnsi="Times New Roman" w:cs="Times New Roman"/>
          <w:sz w:val="24"/>
          <w:szCs w:val="24"/>
          <w:vertAlign w:val="subscript"/>
        </w:rPr>
        <w:t>2</w:t>
      </w:r>
      <w:r>
        <w:rPr>
          <w:rFonts w:ascii="Times New Roman" w:hAnsi="Times New Roman" w:cs="Times New Roman"/>
          <w:sz w:val="24"/>
          <w:szCs w:val="24"/>
        </w:rPr>
        <w:t xml:space="preserve"> yield</w:t>
      </w:r>
      <w:r w:rsidRPr="00E51CD9">
        <w:rPr>
          <w:rFonts w:ascii="Times New Roman" w:hAnsi="Times New Roman" w:cs="Times New Roman" w:hint="eastAsia"/>
          <w:sz w:val="24"/>
          <w:szCs w:val="24"/>
        </w:rPr>
        <w:t xml:space="preserve"> </w:t>
      </w:r>
      <w:r>
        <w:rPr>
          <w:rFonts w:ascii="Times New Roman" w:hAnsi="Times New Roman" w:cs="Times New Roman"/>
          <w:sz w:val="24"/>
          <w:szCs w:val="24"/>
        </w:rPr>
        <w:t>using</w:t>
      </w:r>
      <w:r w:rsidRPr="00E51CD9">
        <w:rPr>
          <w:rFonts w:ascii="Times New Roman" w:hAnsi="Times New Roman" w:cs="Times New Roman" w:hint="eastAsia"/>
          <w:sz w:val="24"/>
          <w:szCs w:val="24"/>
        </w:rPr>
        <w:t xml:space="preserve"> MnO</w:t>
      </w:r>
      <w:r w:rsidRPr="00E51CD9">
        <w:rPr>
          <w:rFonts w:ascii="Times New Roman" w:hAnsi="Times New Roman" w:cs="Times New Roman" w:hint="eastAsia"/>
          <w:sz w:val="24"/>
          <w:szCs w:val="24"/>
          <w:vertAlign w:val="subscript"/>
        </w:rPr>
        <w:t>x</w:t>
      </w:r>
      <w:r w:rsidRPr="00E51CD9">
        <w:rPr>
          <w:rFonts w:ascii="Times New Roman" w:hAnsi="Times New Roman" w:cs="Times New Roman" w:hint="eastAsia"/>
          <w:sz w:val="24"/>
          <w:szCs w:val="24"/>
        </w:rPr>
        <w:t>-CeO</w:t>
      </w:r>
      <w:r w:rsidRPr="00E51CD9">
        <w:rPr>
          <w:rFonts w:ascii="Times New Roman" w:hAnsi="Times New Roman" w:cs="Times New Roman" w:hint="eastAsia"/>
          <w:sz w:val="24"/>
          <w:szCs w:val="24"/>
          <w:vertAlign w:val="subscript"/>
        </w:rPr>
        <w:t>2</w:t>
      </w:r>
      <w:r w:rsidRPr="00E51CD9">
        <w:rPr>
          <w:rFonts w:ascii="Times New Roman" w:hAnsi="Times New Roman" w:cs="Times New Roman" w:hint="eastAsia"/>
          <w:sz w:val="24"/>
          <w:szCs w:val="24"/>
        </w:rPr>
        <w:t xml:space="preserve"> catalysts prepared by different methods in the oxidation of ethyl acetate: (a) fresh catalysts, (b) hydrothermally treated catalysts (750</w:t>
      </w:r>
      <w:r>
        <w:rPr>
          <w:rFonts w:ascii="Times New Roman" w:hAnsi="Times New Roman" w:cs="Times New Roman"/>
          <w:sz w:val="24"/>
          <w:szCs w:val="24"/>
        </w:rPr>
        <w:t xml:space="preserve"> </w:t>
      </w:r>
      <w:r w:rsidRPr="00FD1DCF">
        <w:rPr>
          <w:rFonts w:ascii="Times New Roman" w:hAnsi="Times New Roman" w:cs="Times New Roman"/>
          <w:sz w:val="24"/>
          <w:szCs w:val="24"/>
        </w:rPr>
        <w:t>℃</w:t>
      </w:r>
      <w:r>
        <w:rPr>
          <w:rFonts w:ascii="Times New Roman" w:hAnsi="Times New Roman" w:cs="Times New Roman"/>
          <w:sz w:val="24"/>
          <w:szCs w:val="24"/>
        </w:rPr>
        <w:t xml:space="preserve"> </w:t>
      </w:r>
      <w:r w:rsidRPr="00E51CD9">
        <w:rPr>
          <w:rFonts w:ascii="Times New Roman" w:hAnsi="Times New Roman" w:cs="Times New Roman" w:hint="eastAsia"/>
          <w:sz w:val="24"/>
          <w:szCs w:val="24"/>
        </w:rPr>
        <w:t>and 9% steam for 12 h).</w:t>
      </w:r>
    </w:p>
    <w:p w:rsidR="00B206F0" w:rsidRDefault="00B206F0" w:rsidP="00C77892">
      <w:pPr>
        <w:spacing w:line="480" w:lineRule="auto"/>
        <w:jc w:val="both"/>
        <w:rPr>
          <w:rFonts w:ascii="Times New Roman" w:hAnsi="Times New Roman" w:cs="Times New Roman"/>
          <w:sz w:val="24"/>
          <w:szCs w:val="24"/>
        </w:rPr>
      </w:pPr>
    </w:p>
    <w:p w:rsidR="00B206F0" w:rsidRDefault="00B206F0" w:rsidP="00C77892">
      <w:pPr>
        <w:spacing w:line="480" w:lineRule="auto"/>
        <w:jc w:val="both"/>
        <w:rPr>
          <w:rFonts w:ascii="Times New Roman" w:hAnsi="Times New Roman" w:cs="Times New Roman"/>
          <w:sz w:val="24"/>
          <w:szCs w:val="24"/>
        </w:rPr>
      </w:pPr>
    </w:p>
    <w:p w:rsidR="00B206F0" w:rsidRDefault="00B206F0" w:rsidP="00FD1DCF">
      <w:pPr>
        <w:pStyle w:val="TAMainText"/>
        <w:ind w:firstLine="204"/>
        <w:jc w:val="left"/>
        <w:rPr>
          <w:lang w:val="en"/>
        </w:rPr>
      </w:pPr>
      <w:r w:rsidRPr="00A063B3">
        <w:rPr>
          <w:noProof/>
        </w:rPr>
        <w:drawing>
          <wp:inline distT="0" distB="0" distL="0" distR="0" wp14:anchorId="41C6B623" wp14:editId="7F464443">
            <wp:extent cx="5274310" cy="2492375"/>
            <wp:effectExtent l="0" t="0" r="254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M-1-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492375"/>
                    </a:xfrm>
                    <a:prstGeom prst="rect">
                      <a:avLst/>
                    </a:prstGeom>
                  </pic:spPr>
                </pic:pic>
              </a:graphicData>
            </a:graphic>
          </wp:inline>
        </w:drawing>
      </w:r>
    </w:p>
    <w:p w:rsidR="00B206F0" w:rsidRPr="00FD1DCF" w:rsidRDefault="00B206F0" w:rsidP="00FD1DCF">
      <w:pPr>
        <w:spacing w:line="240" w:lineRule="auto"/>
        <w:jc w:val="both"/>
        <w:rPr>
          <w:rFonts w:ascii="Times New Roman" w:hAnsi="Times New Roman" w:cs="Times New Roman"/>
          <w:sz w:val="24"/>
          <w:szCs w:val="24"/>
        </w:rPr>
      </w:pPr>
      <w:r w:rsidRPr="00FD1DCF">
        <w:rPr>
          <w:rFonts w:ascii="Times New Roman" w:hAnsi="Times New Roman" w:cs="Times New Roman"/>
          <w:b/>
          <w:bCs/>
          <w:sz w:val="24"/>
          <w:szCs w:val="24"/>
          <w:lang w:val="en"/>
        </w:rPr>
        <w:t xml:space="preserve">Figure </w:t>
      </w:r>
      <w:r w:rsidRPr="00FD1DCF">
        <w:rPr>
          <w:rFonts w:ascii="Times New Roman" w:hAnsi="Times New Roman" w:cs="Times New Roman"/>
          <w:b/>
          <w:bCs/>
          <w:sz w:val="24"/>
          <w:szCs w:val="24"/>
          <w:lang w:val="en-US"/>
        </w:rPr>
        <w:t>S2</w:t>
      </w:r>
      <w:r w:rsidRPr="00FD1DCF">
        <w:rPr>
          <w:rFonts w:ascii="Times New Roman" w:hAnsi="Times New Roman" w:cs="Times New Roman"/>
          <w:b/>
          <w:bCs/>
          <w:sz w:val="24"/>
          <w:szCs w:val="24"/>
          <w:lang w:val="en"/>
        </w:rPr>
        <w:t xml:space="preserve"> </w:t>
      </w:r>
      <w:r w:rsidRPr="00FD1DCF">
        <w:rPr>
          <w:rFonts w:ascii="Times New Roman" w:hAnsi="Times New Roman" w:cs="Times New Roman"/>
          <w:bCs/>
          <w:sz w:val="24"/>
          <w:szCs w:val="24"/>
          <w:lang w:val="en"/>
        </w:rPr>
        <w:t>SEM images of the fresh MnO</w:t>
      </w:r>
      <w:r w:rsidRPr="00FD1DCF">
        <w:rPr>
          <w:rFonts w:ascii="Times New Roman" w:hAnsi="Times New Roman" w:cs="Times New Roman"/>
          <w:bCs/>
          <w:sz w:val="24"/>
          <w:szCs w:val="24"/>
          <w:vertAlign w:val="subscript"/>
          <w:lang w:val="en"/>
        </w:rPr>
        <w:t>x</w:t>
      </w:r>
      <w:r w:rsidRPr="00FD1DCF">
        <w:rPr>
          <w:rFonts w:ascii="Times New Roman" w:hAnsi="Times New Roman" w:cs="Times New Roman"/>
          <w:bCs/>
          <w:sz w:val="24"/>
          <w:szCs w:val="24"/>
          <w:lang w:val="en"/>
        </w:rPr>
        <w:t>-CeO</w:t>
      </w:r>
      <w:r w:rsidRPr="00FD1DCF">
        <w:rPr>
          <w:rFonts w:ascii="Times New Roman" w:hAnsi="Times New Roman" w:cs="Times New Roman"/>
          <w:bCs/>
          <w:sz w:val="24"/>
          <w:szCs w:val="24"/>
          <w:vertAlign w:val="subscript"/>
          <w:lang w:val="en"/>
        </w:rPr>
        <w:t>2</w:t>
      </w:r>
      <w:r w:rsidRPr="00FD1DCF">
        <w:rPr>
          <w:rFonts w:ascii="Times New Roman" w:hAnsi="Times New Roman" w:cs="Times New Roman"/>
          <w:bCs/>
          <w:sz w:val="24"/>
          <w:szCs w:val="24"/>
          <w:lang w:val="en"/>
        </w:rPr>
        <w:t xml:space="preserve"> prepared by</w:t>
      </w:r>
      <w:r w:rsidRPr="00FD1DCF">
        <w:rPr>
          <w:rFonts w:ascii="Times New Roman" w:hAnsi="Times New Roman" w:cs="Times New Roman"/>
          <w:bCs/>
          <w:sz w:val="24"/>
          <w:szCs w:val="24"/>
          <w:vertAlign w:val="subscript"/>
          <w:lang w:val="en"/>
        </w:rPr>
        <w:t xml:space="preserve"> </w:t>
      </w:r>
      <w:r w:rsidRPr="00FD1DCF">
        <w:rPr>
          <w:rFonts w:ascii="Times New Roman" w:hAnsi="Times New Roman" w:cs="Times New Roman"/>
          <w:bCs/>
          <w:sz w:val="24"/>
          <w:szCs w:val="24"/>
          <w:lang w:val="en"/>
        </w:rPr>
        <w:t xml:space="preserve">different methods: (a) IP-MnCe (f), (b) CP-MnCe </w:t>
      </w:r>
      <w:r w:rsidRPr="00FD1DCF">
        <w:rPr>
          <w:rFonts w:ascii="Times New Roman" w:hAnsi="Times New Roman" w:cs="Times New Roman"/>
          <w:sz w:val="24"/>
          <w:szCs w:val="24"/>
          <w:lang w:val="en"/>
        </w:rPr>
        <w:t>(f)</w:t>
      </w:r>
      <w:r w:rsidRPr="00FD1DCF">
        <w:rPr>
          <w:rFonts w:ascii="Times New Roman" w:hAnsi="Times New Roman" w:cs="Times New Roman"/>
          <w:bCs/>
          <w:sz w:val="24"/>
          <w:szCs w:val="24"/>
          <w:lang w:val="en"/>
        </w:rPr>
        <w:t xml:space="preserve">, (c) RH-MnCe </w:t>
      </w:r>
      <w:r w:rsidRPr="00FD1DCF">
        <w:rPr>
          <w:rFonts w:ascii="Times New Roman" w:hAnsi="Times New Roman" w:cs="Times New Roman"/>
          <w:sz w:val="24"/>
          <w:szCs w:val="24"/>
          <w:lang w:val="en"/>
        </w:rPr>
        <w:t>(f)</w:t>
      </w:r>
      <w:r w:rsidRPr="00FD1DCF">
        <w:rPr>
          <w:rFonts w:ascii="Times New Roman" w:hAnsi="Times New Roman" w:cs="Times New Roman"/>
          <w:b/>
          <w:bCs/>
          <w:sz w:val="24"/>
          <w:szCs w:val="24"/>
          <w:lang w:val="en"/>
        </w:rPr>
        <w:t xml:space="preserve">; </w:t>
      </w:r>
      <w:r w:rsidRPr="00FD1DCF">
        <w:rPr>
          <w:rFonts w:ascii="Times New Roman" w:hAnsi="Times New Roman" w:cs="Times New Roman"/>
          <w:bCs/>
          <w:sz w:val="24"/>
          <w:szCs w:val="24"/>
          <w:lang w:val="en"/>
        </w:rPr>
        <w:t>SEM images of MnO</w:t>
      </w:r>
      <w:r w:rsidRPr="00FD1DCF">
        <w:rPr>
          <w:rFonts w:ascii="Times New Roman" w:hAnsi="Times New Roman" w:cs="Times New Roman"/>
          <w:bCs/>
          <w:sz w:val="24"/>
          <w:szCs w:val="24"/>
          <w:vertAlign w:val="subscript"/>
          <w:lang w:val="en"/>
        </w:rPr>
        <w:t>x</w:t>
      </w:r>
      <w:r w:rsidRPr="00FD1DCF">
        <w:rPr>
          <w:rFonts w:ascii="Times New Roman" w:hAnsi="Times New Roman" w:cs="Times New Roman"/>
          <w:bCs/>
          <w:sz w:val="24"/>
          <w:szCs w:val="24"/>
          <w:lang w:val="en"/>
        </w:rPr>
        <w:t>-CeO</w:t>
      </w:r>
      <w:r w:rsidRPr="00FD1DCF">
        <w:rPr>
          <w:rFonts w:ascii="Times New Roman" w:hAnsi="Times New Roman" w:cs="Times New Roman"/>
          <w:bCs/>
          <w:sz w:val="24"/>
          <w:szCs w:val="24"/>
          <w:vertAlign w:val="subscript"/>
          <w:lang w:val="en"/>
        </w:rPr>
        <w:t>2</w:t>
      </w:r>
      <w:r w:rsidRPr="00FD1DCF">
        <w:rPr>
          <w:rFonts w:ascii="Times New Roman" w:hAnsi="Times New Roman" w:cs="Times New Roman"/>
          <w:bCs/>
          <w:sz w:val="24"/>
          <w:szCs w:val="24"/>
          <w:lang w:val="en"/>
        </w:rPr>
        <w:t xml:space="preserve"> after the hydrothermal treatment:</w:t>
      </w:r>
      <w:r w:rsidRPr="00FD1DCF">
        <w:rPr>
          <w:rFonts w:ascii="Times New Roman" w:hAnsi="Times New Roman" w:cs="Times New Roman"/>
          <w:b/>
          <w:bCs/>
          <w:sz w:val="24"/>
          <w:szCs w:val="24"/>
          <w:lang w:val="en"/>
        </w:rPr>
        <w:t xml:space="preserve"> </w:t>
      </w:r>
      <w:r w:rsidRPr="00FD1DCF">
        <w:rPr>
          <w:rFonts w:ascii="Times New Roman" w:hAnsi="Times New Roman" w:cs="Times New Roman"/>
          <w:bCs/>
          <w:sz w:val="24"/>
          <w:szCs w:val="24"/>
          <w:lang w:val="en"/>
        </w:rPr>
        <w:t xml:space="preserve">(d) IP-MnCe (h), (e) CP-MnCe </w:t>
      </w:r>
      <w:r w:rsidRPr="00FD1DCF">
        <w:rPr>
          <w:rFonts w:ascii="Times New Roman" w:hAnsi="Times New Roman" w:cs="Times New Roman"/>
          <w:sz w:val="24"/>
          <w:szCs w:val="24"/>
          <w:lang w:val="en"/>
        </w:rPr>
        <w:t>(h)</w:t>
      </w:r>
      <w:r w:rsidRPr="00FD1DCF">
        <w:rPr>
          <w:rFonts w:ascii="Times New Roman" w:hAnsi="Times New Roman" w:cs="Times New Roman"/>
          <w:bCs/>
          <w:sz w:val="24"/>
          <w:szCs w:val="24"/>
          <w:lang w:val="en"/>
        </w:rPr>
        <w:t xml:space="preserve">, (f) RH-MnCe </w:t>
      </w:r>
      <w:r w:rsidRPr="00FD1DCF">
        <w:rPr>
          <w:rFonts w:ascii="Times New Roman" w:hAnsi="Times New Roman" w:cs="Times New Roman"/>
          <w:sz w:val="24"/>
          <w:szCs w:val="24"/>
          <w:lang w:val="en"/>
        </w:rPr>
        <w:t>(h).</w:t>
      </w:r>
      <w:r w:rsidRPr="00FD1DCF">
        <w:rPr>
          <w:rFonts w:ascii="Times New Roman" w:hAnsi="Times New Roman" w:cs="Times New Roman"/>
          <w:b/>
          <w:bCs/>
          <w:sz w:val="24"/>
          <w:szCs w:val="24"/>
          <w:lang w:val="en"/>
        </w:rPr>
        <w:t xml:space="preserve"> </w:t>
      </w:r>
      <w:r w:rsidRPr="00FD1DCF">
        <w:rPr>
          <w:rFonts w:ascii="Times New Roman" w:hAnsi="Times New Roman" w:cs="Times New Roman"/>
          <w:bCs/>
          <w:sz w:val="24"/>
          <w:szCs w:val="24"/>
          <w:lang w:val="en"/>
        </w:rPr>
        <w:t>The scale bar is 200 nm.</w:t>
      </w:r>
    </w:p>
    <w:p w:rsidR="00B206F0" w:rsidRDefault="00B206F0" w:rsidP="00FD1DCF">
      <w:pPr>
        <w:spacing w:line="240" w:lineRule="auto"/>
        <w:jc w:val="both"/>
        <w:rPr>
          <w:rFonts w:ascii="Times New Roman" w:hAnsi="Times New Roman" w:cs="Times New Roman"/>
          <w:sz w:val="24"/>
          <w:szCs w:val="24"/>
        </w:rPr>
      </w:pPr>
    </w:p>
    <w:p w:rsidR="00B206F0" w:rsidRDefault="00B206F0" w:rsidP="00FD1DCF">
      <w:pPr>
        <w:pStyle w:val="TAMainText"/>
        <w:ind w:firstLine="0"/>
        <w:jc w:val="left"/>
        <w:rPr>
          <w:lang w:val="en"/>
        </w:rPr>
      </w:pPr>
      <w:r w:rsidRPr="00A063B3">
        <w:rPr>
          <w:noProof/>
        </w:rPr>
        <w:lastRenderedPageBreak/>
        <w:drawing>
          <wp:inline distT="0" distB="0" distL="0" distR="0" wp14:anchorId="65369381" wp14:editId="79C5B2C5">
            <wp:extent cx="5274000" cy="2321146"/>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3.tif"/>
                    <pic:cNvPicPr/>
                  </pic:nvPicPr>
                  <pic:blipFill rotWithShape="1">
                    <a:blip r:embed="rId6" cstate="print">
                      <a:extLst>
                        <a:ext uri="{28A0092B-C50C-407E-A947-70E740481C1C}">
                          <a14:useLocalDpi xmlns:a14="http://schemas.microsoft.com/office/drawing/2010/main" val="0"/>
                        </a:ext>
                      </a:extLst>
                    </a:blip>
                    <a:srcRect l="6001" t="4889" r="5536"/>
                    <a:stretch/>
                  </pic:blipFill>
                  <pic:spPr bwMode="auto">
                    <a:xfrm>
                      <a:off x="0" y="0"/>
                      <a:ext cx="5274000" cy="2321146"/>
                    </a:xfrm>
                    <a:prstGeom prst="rect">
                      <a:avLst/>
                    </a:prstGeom>
                    <a:ln>
                      <a:noFill/>
                    </a:ln>
                    <a:extLst>
                      <a:ext uri="{53640926-AAD7-44D8-BBD7-CCE9431645EC}">
                        <a14:shadowObscured xmlns:a14="http://schemas.microsoft.com/office/drawing/2010/main"/>
                      </a:ext>
                    </a:extLst>
                  </pic:spPr>
                </pic:pic>
              </a:graphicData>
            </a:graphic>
          </wp:inline>
        </w:drawing>
      </w:r>
    </w:p>
    <w:p w:rsidR="00B206F0" w:rsidRPr="00FD1DCF" w:rsidRDefault="00B206F0" w:rsidP="00FD1DCF">
      <w:pPr>
        <w:spacing w:line="240" w:lineRule="auto"/>
        <w:jc w:val="both"/>
        <w:rPr>
          <w:rFonts w:ascii="Times New Roman" w:hAnsi="Times New Roman" w:cs="Times New Roman"/>
          <w:sz w:val="24"/>
          <w:szCs w:val="24"/>
          <w:lang w:val="en"/>
        </w:rPr>
      </w:pPr>
      <w:r w:rsidRPr="00FD1DCF">
        <w:rPr>
          <w:rFonts w:ascii="Times New Roman" w:hAnsi="Times New Roman" w:cs="Times New Roman"/>
          <w:b/>
          <w:bCs/>
          <w:sz w:val="24"/>
          <w:szCs w:val="24"/>
          <w:lang w:val="en"/>
        </w:rPr>
        <w:t>Figure S3</w:t>
      </w:r>
      <w:r w:rsidRPr="00FD1DCF">
        <w:rPr>
          <w:rFonts w:ascii="Times New Roman" w:hAnsi="Times New Roman" w:cs="Times New Roman"/>
          <w:bCs/>
          <w:sz w:val="24"/>
          <w:szCs w:val="24"/>
          <w:lang w:val="en"/>
        </w:rPr>
        <w:t xml:space="preserve"> N</w:t>
      </w:r>
      <w:r w:rsidRPr="00FD1DCF">
        <w:rPr>
          <w:rFonts w:ascii="Times New Roman" w:hAnsi="Times New Roman" w:cs="Times New Roman"/>
          <w:bCs/>
          <w:sz w:val="24"/>
          <w:szCs w:val="24"/>
          <w:vertAlign w:val="subscript"/>
          <w:lang w:val="en"/>
        </w:rPr>
        <w:t>2</w:t>
      </w:r>
      <w:r w:rsidRPr="00FD1DCF">
        <w:rPr>
          <w:rFonts w:ascii="Times New Roman" w:hAnsi="Times New Roman" w:cs="Times New Roman"/>
          <w:bCs/>
          <w:sz w:val="24"/>
          <w:szCs w:val="24"/>
          <w:lang w:val="en"/>
        </w:rPr>
        <w:t xml:space="preserve"> adsorption and desorption isotherms of MnO</w:t>
      </w:r>
      <w:r w:rsidRPr="00FD1DCF">
        <w:rPr>
          <w:rFonts w:ascii="Times New Roman" w:hAnsi="Times New Roman" w:cs="Times New Roman"/>
          <w:bCs/>
          <w:sz w:val="24"/>
          <w:szCs w:val="24"/>
          <w:vertAlign w:val="subscript"/>
          <w:lang w:val="en"/>
        </w:rPr>
        <w:t>x</w:t>
      </w:r>
      <w:r w:rsidRPr="00FD1DCF">
        <w:rPr>
          <w:rFonts w:ascii="Times New Roman" w:hAnsi="Times New Roman" w:cs="Times New Roman"/>
          <w:bCs/>
          <w:sz w:val="24"/>
          <w:szCs w:val="24"/>
          <w:lang w:val="en"/>
        </w:rPr>
        <w:t>-CeO</w:t>
      </w:r>
      <w:r w:rsidRPr="00FD1DCF">
        <w:rPr>
          <w:rFonts w:ascii="Times New Roman" w:hAnsi="Times New Roman" w:cs="Times New Roman"/>
          <w:bCs/>
          <w:sz w:val="24"/>
          <w:szCs w:val="24"/>
          <w:vertAlign w:val="subscript"/>
          <w:lang w:val="en"/>
        </w:rPr>
        <w:t>2</w:t>
      </w:r>
      <w:r w:rsidRPr="00FD1DCF">
        <w:rPr>
          <w:rFonts w:ascii="Times New Roman" w:hAnsi="Times New Roman" w:cs="Times New Roman"/>
          <w:bCs/>
          <w:sz w:val="24"/>
          <w:szCs w:val="24"/>
          <w:lang w:val="en"/>
        </w:rPr>
        <w:t xml:space="preserve"> catalysts prepared by different methods: (a) before the hydrothermal treatment; (b) after the hydrothermal treatment.</w:t>
      </w:r>
    </w:p>
    <w:p w:rsidR="00B206F0" w:rsidRDefault="00B206F0" w:rsidP="00C77892">
      <w:pPr>
        <w:spacing w:line="480" w:lineRule="auto"/>
        <w:jc w:val="both"/>
        <w:rPr>
          <w:rFonts w:ascii="Times New Roman" w:hAnsi="Times New Roman" w:cs="Times New Roman"/>
          <w:sz w:val="24"/>
          <w:szCs w:val="24"/>
        </w:rPr>
      </w:pPr>
    </w:p>
    <w:bookmarkEnd w:id="5"/>
    <w:p w:rsidR="00B206F0" w:rsidRPr="00A063B3" w:rsidRDefault="00B206F0" w:rsidP="00B2034A">
      <w:pPr>
        <w:pStyle w:val="TAMainText"/>
        <w:ind w:firstLine="0"/>
        <w:rPr>
          <w:b/>
          <w:bCs/>
          <w:lang w:val="en"/>
        </w:rPr>
      </w:pPr>
      <w:r w:rsidRPr="00A063B3">
        <w:rPr>
          <w:b/>
          <w:bCs/>
          <w:lang w:val="en"/>
        </w:rPr>
        <w:t xml:space="preserve">Table </w:t>
      </w:r>
      <w:r>
        <w:rPr>
          <w:b/>
          <w:bCs/>
          <w:lang w:val="en" w:eastAsia="zh-CN"/>
        </w:rPr>
        <w:t>S1</w:t>
      </w:r>
      <w:r w:rsidRPr="00A063B3">
        <w:rPr>
          <w:b/>
          <w:bCs/>
          <w:lang w:val="en"/>
        </w:rPr>
        <w:t xml:space="preserve"> </w:t>
      </w:r>
      <w:r w:rsidRPr="00A063B3">
        <w:rPr>
          <w:bCs/>
          <w:lang w:val="en"/>
        </w:rPr>
        <w:t>Textural parameters of MnO</w:t>
      </w:r>
      <w:r w:rsidRPr="00A063B3">
        <w:rPr>
          <w:bCs/>
          <w:vertAlign w:val="subscript"/>
          <w:lang w:val="en"/>
        </w:rPr>
        <w:t>x</w:t>
      </w:r>
      <w:r w:rsidRPr="00A063B3">
        <w:rPr>
          <w:bCs/>
          <w:lang w:val="en"/>
        </w:rPr>
        <w:t>-CeO</w:t>
      </w:r>
      <w:r w:rsidRPr="00A063B3">
        <w:rPr>
          <w:bCs/>
          <w:vertAlign w:val="subscript"/>
          <w:lang w:val="en"/>
        </w:rPr>
        <w:t>2</w:t>
      </w:r>
      <w:r w:rsidRPr="00A063B3">
        <w:rPr>
          <w:bCs/>
          <w:lang w:val="en"/>
        </w:rPr>
        <w:t xml:space="preserve"> before and after </w:t>
      </w:r>
      <w:r w:rsidRPr="00A063B3">
        <w:rPr>
          <w:rFonts w:hint="eastAsia"/>
          <w:bCs/>
          <w:lang w:val="en"/>
        </w:rPr>
        <w:t>the</w:t>
      </w:r>
      <w:r w:rsidRPr="00A063B3">
        <w:rPr>
          <w:bCs/>
          <w:lang w:val="en"/>
        </w:rPr>
        <w:t xml:space="preserve"> hydrothermal treatment</w:t>
      </w:r>
    </w:p>
    <w:tbl>
      <w:tblPr>
        <w:tblW w:w="8392" w:type="dxa"/>
        <w:tblLayout w:type="fixed"/>
        <w:tblCellMar>
          <w:left w:w="0" w:type="dxa"/>
          <w:right w:w="0" w:type="dxa"/>
        </w:tblCellMar>
        <w:tblLook w:val="0600" w:firstRow="0" w:lastRow="0" w:firstColumn="0" w:lastColumn="0" w:noHBand="1" w:noVBand="1"/>
      </w:tblPr>
      <w:tblGrid>
        <w:gridCol w:w="2098"/>
        <w:gridCol w:w="2098"/>
        <w:gridCol w:w="2098"/>
        <w:gridCol w:w="2098"/>
      </w:tblGrid>
      <w:tr w:rsidR="00B206F0" w:rsidRPr="00A063B3" w:rsidTr="000173F4">
        <w:trPr>
          <w:trHeight w:val="497"/>
        </w:trPr>
        <w:tc>
          <w:tcPr>
            <w:tcW w:w="2098"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b/>
                <w:bCs/>
                <w:lang w:val="en"/>
              </w:rPr>
            </w:pPr>
            <w:r w:rsidRPr="00A063B3">
              <w:rPr>
                <w:b/>
                <w:bCs/>
                <w:lang w:val="en"/>
              </w:rPr>
              <w:t>Catalysts</w:t>
            </w:r>
          </w:p>
        </w:tc>
        <w:tc>
          <w:tcPr>
            <w:tcW w:w="2098"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
                <w:bCs/>
                <w:lang w:val="en"/>
              </w:rPr>
              <w:t>S</w:t>
            </w:r>
            <w:r w:rsidRPr="00A063B3">
              <w:rPr>
                <w:b/>
                <w:bCs/>
                <w:vertAlign w:val="subscript"/>
                <w:lang w:val="en"/>
              </w:rPr>
              <w:t xml:space="preserve">BET </w:t>
            </w:r>
            <w:r w:rsidRPr="00A063B3">
              <w:rPr>
                <w:b/>
                <w:bCs/>
                <w:lang w:val="en"/>
              </w:rPr>
              <w:t>(m</w:t>
            </w:r>
            <w:r w:rsidRPr="00A063B3">
              <w:rPr>
                <w:b/>
                <w:bCs/>
                <w:vertAlign w:val="superscript"/>
                <w:lang w:val="en"/>
              </w:rPr>
              <w:t>2</w:t>
            </w:r>
            <w:r w:rsidRPr="00A063B3">
              <w:rPr>
                <w:b/>
                <w:bCs/>
                <w:lang w:val="en"/>
              </w:rPr>
              <w:t>/g)</w:t>
            </w:r>
          </w:p>
        </w:tc>
        <w:tc>
          <w:tcPr>
            <w:tcW w:w="2098"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
                <w:bCs/>
                <w:lang w:val="en"/>
              </w:rPr>
              <w:t>V</w:t>
            </w:r>
            <w:r w:rsidRPr="00A063B3">
              <w:rPr>
                <w:b/>
                <w:bCs/>
                <w:vertAlign w:val="subscript"/>
                <w:lang w:val="en"/>
              </w:rPr>
              <w:t xml:space="preserve">BJH </w:t>
            </w:r>
            <w:r w:rsidRPr="00A063B3">
              <w:rPr>
                <w:b/>
                <w:bCs/>
                <w:lang w:val="en"/>
              </w:rPr>
              <w:t>(cm</w:t>
            </w:r>
            <w:r w:rsidRPr="00A063B3">
              <w:rPr>
                <w:b/>
                <w:bCs/>
                <w:vertAlign w:val="superscript"/>
                <w:lang w:val="en"/>
              </w:rPr>
              <w:t>3</w:t>
            </w:r>
            <w:r w:rsidRPr="00A063B3">
              <w:rPr>
                <w:b/>
                <w:bCs/>
                <w:lang w:val="en"/>
              </w:rPr>
              <w:t>/g)</w:t>
            </w:r>
          </w:p>
        </w:tc>
        <w:tc>
          <w:tcPr>
            <w:tcW w:w="2098"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
                <w:bCs/>
                <w:lang w:val="en"/>
              </w:rPr>
              <w:t>D (nm)</w:t>
            </w:r>
          </w:p>
        </w:tc>
      </w:tr>
      <w:tr w:rsidR="00B206F0" w:rsidRPr="00A063B3" w:rsidTr="000173F4">
        <w:trPr>
          <w:trHeight w:val="497"/>
        </w:trPr>
        <w:tc>
          <w:tcPr>
            <w:tcW w:w="2098" w:type="dxa"/>
            <w:tcBorders>
              <w:top w:val="single" w:sz="4" w:space="0" w:color="auto"/>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Cs/>
                <w:lang w:val="en"/>
              </w:rPr>
              <w:t>CP-MnCe (f)</w:t>
            </w:r>
          </w:p>
        </w:tc>
        <w:tc>
          <w:tcPr>
            <w:tcW w:w="2098" w:type="dxa"/>
            <w:tcBorders>
              <w:top w:val="single" w:sz="4" w:space="0" w:color="auto"/>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67.7</w:t>
            </w:r>
          </w:p>
        </w:tc>
        <w:tc>
          <w:tcPr>
            <w:tcW w:w="2098" w:type="dxa"/>
            <w:tcBorders>
              <w:top w:val="single" w:sz="4" w:space="0" w:color="auto"/>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0.26</w:t>
            </w:r>
          </w:p>
        </w:tc>
        <w:tc>
          <w:tcPr>
            <w:tcW w:w="2098" w:type="dxa"/>
            <w:tcBorders>
              <w:top w:val="single" w:sz="4" w:space="0" w:color="auto"/>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14.7</w:t>
            </w:r>
          </w:p>
        </w:tc>
      </w:tr>
      <w:tr w:rsidR="00B206F0" w:rsidRPr="00A063B3" w:rsidTr="000173F4">
        <w:trPr>
          <w:trHeight w:val="497"/>
        </w:trPr>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Cs/>
                <w:lang w:val="en"/>
              </w:rPr>
              <w:t>CP-MnCe (h)</w:t>
            </w:r>
          </w:p>
        </w:tc>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0.8</w:t>
            </w:r>
          </w:p>
        </w:tc>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0.02</w:t>
            </w:r>
          </w:p>
        </w:tc>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183.0</w:t>
            </w:r>
          </w:p>
        </w:tc>
      </w:tr>
      <w:tr w:rsidR="00B206F0" w:rsidRPr="00A063B3" w:rsidTr="000173F4">
        <w:trPr>
          <w:trHeight w:val="497"/>
        </w:trPr>
        <w:tc>
          <w:tcPr>
            <w:tcW w:w="2098" w:type="dxa"/>
            <w:tcBorders>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Cs/>
                <w:lang w:val="en"/>
              </w:rPr>
              <w:t>RH-MnCe (f)</w:t>
            </w:r>
          </w:p>
        </w:tc>
        <w:tc>
          <w:tcPr>
            <w:tcW w:w="2098" w:type="dxa"/>
            <w:tcBorders>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69.7</w:t>
            </w:r>
          </w:p>
        </w:tc>
        <w:tc>
          <w:tcPr>
            <w:tcW w:w="2098" w:type="dxa"/>
            <w:tcBorders>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0.39</w:t>
            </w:r>
          </w:p>
        </w:tc>
        <w:tc>
          <w:tcPr>
            <w:tcW w:w="2098" w:type="dxa"/>
            <w:tcBorders>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21.5</w:t>
            </w:r>
          </w:p>
        </w:tc>
      </w:tr>
      <w:tr w:rsidR="00B206F0" w:rsidRPr="00A063B3" w:rsidTr="000173F4">
        <w:trPr>
          <w:trHeight w:val="497"/>
        </w:trPr>
        <w:tc>
          <w:tcPr>
            <w:tcW w:w="2098" w:type="dxa"/>
            <w:tcBorders>
              <w:top w:val="nil"/>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Cs/>
                <w:lang w:val="en"/>
              </w:rPr>
              <w:t>RH-MnCe (h)</w:t>
            </w:r>
          </w:p>
        </w:tc>
        <w:tc>
          <w:tcPr>
            <w:tcW w:w="2098" w:type="dxa"/>
            <w:tcBorders>
              <w:top w:val="nil"/>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5.8</w:t>
            </w:r>
          </w:p>
        </w:tc>
        <w:tc>
          <w:tcPr>
            <w:tcW w:w="2098" w:type="dxa"/>
            <w:tcBorders>
              <w:top w:val="nil"/>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0.04</w:t>
            </w:r>
          </w:p>
        </w:tc>
        <w:tc>
          <w:tcPr>
            <w:tcW w:w="2098" w:type="dxa"/>
            <w:tcBorders>
              <w:top w:val="nil"/>
              <w:left w:val="nil"/>
              <w:bottom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44.4</w:t>
            </w:r>
          </w:p>
        </w:tc>
      </w:tr>
      <w:tr w:rsidR="00B206F0" w:rsidRPr="00A063B3" w:rsidTr="000173F4">
        <w:trPr>
          <w:trHeight w:val="497"/>
        </w:trPr>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Cs/>
                <w:lang w:val="en"/>
              </w:rPr>
              <w:t>IP-MnCe (f)</w:t>
            </w:r>
          </w:p>
        </w:tc>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37.4</w:t>
            </w:r>
          </w:p>
        </w:tc>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0.08</w:t>
            </w:r>
          </w:p>
        </w:tc>
        <w:tc>
          <w:tcPr>
            <w:tcW w:w="2098" w:type="dxa"/>
            <w:tcBorders>
              <w:top w:val="nil"/>
              <w:left w:val="nil"/>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10.1</w:t>
            </w:r>
          </w:p>
        </w:tc>
      </w:tr>
      <w:tr w:rsidR="00B206F0" w:rsidRPr="00A063B3" w:rsidTr="000173F4">
        <w:trPr>
          <w:trHeight w:val="497"/>
        </w:trPr>
        <w:tc>
          <w:tcPr>
            <w:tcW w:w="2098" w:type="dxa"/>
            <w:tcBorders>
              <w:left w:val="nil"/>
              <w:bottom w:val="single" w:sz="12" w:space="0" w:color="auto"/>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bCs/>
                <w:lang w:val="en"/>
              </w:rPr>
              <w:t>IP-MnCe (h)</w:t>
            </w:r>
          </w:p>
        </w:tc>
        <w:tc>
          <w:tcPr>
            <w:tcW w:w="2098" w:type="dxa"/>
            <w:tcBorders>
              <w:left w:val="nil"/>
              <w:bottom w:val="single" w:sz="12" w:space="0" w:color="auto"/>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2.2</w:t>
            </w:r>
          </w:p>
        </w:tc>
        <w:tc>
          <w:tcPr>
            <w:tcW w:w="2098" w:type="dxa"/>
            <w:tcBorders>
              <w:left w:val="nil"/>
              <w:bottom w:val="single" w:sz="12" w:space="0" w:color="auto"/>
              <w:right w:val="nil"/>
            </w:tcBorders>
            <w:shd w:val="clear" w:color="auto" w:fill="FFFFFF"/>
            <w:tcMar>
              <w:top w:w="12" w:type="dxa"/>
              <w:left w:w="12" w:type="dxa"/>
              <w:bottom w:w="0" w:type="dxa"/>
              <w:right w:w="12" w:type="dxa"/>
            </w:tcMar>
            <w:vAlign w:val="center"/>
            <w:hideMark/>
          </w:tcPr>
          <w:p w:rsidR="00B206F0" w:rsidRPr="00A063B3" w:rsidRDefault="00B206F0" w:rsidP="000173F4">
            <w:pPr>
              <w:pStyle w:val="TAMainText"/>
              <w:spacing w:line="240" w:lineRule="auto"/>
              <w:ind w:firstLine="204"/>
              <w:jc w:val="center"/>
              <w:rPr>
                <w:lang w:val="en"/>
              </w:rPr>
            </w:pPr>
            <w:r w:rsidRPr="00A063B3">
              <w:rPr>
                <w:lang w:val="en"/>
              </w:rPr>
              <w:t>0.01</w:t>
            </w:r>
          </w:p>
        </w:tc>
        <w:tc>
          <w:tcPr>
            <w:tcW w:w="2098" w:type="dxa"/>
            <w:tcBorders>
              <w:left w:val="nil"/>
              <w:bottom w:val="single" w:sz="12" w:space="0" w:color="auto"/>
              <w:right w:val="nil"/>
            </w:tcBorders>
            <w:shd w:val="clear" w:color="auto" w:fill="FFFFFF"/>
            <w:tcMar>
              <w:top w:w="12" w:type="dxa"/>
              <w:left w:w="12" w:type="dxa"/>
              <w:bottom w:w="0" w:type="dxa"/>
              <w:right w:w="12" w:type="dxa"/>
            </w:tcMar>
            <w:vAlign w:val="center"/>
            <w:hideMark/>
          </w:tcPr>
          <w:p w:rsidR="00B206F0" w:rsidRPr="00DC741F" w:rsidRDefault="00B206F0" w:rsidP="000173F4">
            <w:pPr>
              <w:pStyle w:val="TAMainText"/>
              <w:spacing w:line="240" w:lineRule="auto"/>
              <w:ind w:firstLine="204"/>
              <w:jc w:val="center"/>
              <w:rPr>
                <w:lang w:val="en-MY"/>
              </w:rPr>
            </w:pPr>
            <w:r w:rsidRPr="00A063B3">
              <w:rPr>
                <w:lang w:val="en"/>
              </w:rPr>
              <w:t>49.3</w:t>
            </w:r>
          </w:p>
        </w:tc>
      </w:tr>
    </w:tbl>
    <w:p w:rsidR="00B206F0" w:rsidRPr="00F6438C" w:rsidRDefault="00B206F0" w:rsidP="00AD771B">
      <w:pPr>
        <w:pStyle w:val="TAMainText"/>
        <w:spacing w:after="240"/>
        <w:ind w:firstLine="0"/>
        <w:jc w:val="left"/>
        <w:rPr>
          <w:lang w:eastAsia="zh-CN"/>
        </w:rPr>
      </w:pPr>
      <w:bookmarkStart w:id="6" w:name="_Hlk78232298"/>
    </w:p>
    <w:bookmarkEnd w:id="6"/>
    <w:p w:rsidR="00B206F0" w:rsidRPr="00FD1DCF" w:rsidRDefault="00B206F0" w:rsidP="00DC741F">
      <w:pPr>
        <w:rPr>
          <w:rFonts w:ascii="Times New Roman" w:hAnsi="Times New Roman" w:cs="Times New Roman"/>
          <w:lang w:val="en-US"/>
        </w:rPr>
      </w:pPr>
    </w:p>
    <w:p w:rsidR="00B206F0" w:rsidRDefault="00B206F0">
      <w:pPr>
        <w:rPr>
          <w:lang w:val="en-US"/>
        </w:rPr>
      </w:pPr>
    </w:p>
    <w:p w:rsidR="00B206F0" w:rsidRPr="00B2034A" w:rsidRDefault="00B206F0" w:rsidP="004B3934">
      <w:pPr>
        <w:jc w:val="both"/>
        <w:rPr>
          <w:rFonts w:ascii="Times New Roman" w:hAnsi="Times New Roman"/>
          <w:bCs/>
          <w:sz w:val="24"/>
          <w:szCs w:val="24"/>
          <w:lang w:val="en"/>
        </w:rPr>
      </w:pPr>
      <w:r w:rsidRPr="00B2034A">
        <w:rPr>
          <w:rFonts w:ascii="Times New Roman" w:hAnsi="Times New Roman"/>
          <w:noProof/>
          <w:sz w:val="24"/>
          <w:szCs w:val="24"/>
        </w:rPr>
        <w:lastRenderedPageBreak/>
        <w:drawing>
          <wp:anchor distT="0" distB="0" distL="114300" distR="114300" simplePos="0" relativeHeight="251659264" behindDoc="0" locked="0" layoutInCell="1" allowOverlap="1" wp14:anchorId="4C982493" wp14:editId="4D203C72">
            <wp:simplePos x="0" y="0"/>
            <wp:positionH relativeFrom="margin">
              <wp:align>left</wp:align>
            </wp:positionH>
            <wp:positionV relativeFrom="paragraph">
              <wp:posOffset>90658</wp:posOffset>
            </wp:positionV>
            <wp:extent cx="5040000" cy="6663864"/>
            <wp:effectExtent l="0" t="0" r="8255"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6.tif"/>
                    <pic:cNvPicPr/>
                  </pic:nvPicPr>
                  <pic:blipFill rotWithShape="1">
                    <a:blip r:embed="rId7" cstate="print">
                      <a:extLst>
                        <a:ext uri="{28A0092B-C50C-407E-A947-70E740481C1C}">
                          <a14:useLocalDpi xmlns:a14="http://schemas.microsoft.com/office/drawing/2010/main" val="0"/>
                        </a:ext>
                      </a:extLst>
                    </a:blip>
                    <a:srcRect l="5634" r="4647"/>
                    <a:stretch/>
                  </pic:blipFill>
                  <pic:spPr bwMode="auto">
                    <a:xfrm>
                      <a:off x="0" y="0"/>
                      <a:ext cx="5040000" cy="66638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034A">
        <w:rPr>
          <w:rFonts w:ascii="Times New Roman" w:hAnsi="Times New Roman"/>
          <w:b/>
          <w:bCs/>
          <w:sz w:val="24"/>
          <w:szCs w:val="24"/>
          <w:lang w:val="en"/>
        </w:rPr>
        <w:t xml:space="preserve">Figure S4 </w:t>
      </w:r>
      <w:r w:rsidRPr="00B2034A">
        <w:rPr>
          <w:rFonts w:ascii="Times New Roman" w:hAnsi="Times New Roman"/>
          <w:bCs/>
          <w:sz w:val="24"/>
          <w:szCs w:val="24"/>
          <w:lang w:val="en"/>
        </w:rPr>
        <w:t>XPS spectra of MnO</w:t>
      </w:r>
      <w:r w:rsidRPr="00B2034A">
        <w:rPr>
          <w:rFonts w:ascii="Times New Roman" w:hAnsi="Times New Roman"/>
          <w:bCs/>
          <w:sz w:val="24"/>
          <w:szCs w:val="24"/>
          <w:vertAlign w:val="subscript"/>
          <w:lang w:val="en"/>
        </w:rPr>
        <w:t>x</w:t>
      </w:r>
      <w:r w:rsidRPr="00B2034A">
        <w:rPr>
          <w:rFonts w:ascii="Times New Roman" w:hAnsi="Times New Roman"/>
          <w:bCs/>
          <w:sz w:val="24"/>
          <w:szCs w:val="24"/>
          <w:lang w:val="en"/>
        </w:rPr>
        <w:t>-CeO</w:t>
      </w:r>
      <w:r w:rsidRPr="00B2034A">
        <w:rPr>
          <w:rFonts w:ascii="Times New Roman" w:hAnsi="Times New Roman"/>
          <w:bCs/>
          <w:sz w:val="24"/>
          <w:szCs w:val="24"/>
          <w:vertAlign w:val="subscript"/>
          <w:lang w:val="en"/>
        </w:rPr>
        <w:t xml:space="preserve">2 </w:t>
      </w:r>
      <w:r w:rsidRPr="00B2034A">
        <w:rPr>
          <w:rFonts w:ascii="Times New Roman" w:hAnsi="Times New Roman"/>
          <w:bCs/>
          <w:sz w:val="24"/>
          <w:szCs w:val="24"/>
          <w:lang w:val="en"/>
        </w:rPr>
        <w:t xml:space="preserve">catalysts prepared by different methods: (a, c, e) fresh catalyst; (b, d, f) after the hydrothermal treatment. </w:t>
      </w:r>
    </w:p>
    <w:p w:rsidR="00B206F0" w:rsidRDefault="00B206F0" w:rsidP="004B3934">
      <w:pPr>
        <w:jc w:val="both"/>
        <w:rPr>
          <w:rFonts w:ascii="Times New Roman" w:hAnsi="Times New Roman"/>
          <w:b/>
          <w:bCs/>
          <w:szCs w:val="24"/>
          <w:lang w:val="en-US"/>
        </w:rPr>
      </w:pPr>
    </w:p>
    <w:p w:rsidR="00B206F0" w:rsidRDefault="00B206F0" w:rsidP="004B3934">
      <w:pPr>
        <w:jc w:val="both"/>
        <w:rPr>
          <w:rFonts w:ascii="Times New Roman" w:hAnsi="Times New Roman"/>
          <w:b/>
          <w:bCs/>
          <w:szCs w:val="24"/>
          <w:lang w:val="en-US"/>
        </w:rPr>
      </w:pPr>
    </w:p>
    <w:p w:rsidR="00B206F0" w:rsidRDefault="00B206F0" w:rsidP="004B3934">
      <w:pPr>
        <w:jc w:val="both"/>
        <w:rPr>
          <w:rFonts w:ascii="Times New Roman" w:hAnsi="Times New Roman"/>
          <w:b/>
          <w:bCs/>
          <w:szCs w:val="24"/>
          <w:lang w:val="en-US"/>
        </w:rPr>
      </w:pPr>
    </w:p>
    <w:p w:rsidR="00B206F0" w:rsidRDefault="00B206F0" w:rsidP="004B3934">
      <w:pPr>
        <w:jc w:val="both"/>
        <w:rPr>
          <w:rFonts w:ascii="Times New Roman" w:hAnsi="Times New Roman"/>
          <w:b/>
          <w:bCs/>
          <w:szCs w:val="24"/>
          <w:lang w:val="en-US"/>
        </w:rPr>
      </w:pPr>
    </w:p>
    <w:p w:rsidR="00B206F0" w:rsidRDefault="00B206F0" w:rsidP="004B3934">
      <w:pPr>
        <w:jc w:val="both"/>
        <w:rPr>
          <w:rFonts w:ascii="Times New Roman" w:hAnsi="Times New Roman"/>
          <w:b/>
          <w:bCs/>
          <w:szCs w:val="24"/>
          <w:lang w:val="en-US"/>
        </w:rPr>
      </w:pPr>
    </w:p>
    <w:p w:rsidR="00B206F0" w:rsidRDefault="00B206F0" w:rsidP="004B3934">
      <w:pPr>
        <w:jc w:val="both"/>
        <w:rPr>
          <w:rFonts w:ascii="Times New Roman" w:hAnsi="Times New Roman"/>
          <w:b/>
          <w:bCs/>
          <w:szCs w:val="24"/>
          <w:lang w:val="en-US"/>
        </w:rPr>
      </w:pPr>
    </w:p>
    <w:p w:rsidR="00B206F0" w:rsidRDefault="00B206F0" w:rsidP="004B3934">
      <w:pPr>
        <w:jc w:val="both"/>
        <w:rPr>
          <w:rFonts w:ascii="Times New Roman" w:hAnsi="Times New Roman"/>
          <w:b/>
          <w:bCs/>
          <w:szCs w:val="24"/>
          <w:lang w:val="en-US"/>
        </w:rPr>
      </w:pPr>
    </w:p>
    <w:p w:rsidR="00B206F0" w:rsidRDefault="00B206F0" w:rsidP="004B3934">
      <w:pPr>
        <w:jc w:val="both"/>
        <w:rPr>
          <w:rFonts w:ascii="Times New Roman" w:hAnsi="Times New Roman"/>
          <w:b/>
          <w:bCs/>
          <w:szCs w:val="24"/>
          <w:lang w:val="en-US"/>
        </w:rPr>
      </w:pPr>
    </w:p>
    <w:p w:rsidR="00B206F0" w:rsidRPr="00A063B3" w:rsidRDefault="00B206F0" w:rsidP="00B2034A">
      <w:pPr>
        <w:pStyle w:val="TAMainText"/>
        <w:ind w:firstLine="0"/>
        <w:rPr>
          <w:b/>
          <w:bCs/>
          <w:lang w:val="en"/>
        </w:rPr>
      </w:pPr>
      <w:r w:rsidRPr="00A063B3">
        <w:rPr>
          <w:b/>
          <w:bCs/>
          <w:lang w:val="en"/>
        </w:rPr>
        <w:t xml:space="preserve">Table </w:t>
      </w:r>
      <w:r>
        <w:rPr>
          <w:b/>
          <w:bCs/>
          <w:lang w:val="en"/>
        </w:rPr>
        <w:t>S2</w:t>
      </w:r>
      <w:r w:rsidRPr="00A063B3">
        <w:rPr>
          <w:b/>
          <w:bCs/>
          <w:lang w:val="en"/>
        </w:rPr>
        <w:t xml:space="preserve"> </w:t>
      </w:r>
      <w:r w:rsidRPr="00A063B3">
        <w:rPr>
          <w:bCs/>
          <w:lang w:val="en"/>
        </w:rPr>
        <w:t>Relative percentages of surface valence states of different catalysts.</w:t>
      </w:r>
    </w:p>
    <w:tbl>
      <w:tblPr>
        <w:tblStyle w:val="TableGrid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2079"/>
        <w:gridCol w:w="2239"/>
        <w:gridCol w:w="2445"/>
      </w:tblGrid>
      <w:tr w:rsidR="00B206F0" w:rsidRPr="00A063B3" w:rsidTr="000173F4">
        <w:trPr>
          <w:trHeight w:val="567"/>
        </w:trPr>
        <w:tc>
          <w:tcPr>
            <w:tcW w:w="0" w:type="auto"/>
            <w:tcBorders>
              <w:top w:val="single" w:sz="12" w:space="0" w:color="auto"/>
              <w:bottom w:val="nil"/>
            </w:tcBorders>
            <w:vAlign w:val="center"/>
          </w:tcPr>
          <w:p w:rsidR="00B206F0" w:rsidRPr="00A063B3" w:rsidRDefault="00B206F0" w:rsidP="000173F4">
            <w:pPr>
              <w:pStyle w:val="TAMainText"/>
              <w:spacing w:line="240" w:lineRule="auto"/>
              <w:ind w:firstLine="204"/>
              <w:jc w:val="center"/>
              <w:rPr>
                <w:b/>
                <w:bCs/>
              </w:rPr>
            </w:pPr>
            <w:r w:rsidRPr="00A063B3">
              <w:rPr>
                <w:b/>
                <w:bCs/>
              </w:rPr>
              <w:t>Catalysts</w:t>
            </w:r>
          </w:p>
        </w:tc>
        <w:tc>
          <w:tcPr>
            <w:tcW w:w="0" w:type="auto"/>
            <w:tcBorders>
              <w:top w:val="single" w:sz="12" w:space="0" w:color="auto"/>
              <w:bottom w:val="nil"/>
            </w:tcBorders>
            <w:vAlign w:val="center"/>
          </w:tcPr>
          <w:p w:rsidR="00B206F0" w:rsidRPr="00A063B3" w:rsidRDefault="00B206F0" w:rsidP="000173F4">
            <w:pPr>
              <w:pStyle w:val="TAMainText"/>
              <w:spacing w:line="240" w:lineRule="auto"/>
              <w:ind w:firstLine="204"/>
              <w:jc w:val="center"/>
              <w:rPr>
                <w:b/>
                <w:bCs/>
              </w:rPr>
            </w:pPr>
            <w:r w:rsidRPr="00A063B3">
              <w:rPr>
                <w:b/>
                <w:bCs/>
              </w:rPr>
              <w:t>Ce</w:t>
            </w:r>
            <w:r w:rsidRPr="00A063B3">
              <w:rPr>
                <w:b/>
                <w:bCs/>
                <w:vertAlign w:val="superscript"/>
              </w:rPr>
              <w:t>3+</w:t>
            </w:r>
            <w:r w:rsidRPr="00A063B3">
              <w:rPr>
                <w:b/>
                <w:bCs/>
              </w:rPr>
              <w:t>/</w:t>
            </w:r>
          </w:p>
          <w:p w:rsidR="00B206F0" w:rsidRPr="00A063B3" w:rsidRDefault="00B206F0" w:rsidP="000173F4">
            <w:pPr>
              <w:pStyle w:val="TAMainText"/>
              <w:spacing w:line="240" w:lineRule="auto"/>
              <w:ind w:firstLine="204"/>
              <w:jc w:val="center"/>
              <w:rPr>
                <w:b/>
                <w:bCs/>
                <w:vertAlign w:val="superscript"/>
              </w:rPr>
            </w:pPr>
            <w:r w:rsidRPr="00A063B3">
              <w:rPr>
                <w:b/>
                <w:bCs/>
              </w:rPr>
              <w:t>(Ce</w:t>
            </w:r>
            <w:r w:rsidRPr="00A063B3">
              <w:rPr>
                <w:b/>
                <w:bCs/>
                <w:vertAlign w:val="superscript"/>
              </w:rPr>
              <w:t>3+</w:t>
            </w:r>
            <w:r w:rsidRPr="00A063B3">
              <w:rPr>
                <w:b/>
                <w:bCs/>
              </w:rPr>
              <w:t>+Ce</w:t>
            </w:r>
            <w:r w:rsidRPr="00A063B3">
              <w:rPr>
                <w:b/>
                <w:bCs/>
                <w:vertAlign w:val="superscript"/>
              </w:rPr>
              <w:t>4+</w:t>
            </w:r>
            <w:r w:rsidRPr="00A063B3">
              <w:rPr>
                <w:b/>
                <w:bCs/>
              </w:rPr>
              <w:t>) (%)</w:t>
            </w:r>
          </w:p>
        </w:tc>
        <w:tc>
          <w:tcPr>
            <w:tcW w:w="0" w:type="auto"/>
            <w:tcBorders>
              <w:top w:val="single" w:sz="12" w:space="0" w:color="auto"/>
              <w:bottom w:val="nil"/>
            </w:tcBorders>
            <w:vAlign w:val="center"/>
          </w:tcPr>
          <w:p w:rsidR="00B206F0" w:rsidRPr="00A063B3" w:rsidRDefault="00B206F0" w:rsidP="000173F4">
            <w:pPr>
              <w:pStyle w:val="TAMainText"/>
              <w:spacing w:line="240" w:lineRule="auto"/>
              <w:ind w:firstLine="204"/>
              <w:jc w:val="center"/>
              <w:rPr>
                <w:b/>
                <w:bCs/>
              </w:rPr>
            </w:pPr>
            <w:r w:rsidRPr="00A063B3">
              <w:rPr>
                <w:b/>
                <w:bCs/>
              </w:rPr>
              <w:t>Mn</w:t>
            </w:r>
            <w:r w:rsidRPr="00A063B3">
              <w:rPr>
                <w:b/>
                <w:bCs/>
                <w:vertAlign w:val="superscript"/>
              </w:rPr>
              <w:t>4+</w:t>
            </w:r>
            <w:r w:rsidRPr="00A063B3">
              <w:rPr>
                <w:b/>
                <w:bCs/>
              </w:rPr>
              <w:t>/</w:t>
            </w:r>
          </w:p>
          <w:p w:rsidR="00B206F0" w:rsidRPr="00A063B3" w:rsidRDefault="00B206F0" w:rsidP="000173F4">
            <w:pPr>
              <w:pStyle w:val="TAMainText"/>
              <w:spacing w:line="240" w:lineRule="auto"/>
              <w:ind w:firstLine="204"/>
              <w:jc w:val="center"/>
              <w:rPr>
                <w:b/>
                <w:bCs/>
              </w:rPr>
            </w:pPr>
            <w:r w:rsidRPr="00A063B3">
              <w:rPr>
                <w:b/>
                <w:bCs/>
              </w:rPr>
              <w:t>(Mn</w:t>
            </w:r>
            <w:r w:rsidRPr="00A063B3">
              <w:rPr>
                <w:b/>
                <w:bCs/>
                <w:vertAlign w:val="superscript"/>
              </w:rPr>
              <w:t>4+</w:t>
            </w:r>
            <w:r w:rsidRPr="00A063B3">
              <w:rPr>
                <w:b/>
                <w:bCs/>
              </w:rPr>
              <w:t>+Mn</w:t>
            </w:r>
            <w:r w:rsidRPr="00A063B3">
              <w:rPr>
                <w:b/>
                <w:bCs/>
                <w:vertAlign w:val="superscript"/>
              </w:rPr>
              <w:t>3+</w:t>
            </w:r>
            <w:r w:rsidRPr="00A063B3">
              <w:rPr>
                <w:b/>
                <w:bCs/>
              </w:rPr>
              <w:t>) (%)</w:t>
            </w:r>
          </w:p>
        </w:tc>
        <w:tc>
          <w:tcPr>
            <w:tcW w:w="0" w:type="auto"/>
            <w:tcBorders>
              <w:top w:val="single" w:sz="12" w:space="0" w:color="auto"/>
              <w:bottom w:val="nil"/>
            </w:tcBorders>
            <w:vAlign w:val="center"/>
          </w:tcPr>
          <w:p w:rsidR="00B206F0" w:rsidRPr="00A063B3" w:rsidRDefault="00B206F0" w:rsidP="000173F4">
            <w:pPr>
              <w:pStyle w:val="TAMainText"/>
              <w:spacing w:line="240" w:lineRule="auto"/>
              <w:ind w:firstLine="204"/>
              <w:jc w:val="center"/>
              <w:rPr>
                <w:b/>
                <w:bCs/>
              </w:rPr>
            </w:pPr>
            <w:bookmarkStart w:id="7" w:name="OLE_LINK1"/>
            <w:bookmarkStart w:id="8" w:name="OLE_LINK2"/>
            <w:proofErr w:type="spellStart"/>
            <w:r w:rsidRPr="00A063B3">
              <w:rPr>
                <w:b/>
                <w:bCs/>
              </w:rPr>
              <w:t>O</w:t>
            </w:r>
            <w:r w:rsidRPr="00A063B3">
              <w:rPr>
                <w:b/>
                <w:bCs/>
                <w:vertAlign w:val="subscript"/>
              </w:rPr>
              <w:t>surface</w:t>
            </w:r>
            <w:proofErr w:type="spellEnd"/>
            <w:r w:rsidRPr="00A063B3">
              <w:rPr>
                <w:b/>
                <w:bCs/>
              </w:rPr>
              <w:t>/</w:t>
            </w:r>
          </w:p>
          <w:p w:rsidR="00B206F0" w:rsidRPr="00A063B3" w:rsidRDefault="00B206F0" w:rsidP="000173F4">
            <w:pPr>
              <w:pStyle w:val="TAMainText"/>
              <w:spacing w:line="240" w:lineRule="auto"/>
              <w:ind w:firstLine="204"/>
              <w:jc w:val="center"/>
              <w:rPr>
                <w:b/>
                <w:bCs/>
                <w:vertAlign w:val="subscript"/>
              </w:rPr>
            </w:pPr>
            <w:r w:rsidRPr="00A063B3">
              <w:rPr>
                <w:b/>
                <w:bCs/>
              </w:rPr>
              <w:t>(</w:t>
            </w:r>
            <w:proofErr w:type="spellStart"/>
            <w:r w:rsidRPr="00A063B3">
              <w:rPr>
                <w:b/>
                <w:bCs/>
              </w:rPr>
              <w:t>O</w:t>
            </w:r>
            <w:r w:rsidRPr="00A063B3">
              <w:rPr>
                <w:b/>
                <w:bCs/>
                <w:vertAlign w:val="subscript"/>
              </w:rPr>
              <w:t>surface</w:t>
            </w:r>
            <w:r w:rsidRPr="00A063B3">
              <w:rPr>
                <w:b/>
                <w:bCs/>
              </w:rPr>
              <w:t>+O</w:t>
            </w:r>
            <w:r w:rsidRPr="00A063B3">
              <w:rPr>
                <w:b/>
                <w:bCs/>
                <w:vertAlign w:val="subscript"/>
              </w:rPr>
              <w:t>lattice</w:t>
            </w:r>
            <w:proofErr w:type="spellEnd"/>
            <w:r w:rsidRPr="00A063B3">
              <w:rPr>
                <w:b/>
                <w:bCs/>
              </w:rPr>
              <w:t>)</w:t>
            </w:r>
            <w:r w:rsidRPr="00A063B3">
              <w:rPr>
                <w:b/>
                <w:bCs/>
                <w:vertAlign w:val="subscript"/>
              </w:rPr>
              <w:t xml:space="preserve"> </w:t>
            </w:r>
            <w:r w:rsidRPr="00A063B3">
              <w:rPr>
                <w:b/>
                <w:bCs/>
              </w:rPr>
              <w:t>(%)</w:t>
            </w:r>
            <w:bookmarkEnd w:id="7"/>
            <w:bookmarkEnd w:id="8"/>
          </w:p>
        </w:tc>
      </w:tr>
      <w:tr w:rsidR="00B206F0" w:rsidRPr="00A063B3" w:rsidTr="000173F4">
        <w:trPr>
          <w:trHeight w:val="540"/>
        </w:trPr>
        <w:tc>
          <w:tcPr>
            <w:tcW w:w="0" w:type="auto"/>
            <w:tcBorders>
              <w:top w:val="single" w:sz="4" w:space="0" w:color="auto"/>
              <w:bottom w:val="nil"/>
            </w:tcBorders>
            <w:vAlign w:val="center"/>
          </w:tcPr>
          <w:p w:rsidR="00B206F0" w:rsidRPr="00A063B3" w:rsidRDefault="00B206F0" w:rsidP="000173F4">
            <w:pPr>
              <w:pStyle w:val="TAMainText"/>
              <w:spacing w:line="240" w:lineRule="auto"/>
              <w:ind w:firstLine="204"/>
              <w:jc w:val="center"/>
            </w:pPr>
            <w:r w:rsidRPr="00A063B3">
              <w:rPr>
                <w:bCs/>
              </w:rPr>
              <w:t>CP-MnCe (f)</w:t>
            </w:r>
          </w:p>
        </w:tc>
        <w:tc>
          <w:tcPr>
            <w:tcW w:w="0" w:type="auto"/>
            <w:tcBorders>
              <w:top w:val="single" w:sz="4" w:space="0" w:color="auto"/>
              <w:bottom w:val="nil"/>
            </w:tcBorders>
            <w:vAlign w:val="center"/>
          </w:tcPr>
          <w:p w:rsidR="00B206F0" w:rsidRPr="00A063B3" w:rsidRDefault="00B206F0" w:rsidP="000173F4">
            <w:pPr>
              <w:pStyle w:val="TAMainText"/>
              <w:spacing w:line="240" w:lineRule="auto"/>
              <w:ind w:firstLine="204"/>
              <w:jc w:val="center"/>
            </w:pPr>
            <w:r w:rsidRPr="00A063B3">
              <w:t>25</w:t>
            </w:r>
          </w:p>
        </w:tc>
        <w:tc>
          <w:tcPr>
            <w:tcW w:w="0" w:type="auto"/>
            <w:tcBorders>
              <w:top w:val="single" w:sz="4" w:space="0" w:color="auto"/>
              <w:bottom w:val="nil"/>
            </w:tcBorders>
            <w:vAlign w:val="center"/>
          </w:tcPr>
          <w:p w:rsidR="00B206F0" w:rsidRPr="00A063B3" w:rsidRDefault="00B206F0" w:rsidP="000173F4">
            <w:pPr>
              <w:pStyle w:val="TAMainText"/>
              <w:spacing w:line="240" w:lineRule="auto"/>
              <w:ind w:firstLine="204"/>
              <w:jc w:val="center"/>
            </w:pPr>
            <w:r w:rsidRPr="00A063B3">
              <w:t>42</w:t>
            </w:r>
          </w:p>
        </w:tc>
        <w:tc>
          <w:tcPr>
            <w:tcW w:w="0" w:type="auto"/>
            <w:tcBorders>
              <w:top w:val="single" w:sz="4" w:space="0" w:color="auto"/>
              <w:bottom w:val="nil"/>
            </w:tcBorders>
            <w:vAlign w:val="center"/>
          </w:tcPr>
          <w:p w:rsidR="00B206F0" w:rsidRPr="00A063B3" w:rsidRDefault="00B206F0" w:rsidP="000173F4">
            <w:pPr>
              <w:pStyle w:val="TAMainText"/>
              <w:spacing w:line="240" w:lineRule="auto"/>
              <w:ind w:firstLine="204"/>
              <w:jc w:val="center"/>
            </w:pPr>
            <w:r w:rsidRPr="00A063B3">
              <w:t>41</w:t>
            </w:r>
          </w:p>
        </w:tc>
      </w:tr>
      <w:tr w:rsidR="00B206F0" w:rsidRPr="00A063B3" w:rsidTr="000173F4">
        <w:trPr>
          <w:trHeight w:val="540"/>
        </w:trPr>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rPr>
                <w:bCs/>
              </w:rPr>
              <w:t>CP-MnCe (h)</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16</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24</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31</w:t>
            </w:r>
          </w:p>
        </w:tc>
      </w:tr>
      <w:tr w:rsidR="00B206F0" w:rsidRPr="00A063B3" w:rsidTr="000173F4">
        <w:trPr>
          <w:trHeight w:val="540"/>
        </w:trPr>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rPr>
                <w:bCs/>
              </w:rPr>
              <w:t>RH-MnCe (f)</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25</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42</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40</w:t>
            </w:r>
          </w:p>
        </w:tc>
      </w:tr>
      <w:tr w:rsidR="00B206F0" w:rsidRPr="00A063B3" w:rsidTr="000173F4">
        <w:trPr>
          <w:trHeight w:val="528"/>
        </w:trPr>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rPr>
                <w:bCs/>
              </w:rPr>
              <w:t>RH-MnCe (h)</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20</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35</w:t>
            </w:r>
          </w:p>
        </w:tc>
        <w:tc>
          <w:tcPr>
            <w:tcW w:w="0" w:type="auto"/>
            <w:tcBorders>
              <w:top w:val="nil"/>
              <w:bottom w:val="nil"/>
            </w:tcBorders>
            <w:vAlign w:val="center"/>
          </w:tcPr>
          <w:p w:rsidR="00B206F0" w:rsidRPr="00A063B3" w:rsidRDefault="00B206F0" w:rsidP="000173F4">
            <w:pPr>
              <w:pStyle w:val="TAMainText"/>
              <w:spacing w:line="240" w:lineRule="auto"/>
              <w:ind w:firstLine="204"/>
              <w:jc w:val="center"/>
            </w:pPr>
            <w:r w:rsidRPr="00A063B3">
              <w:t>34</w:t>
            </w:r>
          </w:p>
        </w:tc>
      </w:tr>
      <w:tr w:rsidR="00B206F0" w:rsidRPr="00A063B3" w:rsidTr="000173F4">
        <w:trPr>
          <w:trHeight w:val="540"/>
        </w:trPr>
        <w:tc>
          <w:tcPr>
            <w:tcW w:w="0" w:type="auto"/>
            <w:tcBorders>
              <w:top w:val="nil"/>
            </w:tcBorders>
            <w:vAlign w:val="center"/>
          </w:tcPr>
          <w:p w:rsidR="00B206F0" w:rsidRPr="00A063B3" w:rsidRDefault="00B206F0" w:rsidP="000173F4">
            <w:pPr>
              <w:pStyle w:val="TAMainText"/>
              <w:spacing w:line="240" w:lineRule="auto"/>
              <w:ind w:firstLine="204"/>
              <w:jc w:val="center"/>
            </w:pPr>
            <w:r w:rsidRPr="00A063B3">
              <w:rPr>
                <w:bCs/>
              </w:rPr>
              <w:t>IP-MnCe (f)</w:t>
            </w:r>
          </w:p>
        </w:tc>
        <w:tc>
          <w:tcPr>
            <w:tcW w:w="0" w:type="auto"/>
            <w:tcBorders>
              <w:top w:val="nil"/>
            </w:tcBorders>
            <w:vAlign w:val="center"/>
          </w:tcPr>
          <w:p w:rsidR="00B206F0" w:rsidRPr="00A063B3" w:rsidRDefault="00B206F0" w:rsidP="000173F4">
            <w:pPr>
              <w:pStyle w:val="TAMainText"/>
              <w:spacing w:line="240" w:lineRule="auto"/>
              <w:ind w:firstLine="204"/>
              <w:jc w:val="center"/>
            </w:pPr>
            <w:r w:rsidRPr="00A063B3">
              <w:t>23</w:t>
            </w:r>
          </w:p>
        </w:tc>
        <w:tc>
          <w:tcPr>
            <w:tcW w:w="0" w:type="auto"/>
            <w:tcBorders>
              <w:top w:val="nil"/>
            </w:tcBorders>
            <w:vAlign w:val="center"/>
          </w:tcPr>
          <w:p w:rsidR="00B206F0" w:rsidRPr="00A063B3" w:rsidRDefault="00B206F0" w:rsidP="000173F4">
            <w:pPr>
              <w:pStyle w:val="TAMainText"/>
              <w:spacing w:line="240" w:lineRule="auto"/>
              <w:ind w:firstLine="204"/>
              <w:jc w:val="center"/>
            </w:pPr>
            <w:r w:rsidRPr="00A063B3">
              <w:t>40</w:t>
            </w:r>
          </w:p>
        </w:tc>
        <w:tc>
          <w:tcPr>
            <w:tcW w:w="0" w:type="auto"/>
            <w:tcBorders>
              <w:top w:val="nil"/>
            </w:tcBorders>
            <w:vAlign w:val="center"/>
          </w:tcPr>
          <w:p w:rsidR="00B206F0" w:rsidRPr="00A063B3" w:rsidRDefault="00B206F0" w:rsidP="000173F4">
            <w:pPr>
              <w:pStyle w:val="TAMainText"/>
              <w:spacing w:line="240" w:lineRule="auto"/>
              <w:ind w:firstLine="204"/>
              <w:jc w:val="center"/>
            </w:pPr>
            <w:r w:rsidRPr="00A063B3">
              <w:t>27</w:t>
            </w:r>
          </w:p>
        </w:tc>
      </w:tr>
      <w:tr w:rsidR="00B206F0" w:rsidRPr="00A063B3" w:rsidTr="000173F4">
        <w:trPr>
          <w:trHeight w:val="540"/>
        </w:trPr>
        <w:tc>
          <w:tcPr>
            <w:tcW w:w="0" w:type="auto"/>
            <w:vAlign w:val="center"/>
          </w:tcPr>
          <w:p w:rsidR="00B206F0" w:rsidRPr="00A063B3" w:rsidRDefault="00B206F0" w:rsidP="000173F4">
            <w:pPr>
              <w:pStyle w:val="TAMainText"/>
              <w:spacing w:line="240" w:lineRule="auto"/>
              <w:ind w:firstLine="204"/>
              <w:jc w:val="center"/>
              <w:rPr>
                <w:bCs/>
              </w:rPr>
            </w:pPr>
            <w:r w:rsidRPr="00A063B3">
              <w:rPr>
                <w:bCs/>
              </w:rPr>
              <w:t>IP-MnCe (h)</w:t>
            </w:r>
          </w:p>
        </w:tc>
        <w:tc>
          <w:tcPr>
            <w:tcW w:w="0" w:type="auto"/>
            <w:vAlign w:val="center"/>
          </w:tcPr>
          <w:p w:rsidR="00B206F0" w:rsidRPr="00A063B3" w:rsidRDefault="00B206F0" w:rsidP="000173F4">
            <w:pPr>
              <w:pStyle w:val="TAMainText"/>
              <w:spacing w:line="240" w:lineRule="auto"/>
              <w:ind w:firstLine="204"/>
              <w:jc w:val="center"/>
            </w:pPr>
            <w:r w:rsidRPr="00A063B3">
              <w:t>14</w:t>
            </w:r>
          </w:p>
        </w:tc>
        <w:tc>
          <w:tcPr>
            <w:tcW w:w="0" w:type="auto"/>
            <w:vAlign w:val="center"/>
          </w:tcPr>
          <w:p w:rsidR="00B206F0" w:rsidRPr="00A063B3" w:rsidRDefault="00B206F0" w:rsidP="000173F4">
            <w:pPr>
              <w:pStyle w:val="TAMainText"/>
              <w:spacing w:line="240" w:lineRule="auto"/>
              <w:ind w:firstLine="204"/>
              <w:jc w:val="center"/>
            </w:pPr>
            <w:r w:rsidRPr="00A063B3">
              <w:t>16</w:t>
            </w:r>
          </w:p>
        </w:tc>
        <w:tc>
          <w:tcPr>
            <w:tcW w:w="0" w:type="auto"/>
            <w:vAlign w:val="center"/>
          </w:tcPr>
          <w:p w:rsidR="00B206F0" w:rsidRPr="00A063B3" w:rsidRDefault="00B206F0" w:rsidP="000173F4">
            <w:pPr>
              <w:pStyle w:val="TAMainText"/>
              <w:spacing w:line="240" w:lineRule="auto"/>
              <w:ind w:firstLine="204"/>
              <w:jc w:val="center"/>
            </w:pPr>
            <w:r w:rsidRPr="00A063B3">
              <w:t>30</w:t>
            </w:r>
          </w:p>
        </w:tc>
      </w:tr>
    </w:tbl>
    <w:p w:rsidR="00B206F0" w:rsidRPr="00A063B3" w:rsidRDefault="00B206F0" w:rsidP="00D77588">
      <w:pPr>
        <w:pStyle w:val="TAMainText"/>
        <w:spacing w:after="240"/>
        <w:jc w:val="left"/>
        <w:rPr>
          <w:lang w:val="en"/>
        </w:rPr>
      </w:pPr>
    </w:p>
    <w:p w:rsidR="00B206F0" w:rsidRPr="00D77588" w:rsidRDefault="00B206F0" w:rsidP="00D77588">
      <w:pPr>
        <w:pStyle w:val="TAMainText"/>
        <w:spacing w:after="240"/>
        <w:ind w:firstLine="0"/>
        <w:rPr>
          <w:b/>
          <w:lang w:eastAsia="zh-CN"/>
        </w:rPr>
      </w:pPr>
    </w:p>
    <w:p w:rsidR="00B206F0" w:rsidRPr="00A063B3" w:rsidRDefault="00B206F0" w:rsidP="00D77588">
      <w:pPr>
        <w:pStyle w:val="TAMainText"/>
        <w:spacing w:after="240"/>
        <w:ind w:firstLine="0"/>
        <w:rPr>
          <w:b/>
          <w:bCs/>
          <w:lang w:val="en"/>
        </w:rPr>
      </w:pPr>
      <w:r w:rsidRPr="000173F4">
        <w:rPr>
          <w:bCs/>
          <w:lang w:val="en-MY"/>
        </w:rPr>
        <w:t xml:space="preserve">The XPS spectra of Mn 2p before and after the high-temperature hydrothermal treatment of the catalysts are shown in </w:t>
      </w:r>
      <w:r w:rsidRPr="000173F4">
        <w:rPr>
          <w:b/>
          <w:lang w:val="en-MY"/>
        </w:rPr>
        <w:t xml:space="preserve">Figure S4a </w:t>
      </w:r>
      <w:r w:rsidRPr="000173F4">
        <w:rPr>
          <w:bCs/>
          <w:lang w:val="en-MY"/>
        </w:rPr>
        <w:t xml:space="preserve">and </w:t>
      </w:r>
      <w:r w:rsidRPr="000173F4">
        <w:rPr>
          <w:b/>
          <w:lang w:val="en-MY"/>
        </w:rPr>
        <w:t>S4b</w:t>
      </w:r>
      <w:r w:rsidRPr="000173F4">
        <w:rPr>
          <w:bCs/>
          <w:lang w:val="en-MY"/>
        </w:rPr>
        <w:t>, respectively. The peaks with a binding energy of 642 eV and 643 eV represent the Mn</w:t>
      </w:r>
      <w:r w:rsidRPr="000173F4">
        <w:rPr>
          <w:bCs/>
          <w:vertAlign w:val="superscript"/>
          <w:lang w:val="en-MY"/>
        </w:rPr>
        <w:t>3+</w:t>
      </w:r>
      <w:r w:rsidRPr="000173F4">
        <w:rPr>
          <w:bCs/>
          <w:lang w:val="en-MY"/>
        </w:rPr>
        <w:t xml:space="preserve"> and Mn</w:t>
      </w:r>
      <w:r w:rsidRPr="000173F4">
        <w:rPr>
          <w:bCs/>
          <w:vertAlign w:val="superscript"/>
          <w:lang w:val="en-MY"/>
        </w:rPr>
        <w:t>4+</w:t>
      </w:r>
      <w:r w:rsidRPr="000173F4">
        <w:rPr>
          <w:bCs/>
          <w:lang w:val="en-MY"/>
        </w:rPr>
        <w:t xml:space="preserve"> species, respectively</w:t>
      </w:r>
      <w:r>
        <w:rPr>
          <w:lang w:val="en"/>
        </w:rPr>
        <w:t xml:space="preserve"> </w:t>
      </w:r>
      <w:r w:rsidRPr="005B1ECA">
        <w:rPr>
          <w:rFonts w:ascii="Times New Roman" w:hAnsi="Times New Roman"/>
          <w:noProof/>
          <w:szCs w:val="24"/>
          <w:lang w:val="en"/>
        </w:rPr>
        <w:t>(Wang</w:t>
      </w:r>
      <w:r w:rsidRPr="005B1ECA">
        <w:rPr>
          <w:rFonts w:ascii="Times New Roman" w:hAnsi="Times New Roman"/>
          <w:i/>
          <w:noProof/>
          <w:szCs w:val="24"/>
          <w:lang w:val="en"/>
        </w:rPr>
        <w:t xml:space="preserve"> et al.</w:t>
      </w:r>
      <w:r w:rsidRPr="005B1ECA">
        <w:rPr>
          <w:rFonts w:ascii="Times New Roman" w:hAnsi="Times New Roman"/>
          <w:noProof/>
          <w:szCs w:val="24"/>
          <w:lang w:val="en"/>
        </w:rPr>
        <w:t xml:space="preserve"> 2012)</w:t>
      </w:r>
      <w:r w:rsidRPr="00A063B3">
        <w:rPr>
          <w:lang w:val="en"/>
        </w:rPr>
        <w:t xml:space="preserve">. </w:t>
      </w:r>
      <w:r w:rsidRPr="000173F4">
        <w:rPr>
          <w:lang w:val="en-MY"/>
        </w:rPr>
        <w:t xml:space="preserve">The area ratio was used to calculate the relative Mn content in different valence states. As stated in </w:t>
      </w:r>
      <w:r w:rsidRPr="000173F4">
        <w:rPr>
          <w:b/>
          <w:bCs/>
          <w:lang w:val="en-MY"/>
        </w:rPr>
        <w:t>Table S2</w:t>
      </w:r>
      <w:r w:rsidRPr="000173F4">
        <w:rPr>
          <w:lang w:val="en-MY"/>
        </w:rPr>
        <w:t>, the Mn</w:t>
      </w:r>
      <w:r w:rsidRPr="000173F4">
        <w:rPr>
          <w:vertAlign w:val="superscript"/>
          <w:lang w:val="en-MY"/>
        </w:rPr>
        <w:t>4+</w:t>
      </w:r>
      <w:proofErr w:type="gramStart"/>
      <w:r w:rsidRPr="000173F4">
        <w:rPr>
          <w:lang w:val="en-MY"/>
        </w:rPr>
        <w:t>/(</w:t>
      </w:r>
      <w:proofErr w:type="gramEnd"/>
      <w:r w:rsidRPr="000173F4">
        <w:rPr>
          <w:lang w:val="en-MY"/>
        </w:rPr>
        <w:t>Mn</w:t>
      </w:r>
      <w:r w:rsidRPr="000173F4">
        <w:rPr>
          <w:vertAlign w:val="superscript"/>
          <w:lang w:val="en-MY"/>
        </w:rPr>
        <w:t>3+</w:t>
      </w:r>
      <w:r w:rsidRPr="000173F4">
        <w:rPr>
          <w:lang w:val="en-MY"/>
        </w:rPr>
        <w:t xml:space="preserve"> + Mn</w:t>
      </w:r>
      <w:r w:rsidRPr="000173F4">
        <w:rPr>
          <w:vertAlign w:val="superscript"/>
          <w:lang w:val="en-MY"/>
        </w:rPr>
        <w:t>4+</w:t>
      </w:r>
      <w:r w:rsidRPr="000173F4">
        <w:rPr>
          <w:lang w:val="en-MY"/>
        </w:rPr>
        <w:t>) ratios of IP-MnCe (f), CP-MnCe (f), and RH-MnCe (f) are 40%, 42%, and 42%, respectively. After the hydrothermal treatment, the relative content of Mn</w:t>
      </w:r>
      <w:r w:rsidRPr="000173F4">
        <w:rPr>
          <w:vertAlign w:val="superscript"/>
          <w:lang w:val="en-MY"/>
        </w:rPr>
        <w:t>4+</w:t>
      </w:r>
      <w:r w:rsidRPr="000173F4">
        <w:rPr>
          <w:lang w:val="en-MY"/>
        </w:rPr>
        <w:t xml:space="preserve"> on the surface of the catalysts prepared by all three methods decreased, but the catalysts prepared by the redox method (RH-MnCe) experienced the smallest reduction. According to previous studies, Mn</w:t>
      </w:r>
      <w:r w:rsidRPr="000173F4">
        <w:rPr>
          <w:vertAlign w:val="superscript"/>
          <w:lang w:val="en-MY"/>
        </w:rPr>
        <w:t>4+</w:t>
      </w:r>
      <w:r w:rsidRPr="000173F4">
        <w:rPr>
          <w:lang w:val="en-MY"/>
        </w:rPr>
        <w:t xml:space="preserve"> species are more favourable for catalytic reactions</w:t>
      </w:r>
      <w:r>
        <w:rPr>
          <w:bCs/>
          <w:lang w:val="en-MY"/>
        </w:rPr>
        <w:t xml:space="preserve"> </w:t>
      </w:r>
      <w:r w:rsidRPr="005B1ECA">
        <w:rPr>
          <w:rFonts w:ascii="Times New Roman" w:hAnsi="Times New Roman"/>
          <w:bCs/>
          <w:noProof/>
          <w:szCs w:val="24"/>
          <w:lang w:val="en"/>
        </w:rPr>
        <w:t>(Azalim</w:t>
      </w:r>
      <w:r w:rsidRPr="005B1ECA">
        <w:rPr>
          <w:rFonts w:ascii="Times New Roman" w:hAnsi="Times New Roman"/>
          <w:bCs/>
          <w:i/>
          <w:noProof/>
          <w:szCs w:val="24"/>
          <w:lang w:val="en"/>
        </w:rPr>
        <w:t xml:space="preserve"> et al.</w:t>
      </w:r>
      <w:r w:rsidRPr="005B1ECA">
        <w:rPr>
          <w:rFonts w:ascii="Times New Roman" w:hAnsi="Times New Roman"/>
          <w:bCs/>
          <w:noProof/>
          <w:szCs w:val="24"/>
          <w:lang w:val="en"/>
        </w:rPr>
        <w:t xml:space="preserve"> 2011)</w:t>
      </w:r>
      <w:r w:rsidRPr="00A063B3">
        <w:rPr>
          <w:bCs/>
        </w:rPr>
        <w:t>,</w:t>
      </w:r>
      <w:r w:rsidRPr="00A063B3">
        <w:rPr>
          <w:bCs/>
          <w:lang w:val="en"/>
        </w:rPr>
        <w:t xml:space="preserve"> </w:t>
      </w:r>
      <w:r w:rsidRPr="000173F4">
        <w:rPr>
          <w:bCs/>
          <w:lang w:val="en-MY"/>
        </w:rPr>
        <w:t>and therefore the RH-MnCe (h) catalysts are capable of maintaining high catalytic activity.</w:t>
      </w:r>
    </w:p>
    <w:p w:rsidR="00B206F0" w:rsidRPr="000173F4" w:rsidRDefault="00B206F0" w:rsidP="00D77588">
      <w:pPr>
        <w:pStyle w:val="TAMainText"/>
        <w:spacing w:after="240"/>
        <w:ind w:firstLine="0"/>
        <w:rPr>
          <w:lang w:val="en"/>
        </w:rPr>
      </w:pPr>
      <w:r w:rsidRPr="000173F4">
        <w:rPr>
          <w:lang w:val="en-MY"/>
        </w:rPr>
        <w:t>The O 1s XPS spectra of the MnOx-CeO</w:t>
      </w:r>
      <w:r w:rsidRPr="000173F4">
        <w:rPr>
          <w:vertAlign w:val="subscript"/>
          <w:lang w:val="en-MY"/>
        </w:rPr>
        <w:t>2</w:t>
      </w:r>
      <w:r w:rsidRPr="000173F4">
        <w:rPr>
          <w:lang w:val="en-MY"/>
        </w:rPr>
        <w:t xml:space="preserve"> catalysts before and after hydrothermal treatment are presented in </w:t>
      </w:r>
      <w:r w:rsidRPr="000173F4">
        <w:rPr>
          <w:b/>
          <w:bCs/>
          <w:lang w:val="en-MY"/>
        </w:rPr>
        <w:t xml:space="preserve">Figure S4c </w:t>
      </w:r>
      <w:r w:rsidRPr="000173F4">
        <w:rPr>
          <w:lang w:val="en-MY"/>
        </w:rPr>
        <w:t xml:space="preserve">and </w:t>
      </w:r>
      <w:r w:rsidRPr="000173F4">
        <w:rPr>
          <w:b/>
          <w:bCs/>
          <w:lang w:val="en-MY"/>
        </w:rPr>
        <w:t>S4d</w:t>
      </w:r>
      <w:r w:rsidRPr="000173F4">
        <w:rPr>
          <w:lang w:val="en-MY"/>
        </w:rPr>
        <w:t xml:space="preserve">. The first peak at 529 eV is associated with lattice oxygen, </w:t>
      </w:r>
      <w:r w:rsidRPr="000173F4">
        <w:rPr>
          <w:lang w:val="en-MY"/>
        </w:rPr>
        <w:lastRenderedPageBreak/>
        <w:t>while the second peak is attributed to surface adsorbed oxygen and reactive oxygen species such as O</w:t>
      </w:r>
      <w:r w:rsidRPr="000173F4">
        <w:rPr>
          <w:vertAlign w:val="subscript"/>
          <w:lang w:val="en-MY"/>
        </w:rPr>
        <w:t>2</w:t>
      </w:r>
      <w:r w:rsidRPr="000173F4">
        <w:rPr>
          <w:vertAlign w:val="superscript"/>
          <w:lang w:val="en-MY"/>
        </w:rPr>
        <w:t>2-</w:t>
      </w:r>
      <w:r w:rsidRPr="000173F4">
        <w:rPr>
          <w:lang w:val="en-MY"/>
        </w:rPr>
        <w:t xml:space="preserve"> and O</w:t>
      </w:r>
      <w:r w:rsidRPr="000173F4">
        <w:rPr>
          <w:vertAlign w:val="superscript"/>
          <w:lang w:val="en-MY"/>
        </w:rPr>
        <w:t>-</w:t>
      </w:r>
      <w:r w:rsidRPr="000173F4">
        <w:rPr>
          <w:lang w:val="en-MY"/>
        </w:rPr>
        <w:t>. The high binding energy peaks are due to the surface adsorbed hydroxyl groups and water. The fitted results indicate that the relative content of surface oxygen species of IP-MnCe(f), CP-MnCe(f), and RH-MnCe(f) were 27%, 41%, and 40%, respectively, which is closely related to their catalytic activity. After the hydrothermal treatment, a decrease in the relative content of surface oxygen species is observed for both CP-MnCe (31%) and RH-MnCe (34%), while IP-MnCe shows a slight increase (30%).</w:t>
      </w:r>
    </w:p>
    <w:p w:rsidR="00B206F0" w:rsidRPr="00944255" w:rsidRDefault="00B206F0" w:rsidP="000173F4">
      <w:pPr>
        <w:pStyle w:val="TAMainText"/>
        <w:ind w:firstLine="0"/>
        <w:rPr>
          <w:rFonts w:ascii="Times New Roman" w:hAnsi="Times New Roman"/>
          <w:b/>
          <w:bCs/>
          <w:szCs w:val="24"/>
        </w:rPr>
      </w:pPr>
      <w:r w:rsidRPr="00F66337">
        <w:rPr>
          <w:lang w:val="en-MY"/>
        </w:rPr>
        <w:t>The Ce 3d XPS spectra of the MnOx-CeO</w:t>
      </w:r>
      <w:r w:rsidRPr="000173F4">
        <w:rPr>
          <w:vertAlign w:val="subscript"/>
          <w:lang w:val="en-MY"/>
        </w:rPr>
        <w:t>2</w:t>
      </w:r>
      <w:r w:rsidRPr="00F66337">
        <w:rPr>
          <w:lang w:val="en-MY"/>
        </w:rPr>
        <w:t xml:space="preserve"> catalysts before and after hydrothermal treatment are displayed in </w:t>
      </w:r>
      <w:r w:rsidRPr="000173F4">
        <w:rPr>
          <w:b/>
          <w:bCs/>
          <w:lang w:val="en-MY"/>
        </w:rPr>
        <w:t>Figure S4e</w:t>
      </w:r>
      <w:r w:rsidRPr="00F66337">
        <w:rPr>
          <w:lang w:val="en-MY"/>
        </w:rPr>
        <w:t xml:space="preserve"> and </w:t>
      </w:r>
      <w:r w:rsidRPr="000173F4">
        <w:rPr>
          <w:b/>
          <w:bCs/>
          <w:lang w:val="en-MY"/>
        </w:rPr>
        <w:t>S4f</w:t>
      </w:r>
      <w:r w:rsidRPr="00F66337">
        <w:rPr>
          <w:lang w:val="en-MY"/>
        </w:rPr>
        <w:t>. Previous studies have reported that Ce</w:t>
      </w:r>
      <w:r w:rsidRPr="000173F4">
        <w:rPr>
          <w:vertAlign w:val="superscript"/>
          <w:lang w:val="en-MY"/>
        </w:rPr>
        <w:t xml:space="preserve">4+ </w:t>
      </w:r>
      <w:r w:rsidRPr="00F66337">
        <w:rPr>
          <w:lang w:val="en-MY"/>
        </w:rPr>
        <w:t>species correspond to peaks at 882.1, 888.7, 897.6, 900.4, 906.6, and 916.0 eV</w:t>
      </w:r>
      <w:r>
        <w:rPr>
          <w:lang w:eastAsia="zh-CN"/>
        </w:rPr>
        <w:t xml:space="preserve"> </w:t>
      </w:r>
      <w:r>
        <w:rPr>
          <w:rFonts w:ascii="Times New Roman" w:hAnsi="Times New Roman"/>
          <w:noProof/>
          <w:szCs w:val="24"/>
          <w:lang w:val="en"/>
        </w:rPr>
        <w:t>(Larachi</w:t>
      </w:r>
      <w:r w:rsidRPr="005B1ECA">
        <w:rPr>
          <w:rFonts w:ascii="Times New Roman" w:hAnsi="Times New Roman"/>
          <w:i/>
          <w:noProof/>
          <w:szCs w:val="24"/>
          <w:lang w:val="en"/>
        </w:rPr>
        <w:t xml:space="preserve"> et al.</w:t>
      </w:r>
      <w:r>
        <w:rPr>
          <w:rFonts w:ascii="Times New Roman" w:hAnsi="Times New Roman"/>
          <w:noProof/>
          <w:szCs w:val="24"/>
          <w:lang w:val="en"/>
        </w:rPr>
        <w:t xml:space="preserve"> 2002, Li</w:t>
      </w:r>
      <w:r w:rsidRPr="005B1ECA">
        <w:rPr>
          <w:rFonts w:ascii="Times New Roman" w:hAnsi="Times New Roman"/>
          <w:i/>
          <w:noProof/>
          <w:szCs w:val="24"/>
          <w:lang w:val="en"/>
        </w:rPr>
        <w:t xml:space="preserve"> et al.</w:t>
      </w:r>
      <w:r>
        <w:rPr>
          <w:rFonts w:ascii="Times New Roman" w:hAnsi="Times New Roman"/>
          <w:noProof/>
          <w:szCs w:val="24"/>
          <w:lang w:val="en"/>
        </w:rPr>
        <w:t xml:space="preserve"> 2011, Zhang</w:t>
      </w:r>
      <w:r w:rsidRPr="005B1ECA">
        <w:rPr>
          <w:rFonts w:ascii="Times New Roman" w:hAnsi="Times New Roman"/>
          <w:i/>
          <w:noProof/>
          <w:szCs w:val="24"/>
          <w:lang w:val="en"/>
        </w:rPr>
        <w:t xml:space="preserve"> et al.</w:t>
      </w:r>
      <w:r>
        <w:rPr>
          <w:rFonts w:ascii="Times New Roman" w:hAnsi="Times New Roman"/>
          <w:noProof/>
          <w:szCs w:val="24"/>
          <w:lang w:val="en"/>
        </w:rPr>
        <w:t xml:space="preserve"> 2016)</w:t>
      </w:r>
      <w:r>
        <w:t>,</w:t>
      </w:r>
      <w:r w:rsidRPr="00A063B3">
        <w:rPr>
          <w:lang w:val="en"/>
        </w:rPr>
        <w:t xml:space="preserve"> </w:t>
      </w:r>
      <w:r w:rsidRPr="000173F4">
        <w:rPr>
          <w:lang w:val="en-MY"/>
        </w:rPr>
        <w:t>while Ce</w:t>
      </w:r>
      <w:r w:rsidRPr="000173F4">
        <w:rPr>
          <w:vertAlign w:val="superscript"/>
          <w:lang w:val="en-MY"/>
        </w:rPr>
        <w:t xml:space="preserve">3+ </w:t>
      </w:r>
      <w:r w:rsidRPr="000173F4">
        <w:rPr>
          <w:lang w:val="en-MY"/>
        </w:rPr>
        <w:t>species are assigned to the peaks at 885.1 and 903.6 eV. Interestingly, after the hydrothermal treatment, a high percentage of Ce</w:t>
      </w:r>
      <w:r w:rsidRPr="000173F4">
        <w:rPr>
          <w:vertAlign w:val="superscript"/>
          <w:lang w:val="en-MY"/>
        </w:rPr>
        <w:t xml:space="preserve">3+ </w:t>
      </w:r>
      <w:r w:rsidRPr="000173F4">
        <w:rPr>
          <w:lang w:val="en-MY"/>
        </w:rPr>
        <w:t>species were observed on the surface of RH-MnCe (h), consistent with the Mn</w:t>
      </w:r>
      <w:r w:rsidRPr="000173F4">
        <w:rPr>
          <w:vertAlign w:val="superscript"/>
          <w:lang w:val="en-MY"/>
        </w:rPr>
        <w:t xml:space="preserve">4+ </w:t>
      </w:r>
      <w:r w:rsidRPr="000173F4">
        <w:rPr>
          <w:lang w:val="en-MY"/>
        </w:rPr>
        <w:t>contents. The interaction between CeO</w:t>
      </w:r>
      <w:r w:rsidRPr="000173F4">
        <w:rPr>
          <w:vertAlign w:val="subscript"/>
          <w:lang w:val="en-MY"/>
        </w:rPr>
        <w:t>2</w:t>
      </w:r>
      <w:r w:rsidRPr="000173F4">
        <w:rPr>
          <w:lang w:val="en-MY"/>
        </w:rPr>
        <w:t xml:space="preserve"> and MnOx allowed for the redox pairs of Ce</w:t>
      </w:r>
      <w:r w:rsidRPr="000173F4">
        <w:rPr>
          <w:vertAlign w:val="superscript"/>
          <w:lang w:val="en-MY"/>
        </w:rPr>
        <w:t>4+</w:t>
      </w:r>
      <w:r w:rsidRPr="000173F4">
        <w:rPr>
          <w:lang w:val="en-MY"/>
        </w:rPr>
        <w:t>/Ce</w:t>
      </w:r>
      <w:r w:rsidRPr="000173F4">
        <w:rPr>
          <w:vertAlign w:val="superscript"/>
          <w:lang w:val="en-MY"/>
        </w:rPr>
        <w:t xml:space="preserve">3+ </w:t>
      </w:r>
      <w:r w:rsidRPr="000173F4">
        <w:rPr>
          <w:lang w:val="en-MY"/>
        </w:rPr>
        <w:t>and Mn</w:t>
      </w:r>
      <w:r w:rsidRPr="000173F4">
        <w:rPr>
          <w:vertAlign w:val="superscript"/>
          <w:lang w:val="en-MY"/>
        </w:rPr>
        <w:t>4+</w:t>
      </w:r>
      <w:r w:rsidRPr="000173F4">
        <w:rPr>
          <w:lang w:val="en-MY"/>
        </w:rPr>
        <w:t>/Mn</w:t>
      </w:r>
      <w:r w:rsidRPr="000173F4">
        <w:rPr>
          <w:vertAlign w:val="superscript"/>
          <w:lang w:val="en-MY"/>
        </w:rPr>
        <w:t>3+</w:t>
      </w:r>
      <w:r w:rsidRPr="000173F4">
        <w:rPr>
          <w:lang w:val="en-MY"/>
        </w:rPr>
        <w:t xml:space="preserve"> to interchange, facilitating oxygen transfer in redox cycles and resulting in high catalytic performance.</w:t>
      </w:r>
    </w:p>
    <w:p w:rsidR="00B206F0" w:rsidRPr="00D77588" w:rsidRDefault="00B206F0">
      <w:pPr>
        <w:rPr>
          <w:lang w:val="en-US"/>
        </w:rPr>
      </w:pPr>
    </w:p>
    <w:p w:rsidR="00B206F0" w:rsidRDefault="00B206F0">
      <w:pPr>
        <w:rPr>
          <w:lang w:val="en-US"/>
        </w:rPr>
      </w:pPr>
    </w:p>
    <w:p w:rsidR="00B206F0" w:rsidRDefault="00B206F0">
      <w:pPr>
        <w:rPr>
          <w:lang w:val="en-US"/>
        </w:rPr>
      </w:pPr>
    </w:p>
    <w:p w:rsidR="00B206F0" w:rsidRDefault="00B206F0">
      <w:pPr>
        <w:rPr>
          <w:lang w:val="en-US"/>
        </w:rPr>
      </w:pPr>
    </w:p>
    <w:p w:rsidR="00B206F0" w:rsidRDefault="00B206F0">
      <w:pPr>
        <w:rPr>
          <w:lang w:val="en-US"/>
        </w:rPr>
      </w:pPr>
    </w:p>
    <w:p w:rsidR="00B206F0" w:rsidRDefault="00B206F0">
      <w:pPr>
        <w:rPr>
          <w:lang w:val="en-US"/>
        </w:rPr>
      </w:pPr>
    </w:p>
    <w:p w:rsidR="00B206F0" w:rsidRPr="00D77588" w:rsidRDefault="00B206F0">
      <w:pPr>
        <w:rPr>
          <w:lang w:val="en-US"/>
        </w:rPr>
      </w:pPr>
    </w:p>
    <w:p w:rsidR="00B206F0" w:rsidRPr="00B2034A" w:rsidRDefault="00B206F0" w:rsidP="008E7911">
      <w:pPr>
        <w:rPr>
          <w:lang w:val="en-US"/>
        </w:rPr>
      </w:pPr>
    </w:p>
    <w:p w:rsidR="00B206F0" w:rsidRDefault="00B206F0">
      <w:pPr>
        <w:rPr>
          <w:lang w:val="en-US"/>
        </w:rPr>
      </w:pPr>
    </w:p>
    <w:p w:rsidR="00B206F0" w:rsidRDefault="00B206F0" w:rsidP="002272F5">
      <w:pPr>
        <w:pStyle w:val="TAMainText"/>
        <w:ind w:firstLine="0"/>
        <w:jc w:val="left"/>
        <w:rPr>
          <w:b/>
          <w:bCs/>
          <w:lang w:val="en"/>
        </w:rPr>
      </w:pPr>
    </w:p>
    <w:p w:rsidR="00B206F0" w:rsidRDefault="00B206F0" w:rsidP="002272F5">
      <w:pPr>
        <w:pStyle w:val="TAMainText"/>
        <w:ind w:firstLine="0"/>
        <w:jc w:val="left"/>
        <w:rPr>
          <w:b/>
          <w:bCs/>
          <w:lang w:val="en"/>
        </w:rPr>
      </w:pPr>
    </w:p>
    <w:p w:rsidR="00B206F0" w:rsidRPr="002272F5" w:rsidRDefault="00B206F0" w:rsidP="002272F5">
      <w:pPr>
        <w:pStyle w:val="TAMainText"/>
        <w:ind w:firstLine="0"/>
        <w:jc w:val="left"/>
        <w:rPr>
          <w:b/>
          <w:bCs/>
          <w:lang w:eastAsia="zh-CN"/>
        </w:rPr>
      </w:pPr>
      <w:r w:rsidRPr="00A063B3">
        <w:rPr>
          <w:b/>
          <w:bCs/>
          <w:lang w:val="en"/>
        </w:rPr>
        <w:lastRenderedPageBreak/>
        <w:t xml:space="preserve">Table </w:t>
      </w:r>
      <w:r>
        <w:rPr>
          <w:b/>
          <w:bCs/>
          <w:lang w:eastAsia="zh-CN"/>
        </w:rPr>
        <w:t>S</w:t>
      </w:r>
      <w:r>
        <w:rPr>
          <w:b/>
          <w:bCs/>
          <w:lang w:val="en"/>
        </w:rPr>
        <w:t>3</w:t>
      </w:r>
      <w:r w:rsidRPr="00A063B3">
        <w:rPr>
          <w:b/>
          <w:bCs/>
          <w:lang w:val="en"/>
        </w:rPr>
        <w:t xml:space="preserve"> </w:t>
      </w:r>
      <w:r w:rsidRPr="00A063B3">
        <w:rPr>
          <w:bCs/>
          <w:lang w:val="en"/>
        </w:rPr>
        <w:t>Catalytic activities of MnO</w:t>
      </w:r>
      <w:r w:rsidRPr="00A063B3">
        <w:rPr>
          <w:bCs/>
          <w:vertAlign w:val="subscript"/>
          <w:lang w:val="en"/>
        </w:rPr>
        <w:t>x</w:t>
      </w:r>
      <w:r w:rsidRPr="00A063B3">
        <w:rPr>
          <w:bCs/>
          <w:lang w:val="en"/>
        </w:rPr>
        <w:t>-CeO</w:t>
      </w:r>
      <w:r w:rsidRPr="00A063B3">
        <w:rPr>
          <w:bCs/>
          <w:vertAlign w:val="subscript"/>
          <w:lang w:val="en"/>
        </w:rPr>
        <w:t>2</w:t>
      </w:r>
      <w:r w:rsidRPr="00A063B3">
        <w:rPr>
          <w:bCs/>
          <w:lang w:val="en"/>
        </w:rPr>
        <w:t xml:space="preserve"> catalysts for the oxidation of ethyl acetate with different Mn/Ce ratios.</w:t>
      </w:r>
    </w:p>
    <w:tbl>
      <w:tblPr>
        <w:tblW w:w="6971" w:type="dxa"/>
        <w:tblCellMar>
          <w:left w:w="0" w:type="dxa"/>
          <w:right w:w="0" w:type="dxa"/>
        </w:tblCellMar>
        <w:tblLook w:val="0600" w:firstRow="0" w:lastRow="0" w:firstColumn="0" w:lastColumn="0" w:noHBand="1" w:noVBand="1"/>
      </w:tblPr>
      <w:tblGrid>
        <w:gridCol w:w="1509"/>
        <w:gridCol w:w="1701"/>
        <w:gridCol w:w="1417"/>
        <w:gridCol w:w="2344"/>
      </w:tblGrid>
      <w:tr w:rsidR="00B206F0" w:rsidRPr="00A063B3" w:rsidTr="00F66337">
        <w:trPr>
          <w:trHeight w:val="567"/>
        </w:trPr>
        <w:tc>
          <w:tcPr>
            <w:tcW w:w="1509" w:type="dxa"/>
            <w:tcBorders>
              <w:top w:val="single" w:sz="12" w:space="0" w:color="auto"/>
              <w:left w:val="nil"/>
              <w:bottom w:val="single" w:sz="4" w:space="0" w:color="auto"/>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b/>
                <w:bCs/>
                <w:lang w:val="en"/>
              </w:rPr>
            </w:pPr>
            <w:r w:rsidRPr="00A063B3">
              <w:rPr>
                <w:b/>
                <w:bCs/>
                <w:lang w:val="en"/>
              </w:rPr>
              <w:t>Catalysts</w:t>
            </w:r>
          </w:p>
        </w:tc>
        <w:tc>
          <w:tcPr>
            <w:tcW w:w="1701" w:type="dxa"/>
            <w:tcBorders>
              <w:top w:val="single" w:sz="12" w:space="0" w:color="auto"/>
              <w:left w:val="nil"/>
              <w:bottom w:val="single" w:sz="4" w:space="0" w:color="auto"/>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b/>
                <w:bCs/>
                <w:vertAlign w:val="subscript"/>
                <w:lang w:val="en"/>
              </w:rPr>
            </w:pPr>
            <w:r w:rsidRPr="00A063B3">
              <w:rPr>
                <w:b/>
                <w:bCs/>
                <w:lang w:val="en"/>
              </w:rPr>
              <w:t>T</w:t>
            </w:r>
            <w:r w:rsidRPr="00A063B3">
              <w:rPr>
                <w:b/>
                <w:bCs/>
                <w:vertAlign w:val="subscript"/>
                <w:lang w:val="en"/>
              </w:rPr>
              <w:t>20</w:t>
            </w:r>
            <w:r w:rsidRPr="00A063B3">
              <w:rPr>
                <w:b/>
                <w:bCs/>
                <w:lang w:val="en"/>
              </w:rPr>
              <w:t xml:space="preserve"> (°C)</w:t>
            </w:r>
          </w:p>
        </w:tc>
        <w:tc>
          <w:tcPr>
            <w:tcW w:w="1417" w:type="dxa"/>
            <w:tcBorders>
              <w:top w:val="single" w:sz="12" w:space="0" w:color="auto"/>
              <w:left w:val="nil"/>
              <w:bottom w:val="single" w:sz="4" w:space="0" w:color="auto"/>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b/>
                <w:bCs/>
                <w:lang w:val="en"/>
              </w:rPr>
            </w:pPr>
            <w:r w:rsidRPr="00A063B3">
              <w:rPr>
                <w:b/>
                <w:bCs/>
                <w:lang w:val="en"/>
              </w:rPr>
              <w:t>T</w:t>
            </w:r>
            <w:r w:rsidRPr="00A063B3">
              <w:rPr>
                <w:b/>
                <w:bCs/>
                <w:vertAlign w:val="subscript"/>
                <w:lang w:val="en"/>
              </w:rPr>
              <w:t>90</w:t>
            </w:r>
            <w:r w:rsidRPr="00A063B3">
              <w:rPr>
                <w:b/>
                <w:bCs/>
                <w:lang w:val="en"/>
              </w:rPr>
              <w:t xml:space="preserve"> (°C)</w:t>
            </w:r>
          </w:p>
        </w:tc>
        <w:tc>
          <w:tcPr>
            <w:tcW w:w="2344" w:type="dxa"/>
            <w:tcBorders>
              <w:top w:val="single" w:sz="12" w:space="0" w:color="auto"/>
              <w:left w:val="nil"/>
              <w:bottom w:val="single" w:sz="4" w:space="0" w:color="auto"/>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b/>
                <w:bCs/>
                <w:lang w:val="en"/>
              </w:rPr>
            </w:pPr>
            <w:r w:rsidRPr="00A063B3">
              <w:rPr>
                <w:b/>
                <w:bCs/>
                <w:lang w:val="en"/>
              </w:rPr>
              <w:t>T</w:t>
            </w:r>
            <w:r w:rsidRPr="00A063B3">
              <w:rPr>
                <w:b/>
                <w:bCs/>
                <w:vertAlign w:val="subscript"/>
                <w:lang w:val="en"/>
              </w:rPr>
              <w:t>90</w:t>
            </w:r>
            <w:r w:rsidRPr="00A063B3">
              <w:rPr>
                <w:b/>
                <w:bCs/>
                <w:lang w:val="en"/>
              </w:rPr>
              <w:t xml:space="preserve"> (h) - T</w:t>
            </w:r>
            <w:r w:rsidRPr="00A063B3">
              <w:rPr>
                <w:b/>
                <w:bCs/>
                <w:vertAlign w:val="subscript"/>
                <w:lang w:val="en"/>
              </w:rPr>
              <w:t>90</w:t>
            </w:r>
            <w:r w:rsidRPr="00A063B3">
              <w:rPr>
                <w:b/>
                <w:bCs/>
                <w:lang w:val="en"/>
              </w:rPr>
              <w:t xml:space="preserve"> (f) (°C)</w:t>
            </w:r>
          </w:p>
        </w:tc>
      </w:tr>
      <w:tr w:rsidR="00B206F0" w:rsidRPr="00A063B3" w:rsidTr="00F66337">
        <w:trPr>
          <w:trHeight w:val="519"/>
        </w:trPr>
        <w:tc>
          <w:tcPr>
            <w:tcW w:w="1509" w:type="dxa"/>
            <w:tcBorders>
              <w:top w:val="single" w:sz="4" w:space="0" w:color="auto"/>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MnO</w:t>
            </w:r>
            <w:r w:rsidRPr="00A063B3">
              <w:rPr>
                <w:vertAlign w:val="subscript"/>
                <w:lang w:val="en"/>
              </w:rPr>
              <w:t>2</w:t>
            </w:r>
            <w:r w:rsidRPr="00A063B3">
              <w:rPr>
                <w:lang w:val="en"/>
              </w:rPr>
              <w:t>-f</w:t>
            </w:r>
          </w:p>
        </w:tc>
        <w:tc>
          <w:tcPr>
            <w:tcW w:w="1701" w:type="dxa"/>
            <w:tcBorders>
              <w:top w:val="single" w:sz="4" w:space="0" w:color="auto"/>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210</w:t>
            </w:r>
          </w:p>
        </w:tc>
        <w:tc>
          <w:tcPr>
            <w:tcW w:w="1417" w:type="dxa"/>
            <w:tcBorders>
              <w:top w:val="single" w:sz="4" w:space="0" w:color="auto"/>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230</w:t>
            </w:r>
          </w:p>
        </w:tc>
        <w:tc>
          <w:tcPr>
            <w:tcW w:w="2344" w:type="dxa"/>
            <w:vMerge w:val="restart"/>
            <w:tcBorders>
              <w:top w:val="single" w:sz="4" w:space="0" w:color="auto"/>
              <w:left w:val="nil"/>
              <w:bottom w:val="single" w:sz="4" w:space="0" w:color="auto"/>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70</w:t>
            </w:r>
          </w:p>
        </w:tc>
      </w:tr>
      <w:tr w:rsidR="00B206F0" w:rsidRPr="00A063B3" w:rsidTr="00F66337">
        <w:trPr>
          <w:trHeight w:val="519"/>
        </w:trPr>
        <w:tc>
          <w:tcPr>
            <w:tcW w:w="1509"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MnO</w:t>
            </w:r>
            <w:r w:rsidRPr="00A063B3">
              <w:rPr>
                <w:vertAlign w:val="subscript"/>
                <w:lang w:val="en"/>
              </w:rPr>
              <w:t>2</w:t>
            </w:r>
            <w:r w:rsidRPr="00A063B3">
              <w:rPr>
                <w:lang w:val="en"/>
              </w:rPr>
              <w:t>-h</w:t>
            </w:r>
          </w:p>
        </w:tc>
        <w:tc>
          <w:tcPr>
            <w:tcW w:w="1701"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260</w:t>
            </w:r>
          </w:p>
        </w:tc>
        <w:tc>
          <w:tcPr>
            <w:tcW w:w="1417"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290</w:t>
            </w:r>
          </w:p>
        </w:tc>
        <w:tc>
          <w:tcPr>
            <w:tcW w:w="2344" w:type="dxa"/>
            <w:vMerge/>
            <w:tcBorders>
              <w:top w:val="single" w:sz="4" w:space="0" w:color="auto"/>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p>
        </w:tc>
      </w:tr>
      <w:tr w:rsidR="00B206F0" w:rsidRPr="00A063B3" w:rsidTr="00F66337">
        <w:trPr>
          <w:trHeight w:val="519"/>
        </w:trPr>
        <w:tc>
          <w:tcPr>
            <w:tcW w:w="1509"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CeO</w:t>
            </w:r>
            <w:r w:rsidRPr="00A063B3">
              <w:rPr>
                <w:vertAlign w:val="subscript"/>
                <w:lang w:val="en"/>
              </w:rPr>
              <w:t>2</w:t>
            </w:r>
            <w:r w:rsidRPr="00A063B3">
              <w:rPr>
                <w:lang w:val="en"/>
              </w:rPr>
              <w:t>-f</w:t>
            </w:r>
          </w:p>
        </w:tc>
        <w:tc>
          <w:tcPr>
            <w:tcW w:w="1701"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210</w:t>
            </w:r>
          </w:p>
        </w:tc>
        <w:tc>
          <w:tcPr>
            <w:tcW w:w="1417"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240</w:t>
            </w:r>
          </w:p>
        </w:tc>
        <w:tc>
          <w:tcPr>
            <w:tcW w:w="2344" w:type="dxa"/>
            <w:vMerge w:val="restart"/>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125</w:t>
            </w:r>
          </w:p>
        </w:tc>
      </w:tr>
      <w:tr w:rsidR="00B206F0" w:rsidRPr="00A063B3" w:rsidTr="00F66337">
        <w:trPr>
          <w:trHeight w:val="519"/>
        </w:trPr>
        <w:tc>
          <w:tcPr>
            <w:tcW w:w="1509"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CeO</w:t>
            </w:r>
            <w:r w:rsidRPr="00A063B3">
              <w:rPr>
                <w:vertAlign w:val="subscript"/>
                <w:lang w:val="en"/>
              </w:rPr>
              <w:t>2</w:t>
            </w:r>
            <w:r w:rsidRPr="00A063B3">
              <w:rPr>
                <w:lang w:val="en"/>
              </w:rPr>
              <w:t>-h</w:t>
            </w:r>
          </w:p>
        </w:tc>
        <w:tc>
          <w:tcPr>
            <w:tcW w:w="1701"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290</w:t>
            </w:r>
          </w:p>
        </w:tc>
        <w:tc>
          <w:tcPr>
            <w:tcW w:w="1417" w:type="dxa"/>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r w:rsidRPr="00A063B3">
              <w:rPr>
                <w:lang w:val="en"/>
              </w:rPr>
              <w:t>365</w:t>
            </w:r>
          </w:p>
        </w:tc>
        <w:tc>
          <w:tcPr>
            <w:tcW w:w="2344" w:type="dxa"/>
            <w:vMerge/>
            <w:tcBorders>
              <w:left w:val="nil"/>
              <w:right w:val="nil"/>
            </w:tcBorders>
            <w:shd w:val="clear" w:color="auto" w:fill="auto"/>
            <w:tcMar>
              <w:top w:w="9" w:type="dxa"/>
              <w:left w:w="9" w:type="dxa"/>
              <w:bottom w:w="0" w:type="dxa"/>
              <w:right w:w="9" w:type="dxa"/>
            </w:tcMar>
            <w:vAlign w:val="center"/>
          </w:tcPr>
          <w:p w:rsidR="00B206F0" w:rsidRPr="00A063B3" w:rsidRDefault="00B206F0" w:rsidP="00F66337">
            <w:pPr>
              <w:pStyle w:val="TAMainText"/>
              <w:spacing w:line="240" w:lineRule="auto"/>
              <w:ind w:firstLine="204"/>
              <w:jc w:val="center"/>
              <w:rPr>
                <w:lang w:val="en"/>
              </w:rPr>
            </w:pPr>
          </w:p>
        </w:tc>
      </w:tr>
      <w:tr w:rsidR="00B206F0" w:rsidRPr="00A063B3" w:rsidTr="00F66337">
        <w:trPr>
          <w:trHeight w:val="519"/>
        </w:trPr>
        <w:tc>
          <w:tcPr>
            <w:tcW w:w="1509"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3Mn1Ce-f</w:t>
            </w:r>
          </w:p>
        </w:tc>
        <w:tc>
          <w:tcPr>
            <w:tcW w:w="1701"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200</w:t>
            </w:r>
          </w:p>
        </w:tc>
        <w:tc>
          <w:tcPr>
            <w:tcW w:w="1417"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240</w:t>
            </w:r>
          </w:p>
        </w:tc>
        <w:tc>
          <w:tcPr>
            <w:tcW w:w="2344" w:type="dxa"/>
            <w:vMerge w:val="restart"/>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50</w:t>
            </w:r>
          </w:p>
        </w:tc>
      </w:tr>
      <w:tr w:rsidR="00B206F0" w:rsidRPr="00A063B3" w:rsidTr="00F66337">
        <w:trPr>
          <w:trHeight w:val="545"/>
        </w:trPr>
        <w:tc>
          <w:tcPr>
            <w:tcW w:w="1509" w:type="dxa"/>
            <w:tcBorders>
              <w:left w:val="nil"/>
              <w:right w:val="nil"/>
            </w:tcBorders>
            <w:shd w:val="clear" w:color="auto" w:fill="auto"/>
            <w:vAlign w:val="center"/>
            <w:hideMark/>
          </w:tcPr>
          <w:p w:rsidR="00B206F0" w:rsidRPr="00A063B3" w:rsidRDefault="00B206F0" w:rsidP="00F66337">
            <w:pPr>
              <w:pStyle w:val="TAMainText"/>
              <w:spacing w:line="240" w:lineRule="auto"/>
              <w:ind w:firstLine="204"/>
              <w:jc w:val="center"/>
              <w:rPr>
                <w:lang w:val="en"/>
              </w:rPr>
            </w:pPr>
            <w:r w:rsidRPr="00A063B3">
              <w:rPr>
                <w:lang w:val="en"/>
              </w:rPr>
              <w:t>3Mn1Ce-h</w:t>
            </w:r>
          </w:p>
        </w:tc>
        <w:tc>
          <w:tcPr>
            <w:tcW w:w="1701"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240</w:t>
            </w:r>
          </w:p>
        </w:tc>
        <w:tc>
          <w:tcPr>
            <w:tcW w:w="1417"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290</w:t>
            </w:r>
          </w:p>
        </w:tc>
        <w:tc>
          <w:tcPr>
            <w:tcW w:w="2344" w:type="dxa"/>
            <w:vMerge/>
            <w:tcBorders>
              <w:left w:val="nil"/>
              <w:right w:val="nil"/>
            </w:tcBorders>
            <w:vAlign w:val="center"/>
            <w:hideMark/>
          </w:tcPr>
          <w:p w:rsidR="00B206F0" w:rsidRPr="00A063B3" w:rsidRDefault="00B206F0" w:rsidP="00F66337">
            <w:pPr>
              <w:pStyle w:val="TAMainText"/>
              <w:spacing w:line="240" w:lineRule="auto"/>
              <w:ind w:firstLine="204"/>
              <w:jc w:val="center"/>
              <w:rPr>
                <w:lang w:val="en"/>
              </w:rPr>
            </w:pPr>
          </w:p>
        </w:tc>
      </w:tr>
      <w:tr w:rsidR="00B206F0" w:rsidRPr="00A063B3" w:rsidTr="00F66337">
        <w:trPr>
          <w:trHeight w:val="519"/>
        </w:trPr>
        <w:tc>
          <w:tcPr>
            <w:tcW w:w="1509"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1Mn1Ce-f</w:t>
            </w:r>
          </w:p>
        </w:tc>
        <w:tc>
          <w:tcPr>
            <w:tcW w:w="1701"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210</w:t>
            </w:r>
          </w:p>
        </w:tc>
        <w:tc>
          <w:tcPr>
            <w:tcW w:w="1417"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225</w:t>
            </w:r>
          </w:p>
        </w:tc>
        <w:tc>
          <w:tcPr>
            <w:tcW w:w="2344" w:type="dxa"/>
            <w:vMerge w:val="restart"/>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30</w:t>
            </w:r>
          </w:p>
        </w:tc>
      </w:tr>
      <w:tr w:rsidR="00B206F0" w:rsidRPr="00A063B3" w:rsidTr="00F66337">
        <w:trPr>
          <w:trHeight w:val="545"/>
        </w:trPr>
        <w:tc>
          <w:tcPr>
            <w:tcW w:w="1509" w:type="dxa"/>
            <w:tcBorders>
              <w:left w:val="nil"/>
              <w:right w:val="nil"/>
            </w:tcBorders>
            <w:shd w:val="clear" w:color="auto" w:fill="auto"/>
            <w:vAlign w:val="center"/>
            <w:hideMark/>
          </w:tcPr>
          <w:p w:rsidR="00B206F0" w:rsidRPr="00A063B3" w:rsidRDefault="00B206F0" w:rsidP="00F66337">
            <w:pPr>
              <w:pStyle w:val="TAMainText"/>
              <w:spacing w:line="240" w:lineRule="auto"/>
              <w:ind w:firstLine="204"/>
              <w:jc w:val="center"/>
              <w:rPr>
                <w:lang w:val="en"/>
              </w:rPr>
            </w:pPr>
            <w:r w:rsidRPr="00A063B3">
              <w:rPr>
                <w:lang w:val="en"/>
              </w:rPr>
              <w:t>1Mn1Ce-h</w:t>
            </w:r>
          </w:p>
        </w:tc>
        <w:tc>
          <w:tcPr>
            <w:tcW w:w="1701"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240</w:t>
            </w:r>
          </w:p>
        </w:tc>
        <w:tc>
          <w:tcPr>
            <w:tcW w:w="1417"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255</w:t>
            </w:r>
          </w:p>
        </w:tc>
        <w:tc>
          <w:tcPr>
            <w:tcW w:w="2344" w:type="dxa"/>
            <w:vMerge/>
            <w:tcBorders>
              <w:left w:val="nil"/>
              <w:right w:val="nil"/>
            </w:tcBorders>
            <w:vAlign w:val="center"/>
            <w:hideMark/>
          </w:tcPr>
          <w:p w:rsidR="00B206F0" w:rsidRPr="00A063B3" w:rsidRDefault="00B206F0" w:rsidP="00F66337">
            <w:pPr>
              <w:pStyle w:val="TAMainText"/>
              <w:spacing w:line="240" w:lineRule="auto"/>
              <w:ind w:firstLine="204"/>
              <w:jc w:val="center"/>
              <w:rPr>
                <w:lang w:val="en"/>
              </w:rPr>
            </w:pPr>
          </w:p>
        </w:tc>
      </w:tr>
      <w:tr w:rsidR="00B206F0" w:rsidRPr="00A063B3" w:rsidTr="00F66337">
        <w:trPr>
          <w:trHeight w:val="519"/>
        </w:trPr>
        <w:tc>
          <w:tcPr>
            <w:tcW w:w="1509"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1Mn3Ce-f</w:t>
            </w:r>
          </w:p>
        </w:tc>
        <w:tc>
          <w:tcPr>
            <w:tcW w:w="1701"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210</w:t>
            </w:r>
          </w:p>
        </w:tc>
        <w:tc>
          <w:tcPr>
            <w:tcW w:w="1417" w:type="dxa"/>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225</w:t>
            </w:r>
          </w:p>
        </w:tc>
        <w:tc>
          <w:tcPr>
            <w:tcW w:w="2344" w:type="dxa"/>
            <w:vMerge w:val="restart"/>
            <w:tcBorders>
              <w:left w:val="nil"/>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120</w:t>
            </w:r>
          </w:p>
        </w:tc>
      </w:tr>
      <w:tr w:rsidR="00B206F0" w:rsidRPr="00A063B3" w:rsidTr="00F66337">
        <w:trPr>
          <w:trHeight w:val="545"/>
        </w:trPr>
        <w:tc>
          <w:tcPr>
            <w:tcW w:w="1509" w:type="dxa"/>
            <w:tcBorders>
              <w:left w:val="nil"/>
              <w:bottom w:val="single" w:sz="12" w:space="0" w:color="auto"/>
              <w:right w:val="nil"/>
            </w:tcBorders>
            <w:shd w:val="clear" w:color="auto" w:fill="auto"/>
            <w:vAlign w:val="center"/>
            <w:hideMark/>
          </w:tcPr>
          <w:p w:rsidR="00B206F0" w:rsidRPr="00A063B3" w:rsidRDefault="00B206F0" w:rsidP="00F66337">
            <w:pPr>
              <w:pStyle w:val="TAMainText"/>
              <w:spacing w:line="240" w:lineRule="auto"/>
              <w:ind w:firstLine="204"/>
              <w:jc w:val="center"/>
              <w:rPr>
                <w:lang w:val="en"/>
              </w:rPr>
            </w:pPr>
            <w:r w:rsidRPr="00A063B3">
              <w:rPr>
                <w:lang w:val="en"/>
              </w:rPr>
              <w:t>1Mn3Ce-h</w:t>
            </w:r>
          </w:p>
        </w:tc>
        <w:tc>
          <w:tcPr>
            <w:tcW w:w="1701" w:type="dxa"/>
            <w:tcBorders>
              <w:left w:val="nil"/>
              <w:bottom w:val="single" w:sz="12" w:space="0" w:color="auto"/>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270</w:t>
            </w:r>
          </w:p>
        </w:tc>
        <w:tc>
          <w:tcPr>
            <w:tcW w:w="1417" w:type="dxa"/>
            <w:tcBorders>
              <w:left w:val="nil"/>
              <w:bottom w:val="single" w:sz="12" w:space="0" w:color="auto"/>
              <w:right w:val="nil"/>
            </w:tcBorders>
            <w:shd w:val="clear" w:color="auto" w:fill="auto"/>
            <w:tcMar>
              <w:top w:w="9" w:type="dxa"/>
              <w:left w:w="9" w:type="dxa"/>
              <w:bottom w:w="0" w:type="dxa"/>
              <w:right w:w="9" w:type="dxa"/>
            </w:tcMar>
            <w:vAlign w:val="center"/>
            <w:hideMark/>
          </w:tcPr>
          <w:p w:rsidR="00B206F0" w:rsidRPr="00A063B3" w:rsidRDefault="00B206F0" w:rsidP="00F66337">
            <w:pPr>
              <w:pStyle w:val="TAMainText"/>
              <w:spacing w:line="240" w:lineRule="auto"/>
              <w:ind w:firstLine="204"/>
              <w:jc w:val="center"/>
              <w:rPr>
                <w:lang w:val="en"/>
              </w:rPr>
            </w:pPr>
            <w:r w:rsidRPr="00A063B3">
              <w:rPr>
                <w:lang w:val="en"/>
              </w:rPr>
              <w:t>345</w:t>
            </w:r>
          </w:p>
        </w:tc>
        <w:tc>
          <w:tcPr>
            <w:tcW w:w="2344" w:type="dxa"/>
            <w:vMerge/>
            <w:tcBorders>
              <w:left w:val="nil"/>
              <w:bottom w:val="single" w:sz="12" w:space="0" w:color="auto"/>
              <w:right w:val="nil"/>
            </w:tcBorders>
            <w:vAlign w:val="center"/>
            <w:hideMark/>
          </w:tcPr>
          <w:p w:rsidR="00B206F0" w:rsidRPr="00A063B3" w:rsidRDefault="00B206F0" w:rsidP="00F66337">
            <w:pPr>
              <w:pStyle w:val="TAMainText"/>
              <w:spacing w:line="240" w:lineRule="auto"/>
              <w:ind w:firstLine="204"/>
              <w:jc w:val="center"/>
              <w:rPr>
                <w:lang w:val="en"/>
              </w:rPr>
            </w:pPr>
          </w:p>
        </w:tc>
      </w:tr>
    </w:tbl>
    <w:p w:rsidR="00B206F0" w:rsidRDefault="00B206F0">
      <w:pPr>
        <w:rPr>
          <w:lang w:val="en-US"/>
        </w:rPr>
      </w:pPr>
    </w:p>
    <w:p w:rsidR="00B206F0" w:rsidRDefault="00B206F0">
      <w:pPr>
        <w:rPr>
          <w:lang w:val="en-US"/>
        </w:rPr>
      </w:pPr>
    </w:p>
    <w:p w:rsidR="00B206F0" w:rsidRPr="00A063B3" w:rsidRDefault="00B206F0" w:rsidP="004B3934">
      <w:pPr>
        <w:pStyle w:val="TAMainText"/>
        <w:spacing w:after="240"/>
        <w:rPr>
          <w:lang w:val="en-MY"/>
        </w:rPr>
      </w:pPr>
      <w:r w:rsidRPr="00A063B3">
        <w:rPr>
          <w:noProof/>
        </w:rPr>
        <w:drawing>
          <wp:inline distT="0" distB="0" distL="0" distR="0" wp14:anchorId="579A2BAC" wp14:editId="508A4564">
            <wp:extent cx="5274000" cy="2263149"/>
            <wp:effectExtent l="0" t="0" r="317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rformance.tif"/>
                    <pic:cNvPicPr/>
                  </pic:nvPicPr>
                  <pic:blipFill rotWithShape="1">
                    <a:blip r:embed="rId8" cstate="print">
                      <a:extLst>
                        <a:ext uri="{28A0092B-C50C-407E-A947-70E740481C1C}">
                          <a14:useLocalDpi xmlns:a14="http://schemas.microsoft.com/office/drawing/2010/main" val="0"/>
                        </a:ext>
                      </a:extLst>
                    </a:blip>
                    <a:srcRect l="2745" t="3874" r="5369" b="1"/>
                    <a:stretch/>
                  </pic:blipFill>
                  <pic:spPr bwMode="auto">
                    <a:xfrm>
                      <a:off x="0" y="0"/>
                      <a:ext cx="5274000" cy="2263149"/>
                    </a:xfrm>
                    <a:prstGeom prst="rect">
                      <a:avLst/>
                    </a:prstGeom>
                    <a:ln>
                      <a:noFill/>
                    </a:ln>
                    <a:extLst>
                      <a:ext uri="{53640926-AAD7-44D8-BBD7-CCE9431645EC}">
                        <a14:shadowObscured xmlns:a14="http://schemas.microsoft.com/office/drawing/2010/main"/>
                      </a:ext>
                    </a:extLst>
                  </pic:spPr>
                </pic:pic>
              </a:graphicData>
            </a:graphic>
          </wp:inline>
        </w:drawing>
      </w:r>
    </w:p>
    <w:p w:rsidR="00B206F0" w:rsidRPr="00EE0D6E" w:rsidRDefault="00B206F0" w:rsidP="004B3934">
      <w:pPr>
        <w:rPr>
          <w:rFonts w:ascii="Times New Roman" w:hAnsi="Times New Roman" w:cs="Times New Roman"/>
          <w:sz w:val="24"/>
          <w:szCs w:val="24"/>
          <w:lang w:val="en-US"/>
        </w:rPr>
      </w:pPr>
      <w:r w:rsidRPr="00EE0D6E">
        <w:rPr>
          <w:rFonts w:ascii="Times New Roman" w:hAnsi="Times New Roman" w:cs="Times New Roman"/>
          <w:b/>
          <w:bCs/>
          <w:sz w:val="24"/>
          <w:szCs w:val="24"/>
          <w:lang w:val="en"/>
        </w:rPr>
        <w:t xml:space="preserve">Figure </w:t>
      </w:r>
      <w:r w:rsidRPr="00EE0D6E">
        <w:rPr>
          <w:rFonts w:ascii="Times New Roman" w:hAnsi="Times New Roman" w:cs="Times New Roman"/>
          <w:b/>
          <w:bCs/>
          <w:sz w:val="24"/>
          <w:szCs w:val="24"/>
          <w:lang w:val="en-US"/>
        </w:rPr>
        <w:t>S5</w:t>
      </w:r>
      <w:r w:rsidRPr="00EE0D6E">
        <w:rPr>
          <w:rFonts w:ascii="Times New Roman" w:hAnsi="Times New Roman" w:cs="Times New Roman"/>
          <w:b/>
          <w:bCs/>
          <w:sz w:val="24"/>
          <w:szCs w:val="24"/>
          <w:lang w:val="en"/>
        </w:rPr>
        <w:t xml:space="preserve">. </w:t>
      </w:r>
      <w:r w:rsidRPr="00EE0D6E">
        <w:rPr>
          <w:rFonts w:ascii="Times New Roman" w:hAnsi="Times New Roman" w:cs="Times New Roman"/>
          <w:bCs/>
          <w:sz w:val="24"/>
          <w:szCs w:val="24"/>
          <w:lang w:val="en"/>
        </w:rPr>
        <w:t>Activity evaluation diagram of MnO</w:t>
      </w:r>
      <w:r w:rsidRPr="00EE0D6E">
        <w:rPr>
          <w:rFonts w:ascii="Times New Roman" w:hAnsi="Times New Roman" w:cs="Times New Roman"/>
          <w:bCs/>
          <w:sz w:val="24"/>
          <w:szCs w:val="24"/>
          <w:vertAlign w:val="subscript"/>
          <w:lang w:val="en"/>
        </w:rPr>
        <w:t>x</w:t>
      </w:r>
      <w:r w:rsidRPr="00EE0D6E">
        <w:rPr>
          <w:rFonts w:ascii="Times New Roman" w:hAnsi="Times New Roman" w:cs="Times New Roman"/>
          <w:bCs/>
          <w:sz w:val="24"/>
          <w:szCs w:val="24"/>
          <w:lang w:val="en"/>
        </w:rPr>
        <w:t>-CeO</w:t>
      </w:r>
      <w:r w:rsidRPr="00EE0D6E">
        <w:rPr>
          <w:rFonts w:ascii="Times New Roman" w:hAnsi="Times New Roman" w:cs="Times New Roman"/>
          <w:bCs/>
          <w:sz w:val="24"/>
          <w:szCs w:val="24"/>
          <w:vertAlign w:val="subscript"/>
          <w:lang w:val="en"/>
        </w:rPr>
        <w:t xml:space="preserve">2 </w:t>
      </w:r>
      <w:r w:rsidRPr="00EE0D6E">
        <w:rPr>
          <w:rFonts w:ascii="Times New Roman" w:hAnsi="Times New Roman" w:cs="Times New Roman"/>
          <w:bCs/>
          <w:sz w:val="24"/>
          <w:szCs w:val="24"/>
          <w:lang w:val="en"/>
        </w:rPr>
        <w:t>catalysts prepared by redox-precipitation method with different Mn/Ce ratios for the catalytic oxidation of ethyl acetate: (a) fresh catalysts, (b) hydrothermally treated catalysts</w:t>
      </w:r>
    </w:p>
    <w:p w:rsidR="00B206F0" w:rsidRDefault="00B206F0" w:rsidP="004B3934">
      <w:pPr>
        <w:rPr>
          <w:lang w:val="en-US"/>
        </w:rPr>
      </w:pPr>
    </w:p>
    <w:p w:rsidR="00B206F0" w:rsidRDefault="00B206F0" w:rsidP="00EE0D6E">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4672AB5" wp14:editId="64DE5118">
            <wp:extent cx="5731510" cy="2338705"/>
            <wp:effectExtent l="0" t="0" r="254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338705"/>
                    </a:xfrm>
                    <a:prstGeom prst="rect">
                      <a:avLst/>
                    </a:prstGeom>
                  </pic:spPr>
                </pic:pic>
              </a:graphicData>
            </a:graphic>
          </wp:inline>
        </w:drawing>
      </w:r>
    </w:p>
    <w:p w:rsidR="00B206F0" w:rsidRDefault="00B206F0" w:rsidP="00EE0D6E">
      <w:pPr>
        <w:rPr>
          <w:lang w:val="en"/>
        </w:rPr>
      </w:pPr>
      <w:r w:rsidRPr="00E51CD9">
        <w:rPr>
          <w:rFonts w:ascii="Times New Roman" w:hAnsi="Times New Roman" w:cs="Times New Roman"/>
          <w:b/>
          <w:sz w:val="24"/>
          <w:szCs w:val="24"/>
        </w:rPr>
        <w:t>Figure S</w:t>
      </w:r>
      <w:r>
        <w:rPr>
          <w:rFonts w:ascii="Times New Roman" w:hAnsi="Times New Roman" w:cs="Times New Roman"/>
          <w:b/>
          <w:sz w:val="24"/>
          <w:szCs w:val="24"/>
        </w:rPr>
        <w:t>6</w:t>
      </w:r>
      <w:r w:rsidRPr="00E51CD9">
        <w:rPr>
          <w:rFonts w:ascii="Times New Roman" w:hAnsi="Times New Roman" w:cs="Times New Roman"/>
          <w:sz w:val="24"/>
          <w:szCs w:val="24"/>
        </w:rPr>
        <w:t xml:space="preserve"> </w:t>
      </w:r>
      <w:r>
        <w:rPr>
          <w:rFonts w:ascii="Times New Roman" w:hAnsi="Times New Roman" w:cs="Times New Roman"/>
          <w:sz w:val="24"/>
          <w:szCs w:val="24"/>
        </w:rPr>
        <w:t>CO</w:t>
      </w:r>
      <w:r w:rsidRPr="00E51CD9">
        <w:rPr>
          <w:rFonts w:ascii="Times New Roman" w:hAnsi="Times New Roman" w:cs="Times New Roman"/>
          <w:sz w:val="24"/>
          <w:szCs w:val="24"/>
          <w:vertAlign w:val="subscript"/>
        </w:rPr>
        <w:t>2</w:t>
      </w:r>
      <w:r>
        <w:rPr>
          <w:rFonts w:ascii="Times New Roman" w:hAnsi="Times New Roman" w:cs="Times New Roman"/>
          <w:sz w:val="24"/>
          <w:szCs w:val="24"/>
        </w:rPr>
        <w:t xml:space="preserve"> yield</w:t>
      </w:r>
      <w:r w:rsidRPr="00E51CD9">
        <w:rPr>
          <w:rFonts w:ascii="Times New Roman" w:hAnsi="Times New Roman" w:cs="Times New Roman" w:hint="eastAsia"/>
          <w:sz w:val="24"/>
          <w:szCs w:val="24"/>
        </w:rPr>
        <w:t xml:space="preserve"> </w:t>
      </w:r>
      <w:r>
        <w:rPr>
          <w:rFonts w:ascii="Times New Roman" w:hAnsi="Times New Roman" w:cs="Times New Roman"/>
          <w:sz w:val="24"/>
          <w:szCs w:val="24"/>
        </w:rPr>
        <w:t>using</w:t>
      </w:r>
      <w:r w:rsidRPr="00E51CD9">
        <w:rPr>
          <w:rFonts w:ascii="Times New Roman" w:hAnsi="Times New Roman" w:cs="Times New Roman" w:hint="eastAsia"/>
          <w:sz w:val="24"/>
          <w:szCs w:val="24"/>
        </w:rPr>
        <w:t xml:space="preserve"> MnO</w:t>
      </w:r>
      <w:r w:rsidRPr="00E51CD9">
        <w:rPr>
          <w:rFonts w:ascii="Times New Roman" w:hAnsi="Times New Roman" w:cs="Times New Roman" w:hint="eastAsia"/>
          <w:sz w:val="24"/>
          <w:szCs w:val="24"/>
          <w:vertAlign w:val="subscript"/>
        </w:rPr>
        <w:t>x</w:t>
      </w:r>
      <w:r w:rsidRPr="00E51CD9">
        <w:rPr>
          <w:rFonts w:ascii="Times New Roman" w:hAnsi="Times New Roman" w:cs="Times New Roman" w:hint="eastAsia"/>
          <w:sz w:val="24"/>
          <w:szCs w:val="24"/>
        </w:rPr>
        <w:t>-CeO</w:t>
      </w:r>
      <w:r w:rsidRPr="00E51CD9">
        <w:rPr>
          <w:rFonts w:ascii="Times New Roman" w:hAnsi="Times New Roman" w:cs="Times New Roman" w:hint="eastAsia"/>
          <w:sz w:val="24"/>
          <w:szCs w:val="24"/>
          <w:vertAlign w:val="subscript"/>
        </w:rPr>
        <w:t>2</w:t>
      </w:r>
      <w:r w:rsidRPr="00E51CD9">
        <w:rPr>
          <w:rFonts w:ascii="Times New Roman" w:hAnsi="Times New Roman" w:cs="Times New Roman" w:hint="eastAsia"/>
          <w:sz w:val="24"/>
          <w:szCs w:val="24"/>
        </w:rPr>
        <w:t xml:space="preserve"> catalysts </w:t>
      </w:r>
      <w:r w:rsidRPr="00842C83">
        <w:rPr>
          <w:rFonts w:ascii="Times New Roman" w:eastAsia="SimSun" w:hAnsi="Times New Roman" w:cs="Times New Roman"/>
          <w:bCs/>
          <w:kern w:val="2"/>
          <w:sz w:val="24"/>
          <w:szCs w:val="24"/>
          <w:lang w:val="en"/>
        </w:rPr>
        <w:t>prepared by redox-precipitation method with different Mn/Ce ratios for the catalytic oxidation of ethyl acetate: (a) fresh catalysts, (b) hydrothermally treated catalysts</w:t>
      </w:r>
    </w:p>
    <w:p w:rsidR="00B206F0" w:rsidRDefault="00B206F0" w:rsidP="00EE0D6E">
      <w:pPr>
        <w:rPr>
          <w:rFonts w:ascii="Times" w:eastAsia="SimSun" w:hAnsi="Times" w:cs="Times New Roman"/>
          <w:b/>
          <w:sz w:val="24"/>
          <w:szCs w:val="20"/>
          <w:lang w:val="en" w:eastAsia="en-US"/>
        </w:rPr>
      </w:pPr>
    </w:p>
    <w:p w:rsidR="00B206F0" w:rsidRPr="00F66337" w:rsidRDefault="00B206F0" w:rsidP="00F66337">
      <w:pPr>
        <w:spacing w:line="480" w:lineRule="auto"/>
        <w:jc w:val="both"/>
        <w:rPr>
          <w:bCs/>
          <w:lang w:val="en"/>
        </w:rPr>
      </w:pPr>
      <w:r w:rsidRPr="00F66337">
        <w:rPr>
          <w:rFonts w:ascii="Times" w:eastAsia="SimSun" w:hAnsi="Times" w:cs="Times New Roman"/>
          <w:bCs/>
          <w:sz w:val="24"/>
          <w:szCs w:val="20"/>
          <w:lang w:eastAsia="en-US"/>
        </w:rPr>
        <w:t xml:space="preserve">The activity of all the fresh catalysts in the oxidation of ethyl acetate was found to be similar, as shown in </w:t>
      </w:r>
      <w:r w:rsidRPr="00F66337">
        <w:rPr>
          <w:rFonts w:ascii="Times" w:eastAsia="SimSun" w:hAnsi="Times" w:cs="Times New Roman"/>
          <w:b/>
          <w:sz w:val="24"/>
          <w:szCs w:val="20"/>
          <w:lang w:eastAsia="en-US"/>
        </w:rPr>
        <w:t>Figure S5</w:t>
      </w:r>
      <w:r w:rsidRPr="00F66337">
        <w:rPr>
          <w:rFonts w:ascii="Times" w:eastAsia="SimSun" w:hAnsi="Times" w:cs="Times New Roman"/>
          <w:bCs/>
          <w:sz w:val="24"/>
          <w:szCs w:val="20"/>
          <w:lang w:eastAsia="en-US"/>
        </w:rPr>
        <w:t>. The corresponding CO</w:t>
      </w:r>
      <w:r w:rsidRPr="00F66337">
        <w:rPr>
          <w:rFonts w:ascii="Times" w:eastAsia="SimSun" w:hAnsi="Times" w:cs="Times New Roman"/>
          <w:bCs/>
          <w:sz w:val="24"/>
          <w:szCs w:val="20"/>
          <w:vertAlign w:val="subscript"/>
          <w:lang w:eastAsia="en-US"/>
        </w:rPr>
        <w:t>2</w:t>
      </w:r>
      <w:r w:rsidRPr="00F66337">
        <w:rPr>
          <w:rFonts w:ascii="Times" w:eastAsia="SimSun" w:hAnsi="Times" w:cs="Times New Roman"/>
          <w:bCs/>
          <w:sz w:val="24"/>
          <w:szCs w:val="20"/>
          <w:lang w:eastAsia="en-US"/>
        </w:rPr>
        <w:t xml:space="preserve"> selectivity can be seen in </w:t>
      </w:r>
      <w:r w:rsidRPr="00F66337">
        <w:rPr>
          <w:rFonts w:ascii="Times" w:eastAsia="SimSun" w:hAnsi="Times" w:cs="Times New Roman"/>
          <w:b/>
          <w:sz w:val="24"/>
          <w:szCs w:val="20"/>
          <w:lang w:eastAsia="en-US"/>
        </w:rPr>
        <w:t>Figure S6</w:t>
      </w:r>
      <w:r w:rsidRPr="00F66337">
        <w:rPr>
          <w:rFonts w:ascii="Times" w:eastAsia="SimSun" w:hAnsi="Times" w:cs="Times New Roman"/>
          <w:bCs/>
          <w:sz w:val="24"/>
          <w:szCs w:val="20"/>
          <w:lang w:eastAsia="en-US"/>
        </w:rPr>
        <w:t xml:space="preserve">. </w:t>
      </w:r>
      <w:r w:rsidRPr="00F66337">
        <w:rPr>
          <w:rFonts w:ascii="Times" w:eastAsia="SimSun" w:hAnsi="Times" w:cs="Times New Roman"/>
          <w:b/>
          <w:sz w:val="24"/>
          <w:szCs w:val="20"/>
          <w:lang w:eastAsia="en-US"/>
        </w:rPr>
        <w:t>Table S3</w:t>
      </w:r>
      <w:r w:rsidRPr="00F66337">
        <w:rPr>
          <w:rFonts w:ascii="Times" w:eastAsia="SimSun" w:hAnsi="Times" w:cs="Times New Roman"/>
          <w:bCs/>
          <w:sz w:val="24"/>
          <w:szCs w:val="20"/>
          <w:lang w:eastAsia="en-US"/>
        </w:rPr>
        <w:t xml:space="preserve"> indicates that the Mn/Ce ratio has a negligible effect on T</w:t>
      </w:r>
      <w:r w:rsidRPr="00F66337">
        <w:rPr>
          <w:rFonts w:ascii="Times" w:eastAsia="SimSun" w:hAnsi="Times" w:cs="Times New Roman"/>
          <w:bCs/>
          <w:sz w:val="24"/>
          <w:szCs w:val="20"/>
          <w:vertAlign w:val="subscript"/>
          <w:lang w:eastAsia="en-US"/>
        </w:rPr>
        <w:t>20</w:t>
      </w:r>
      <w:r w:rsidRPr="00F66337">
        <w:rPr>
          <w:rFonts w:ascii="Times" w:eastAsia="SimSun" w:hAnsi="Times" w:cs="Times New Roman"/>
          <w:bCs/>
          <w:sz w:val="24"/>
          <w:szCs w:val="20"/>
          <w:lang w:eastAsia="en-US"/>
        </w:rPr>
        <w:t xml:space="preserve"> and T</w:t>
      </w:r>
      <w:r w:rsidRPr="00F66337">
        <w:rPr>
          <w:rFonts w:ascii="Times" w:eastAsia="SimSun" w:hAnsi="Times" w:cs="Times New Roman"/>
          <w:bCs/>
          <w:sz w:val="24"/>
          <w:szCs w:val="20"/>
          <w:vertAlign w:val="subscript"/>
          <w:lang w:eastAsia="en-US"/>
        </w:rPr>
        <w:t>90</w:t>
      </w:r>
      <w:r w:rsidRPr="00F66337">
        <w:rPr>
          <w:rFonts w:ascii="Times" w:eastAsia="SimSun" w:hAnsi="Times" w:cs="Times New Roman"/>
          <w:bCs/>
          <w:sz w:val="24"/>
          <w:szCs w:val="20"/>
          <w:lang w:eastAsia="en-US"/>
        </w:rPr>
        <w:t>. Following the hydrothermal treatment, the T</w:t>
      </w:r>
      <w:r w:rsidRPr="00F66337">
        <w:rPr>
          <w:rFonts w:ascii="Times" w:eastAsia="SimSun" w:hAnsi="Times" w:cs="Times New Roman"/>
          <w:bCs/>
          <w:sz w:val="24"/>
          <w:szCs w:val="20"/>
          <w:vertAlign w:val="subscript"/>
          <w:lang w:eastAsia="en-US"/>
        </w:rPr>
        <w:t>90</w:t>
      </w:r>
      <w:r w:rsidRPr="00F66337">
        <w:rPr>
          <w:rFonts w:ascii="Times" w:eastAsia="SimSun" w:hAnsi="Times" w:cs="Times New Roman"/>
          <w:bCs/>
          <w:sz w:val="24"/>
          <w:szCs w:val="20"/>
          <w:lang w:eastAsia="en-US"/>
        </w:rPr>
        <w:t xml:space="preserve"> values of the catalysts increased in the order of 1Mn1Ce-h &lt; 3Mn1Ce-h = pure MnO2-h &lt; 1Mn3Ce-h &lt; pure CeO</w:t>
      </w:r>
      <w:r w:rsidRPr="00F66337">
        <w:rPr>
          <w:rFonts w:ascii="Times" w:eastAsia="SimSun" w:hAnsi="Times" w:cs="Times New Roman"/>
          <w:bCs/>
          <w:sz w:val="24"/>
          <w:szCs w:val="20"/>
          <w:vertAlign w:val="subscript"/>
          <w:lang w:eastAsia="en-US"/>
        </w:rPr>
        <w:t>2</w:t>
      </w:r>
      <w:r w:rsidRPr="00F66337">
        <w:rPr>
          <w:rFonts w:ascii="Times" w:eastAsia="SimSun" w:hAnsi="Times" w:cs="Times New Roman"/>
          <w:bCs/>
          <w:sz w:val="24"/>
          <w:szCs w:val="20"/>
          <w:lang w:eastAsia="en-US"/>
        </w:rPr>
        <w:t>-h. It is evident that 1Mn1Ce-h retained the highest activity, while the ethyl acetate conversions of 1Mn3Ce and pure CeO</w:t>
      </w:r>
      <w:r w:rsidRPr="00F66337">
        <w:rPr>
          <w:rFonts w:ascii="Times" w:eastAsia="SimSun" w:hAnsi="Times" w:cs="Times New Roman"/>
          <w:bCs/>
          <w:sz w:val="24"/>
          <w:szCs w:val="20"/>
          <w:vertAlign w:val="subscript"/>
          <w:lang w:eastAsia="en-US"/>
        </w:rPr>
        <w:t>2</w:t>
      </w:r>
      <w:r w:rsidRPr="00F66337">
        <w:rPr>
          <w:rFonts w:ascii="Times" w:eastAsia="SimSun" w:hAnsi="Times" w:cs="Times New Roman"/>
          <w:bCs/>
          <w:sz w:val="24"/>
          <w:szCs w:val="20"/>
          <w:lang w:eastAsia="en-US"/>
        </w:rPr>
        <w:t xml:space="preserve"> did not reach 99%. Hence, the hydrothermal stability of the catalysts can be ranked in the order of 1Mn1Ce &gt; 3Mn1Ce &gt; MnO</w:t>
      </w:r>
      <w:r w:rsidRPr="00F66337">
        <w:rPr>
          <w:rFonts w:ascii="Times" w:eastAsia="SimSun" w:hAnsi="Times" w:cs="Times New Roman"/>
          <w:bCs/>
          <w:sz w:val="24"/>
          <w:szCs w:val="20"/>
          <w:vertAlign w:val="subscript"/>
          <w:lang w:eastAsia="en-US"/>
        </w:rPr>
        <w:t>2</w:t>
      </w:r>
      <w:r w:rsidRPr="00F66337">
        <w:rPr>
          <w:rFonts w:ascii="Times" w:eastAsia="SimSun" w:hAnsi="Times" w:cs="Times New Roman"/>
          <w:bCs/>
          <w:sz w:val="24"/>
          <w:szCs w:val="20"/>
          <w:lang w:eastAsia="en-US"/>
        </w:rPr>
        <w:t xml:space="preserve"> &gt; 1Mn3Ce &gt; CeO</w:t>
      </w:r>
      <w:r w:rsidRPr="00F66337">
        <w:rPr>
          <w:rFonts w:ascii="Times" w:eastAsia="SimSun" w:hAnsi="Times" w:cs="Times New Roman"/>
          <w:bCs/>
          <w:sz w:val="24"/>
          <w:szCs w:val="20"/>
          <w:vertAlign w:val="subscript"/>
          <w:lang w:eastAsia="en-US"/>
        </w:rPr>
        <w:t>2</w:t>
      </w:r>
      <w:r w:rsidRPr="00F66337">
        <w:rPr>
          <w:rFonts w:ascii="Times" w:eastAsia="SimSun" w:hAnsi="Times" w:cs="Times New Roman"/>
          <w:bCs/>
          <w:sz w:val="24"/>
          <w:szCs w:val="20"/>
          <w:lang w:eastAsia="en-US"/>
        </w:rPr>
        <w:t>.</w:t>
      </w:r>
    </w:p>
    <w:p w:rsidR="00B206F0" w:rsidRDefault="00B206F0" w:rsidP="00EE0D6E">
      <w:pPr>
        <w:rPr>
          <w:lang w:val="en-US"/>
        </w:rPr>
      </w:pPr>
    </w:p>
    <w:p w:rsidR="00B206F0" w:rsidRDefault="00B206F0" w:rsidP="00EE0D6E">
      <w:pPr>
        <w:rPr>
          <w:lang w:val="en-US"/>
        </w:rPr>
      </w:pPr>
    </w:p>
    <w:p w:rsidR="00B206F0" w:rsidRDefault="00B206F0" w:rsidP="00EE0D6E">
      <w:pPr>
        <w:rPr>
          <w:lang w:val="en-US"/>
        </w:rPr>
      </w:pPr>
    </w:p>
    <w:p w:rsidR="00B206F0" w:rsidRPr="00872131" w:rsidRDefault="00B206F0" w:rsidP="00EE0D6E">
      <w:pPr>
        <w:rPr>
          <w:lang w:val="en-US"/>
        </w:rPr>
      </w:pPr>
    </w:p>
    <w:p w:rsidR="00B206F0" w:rsidRPr="00A063B3" w:rsidRDefault="00B206F0" w:rsidP="008E7911">
      <w:pPr>
        <w:pStyle w:val="TAMainText"/>
        <w:spacing w:after="240"/>
        <w:rPr>
          <w:lang w:val="en"/>
        </w:rPr>
      </w:pPr>
      <w:r w:rsidRPr="00A063B3">
        <w:rPr>
          <w:noProof/>
        </w:rPr>
        <w:lastRenderedPageBreak/>
        <w:drawing>
          <wp:inline distT="0" distB="0" distL="0" distR="0" wp14:anchorId="409398CC" wp14:editId="7959A7EB">
            <wp:extent cx="4758964" cy="19634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8.tif"/>
                    <pic:cNvPicPr/>
                  </pic:nvPicPr>
                  <pic:blipFill rotWithShape="1">
                    <a:blip r:embed="rId10" cstate="print">
                      <a:extLst>
                        <a:ext uri="{28A0092B-C50C-407E-A947-70E740481C1C}">
                          <a14:useLocalDpi xmlns:a14="http://schemas.microsoft.com/office/drawing/2010/main" val="0"/>
                        </a:ext>
                      </a:extLst>
                    </a:blip>
                    <a:srcRect l="3779" t="5634" r="5981"/>
                    <a:stretch/>
                  </pic:blipFill>
                  <pic:spPr bwMode="auto">
                    <a:xfrm>
                      <a:off x="0" y="0"/>
                      <a:ext cx="4759546" cy="1963660"/>
                    </a:xfrm>
                    <a:prstGeom prst="rect">
                      <a:avLst/>
                    </a:prstGeom>
                    <a:ln>
                      <a:noFill/>
                    </a:ln>
                    <a:extLst>
                      <a:ext uri="{53640926-AAD7-44D8-BBD7-CCE9431645EC}">
                        <a14:shadowObscured xmlns:a14="http://schemas.microsoft.com/office/drawing/2010/main"/>
                      </a:ext>
                    </a:extLst>
                  </pic:spPr>
                </pic:pic>
              </a:graphicData>
            </a:graphic>
          </wp:inline>
        </w:drawing>
      </w:r>
    </w:p>
    <w:p w:rsidR="00B206F0" w:rsidRPr="00EE0D6E" w:rsidRDefault="00B206F0" w:rsidP="008E7911">
      <w:pPr>
        <w:rPr>
          <w:rFonts w:ascii="Times New Roman" w:hAnsi="Times New Roman" w:cs="Times New Roman"/>
          <w:sz w:val="24"/>
          <w:lang w:val="en-US"/>
        </w:rPr>
      </w:pPr>
      <w:r w:rsidRPr="00EE0D6E">
        <w:rPr>
          <w:rFonts w:ascii="Times New Roman" w:hAnsi="Times New Roman" w:cs="Times New Roman"/>
          <w:b/>
          <w:bCs/>
          <w:sz w:val="24"/>
          <w:lang w:val="en"/>
        </w:rPr>
        <w:t xml:space="preserve">Figure S7 </w:t>
      </w:r>
      <w:r w:rsidRPr="00EE0D6E">
        <w:rPr>
          <w:rFonts w:ascii="Times New Roman" w:hAnsi="Times New Roman" w:cs="Times New Roman"/>
          <w:bCs/>
          <w:sz w:val="24"/>
          <w:lang w:val="en"/>
        </w:rPr>
        <w:t>XRD patterns of MnO</w:t>
      </w:r>
      <w:r w:rsidRPr="00EE0D6E">
        <w:rPr>
          <w:rFonts w:ascii="Times New Roman" w:hAnsi="Times New Roman" w:cs="Times New Roman"/>
          <w:bCs/>
          <w:sz w:val="24"/>
          <w:vertAlign w:val="subscript"/>
          <w:lang w:val="en"/>
        </w:rPr>
        <w:t>x</w:t>
      </w:r>
      <w:r w:rsidRPr="00EE0D6E">
        <w:rPr>
          <w:rFonts w:ascii="Times New Roman" w:hAnsi="Times New Roman" w:cs="Times New Roman"/>
          <w:bCs/>
          <w:sz w:val="24"/>
          <w:lang w:val="en"/>
        </w:rPr>
        <w:t>-CeO</w:t>
      </w:r>
      <w:r w:rsidRPr="00EE0D6E">
        <w:rPr>
          <w:rFonts w:ascii="Times New Roman" w:hAnsi="Times New Roman" w:cs="Times New Roman"/>
          <w:bCs/>
          <w:sz w:val="24"/>
          <w:vertAlign w:val="subscript"/>
          <w:lang w:val="en"/>
        </w:rPr>
        <w:t>2</w:t>
      </w:r>
      <w:r w:rsidRPr="00EE0D6E">
        <w:rPr>
          <w:rFonts w:ascii="Times New Roman" w:hAnsi="Times New Roman" w:cs="Times New Roman"/>
          <w:bCs/>
          <w:sz w:val="24"/>
          <w:lang w:val="en"/>
        </w:rPr>
        <w:t xml:space="preserve"> catalysts prepared by redox-precipitation method with different Mn/Ce ratios (a) before and (b) after the hydrothermal treatment.</w:t>
      </w:r>
    </w:p>
    <w:p w:rsidR="00B206F0" w:rsidRDefault="00B206F0" w:rsidP="008E7911">
      <w:pPr>
        <w:rPr>
          <w:lang w:val="en-US"/>
        </w:rPr>
      </w:pPr>
    </w:p>
    <w:p w:rsidR="00B206F0" w:rsidRPr="004B3934" w:rsidRDefault="00B206F0" w:rsidP="008E7911">
      <w:pPr>
        <w:rPr>
          <w:lang w:val="en-US"/>
        </w:rPr>
      </w:pPr>
    </w:p>
    <w:p w:rsidR="00B206F0" w:rsidRPr="004B3934" w:rsidRDefault="00B206F0" w:rsidP="00872131">
      <w:pPr>
        <w:spacing w:after="240" w:line="480" w:lineRule="auto"/>
        <w:ind w:firstLine="202"/>
        <w:rPr>
          <w:rFonts w:ascii="Times" w:eastAsia="SimSun" w:hAnsi="Times" w:cs="Times New Roman"/>
          <w:sz w:val="24"/>
          <w:szCs w:val="20"/>
          <w:lang w:val="en" w:eastAsia="en-US"/>
        </w:rPr>
      </w:pPr>
      <w:r w:rsidRPr="004B3934">
        <w:rPr>
          <w:rFonts w:ascii="Times" w:eastAsia="SimSun" w:hAnsi="Times" w:cs="Times New Roman"/>
          <w:b/>
          <w:bCs/>
          <w:noProof/>
          <w:sz w:val="24"/>
          <w:szCs w:val="20"/>
          <w:lang w:val="en-US" w:eastAsia="en-US"/>
        </w:rPr>
        <w:lastRenderedPageBreak/>
        <w:drawing>
          <wp:inline distT="0" distB="0" distL="0" distR="0" wp14:anchorId="6650BEFA" wp14:editId="42BB5AA1">
            <wp:extent cx="4012539" cy="5595620"/>
            <wp:effectExtent l="0" t="0" r="762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M-2.tif"/>
                    <pic:cNvPicPr/>
                  </pic:nvPicPr>
                  <pic:blipFill rotWithShape="1">
                    <a:blip r:embed="rId11">
                      <a:extLst>
                        <a:ext uri="{28A0092B-C50C-407E-A947-70E740481C1C}">
                          <a14:useLocalDpi xmlns:a14="http://schemas.microsoft.com/office/drawing/2010/main" val="0"/>
                        </a:ext>
                      </a:extLst>
                    </a:blip>
                    <a:srcRect l="1602"/>
                    <a:stretch/>
                  </pic:blipFill>
                  <pic:spPr bwMode="auto">
                    <a:xfrm>
                      <a:off x="0" y="0"/>
                      <a:ext cx="4012903" cy="5596128"/>
                    </a:xfrm>
                    <a:prstGeom prst="rect">
                      <a:avLst/>
                    </a:prstGeom>
                    <a:ln>
                      <a:noFill/>
                    </a:ln>
                    <a:extLst>
                      <a:ext uri="{53640926-AAD7-44D8-BBD7-CCE9431645EC}">
                        <a14:shadowObscured xmlns:a14="http://schemas.microsoft.com/office/drawing/2010/main"/>
                      </a:ext>
                    </a:extLst>
                  </pic:spPr>
                </pic:pic>
              </a:graphicData>
            </a:graphic>
          </wp:inline>
        </w:drawing>
      </w:r>
    </w:p>
    <w:p w:rsidR="00B206F0" w:rsidRDefault="00B206F0" w:rsidP="00872131">
      <w:pPr>
        <w:rPr>
          <w:lang w:val="en-US"/>
        </w:rPr>
      </w:pPr>
      <w:r w:rsidRPr="004B3934">
        <w:rPr>
          <w:rFonts w:ascii="Times" w:eastAsia="SimSun" w:hAnsi="Times" w:cs="Times New Roman"/>
          <w:b/>
          <w:bCs/>
          <w:sz w:val="24"/>
          <w:szCs w:val="20"/>
          <w:lang w:val="en" w:eastAsia="en-US"/>
        </w:rPr>
        <w:t xml:space="preserve">Figure </w:t>
      </w:r>
      <w:r>
        <w:rPr>
          <w:rFonts w:ascii="Times" w:eastAsia="SimSun" w:hAnsi="Times" w:cs="Times New Roman"/>
          <w:b/>
          <w:bCs/>
          <w:sz w:val="24"/>
          <w:szCs w:val="20"/>
          <w:lang w:val="en" w:eastAsia="en-US"/>
        </w:rPr>
        <w:t>S8</w:t>
      </w:r>
      <w:r w:rsidRPr="004B3934">
        <w:rPr>
          <w:rFonts w:ascii="Times" w:eastAsia="SimSun" w:hAnsi="Times" w:cs="Times New Roman"/>
          <w:b/>
          <w:bCs/>
          <w:sz w:val="24"/>
          <w:szCs w:val="20"/>
          <w:lang w:val="en" w:eastAsia="en-US"/>
        </w:rPr>
        <w:t xml:space="preserve">. </w:t>
      </w:r>
      <w:r w:rsidRPr="004B3934">
        <w:rPr>
          <w:rFonts w:ascii="Times" w:eastAsia="SimSun" w:hAnsi="Times" w:cs="Times New Roman"/>
          <w:bCs/>
          <w:sz w:val="24"/>
          <w:szCs w:val="20"/>
          <w:lang w:val="en" w:eastAsia="en-US"/>
        </w:rPr>
        <w:t>SEM images of MnO</w:t>
      </w:r>
      <w:r w:rsidRPr="004B3934">
        <w:rPr>
          <w:rFonts w:ascii="Times" w:eastAsia="SimSun" w:hAnsi="Times" w:cs="Times New Roman"/>
          <w:bCs/>
          <w:sz w:val="24"/>
          <w:szCs w:val="20"/>
          <w:vertAlign w:val="subscript"/>
          <w:lang w:val="en" w:eastAsia="en-US"/>
        </w:rPr>
        <w:t>x</w:t>
      </w:r>
      <w:r w:rsidRPr="004B3934">
        <w:rPr>
          <w:rFonts w:ascii="Times" w:eastAsia="SimSun" w:hAnsi="Times" w:cs="Times New Roman"/>
          <w:bCs/>
          <w:sz w:val="24"/>
          <w:szCs w:val="20"/>
          <w:lang w:val="en" w:eastAsia="en-US"/>
        </w:rPr>
        <w:t>-CeO</w:t>
      </w:r>
      <w:r w:rsidRPr="004B3934">
        <w:rPr>
          <w:rFonts w:ascii="Times" w:eastAsia="SimSun" w:hAnsi="Times" w:cs="Times New Roman"/>
          <w:bCs/>
          <w:sz w:val="24"/>
          <w:szCs w:val="20"/>
          <w:vertAlign w:val="subscript"/>
          <w:lang w:val="en" w:eastAsia="en-US"/>
        </w:rPr>
        <w:t xml:space="preserve">2 </w:t>
      </w:r>
      <w:r w:rsidRPr="004B3934">
        <w:rPr>
          <w:rFonts w:ascii="Times" w:eastAsia="SimSun" w:hAnsi="Times" w:cs="Times New Roman"/>
          <w:bCs/>
          <w:sz w:val="24"/>
          <w:szCs w:val="20"/>
          <w:lang w:val="en" w:eastAsia="en-US"/>
        </w:rPr>
        <w:t>catalysts prepared by redox-precipitation method with different Mn/Ce ratio. Fresh catalysts: (a) MnO</w:t>
      </w:r>
      <w:r w:rsidRPr="004B3934">
        <w:rPr>
          <w:rFonts w:ascii="Times" w:eastAsia="SimSun" w:hAnsi="Times" w:cs="Times New Roman"/>
          <w:bCs/>
          <w:sz w:val="24"/>
          <w:szCs w:val="20"/>
          <w:vertAlign w:val="subscript"/>
          <w:lang w:val="en" w:eastAsia="en-US"/>
        </w:rPr>
        <w:t>2</w:t>
      </w:r>
      <w:r w:rsidRPr="004B3934">
        <w:rPr>
          <w:rFonts w:ascii="Times" w:eastAsia="SimSun" w:hAnsi="Times" w:cs="Times New Roman"/>
          <w:bCs/>
          <w:sz w:val="24"/>
          <w:szCs w:val="20"/>
          <w:lang w:val="en" w:eastAsia="en-US"/>
        </w:rPr>
        <w:t>-f, (c) CeO</w:t>
      </w:r>
      <w:r w:rsidRPr="004B3934">
        <w:rPr>
          <w:rFonts w:ascii="Times" w:eastAsia="SimSun" w:hAnsi="Times" w:cs="Times New Roman"/>
          <w:bCs/>
          <w:sz w:val="24"/>
          <w:szCs w:val="20"/>
          <w:vertAlign w:val="subscript"/>
          <w:lang w:val="en" w:eastAsia="en-US"/>
        </w:rPr>
        <w:t>2</w:t>
      </w:r>
      <w:r w:rsidRPr="004B3934">
        <w:rPr>
          <w:rFonts w:ascii="Times" w:eastAsia="SimSun" w:hAnsi="Times" w:cs="Times New Roman"/>
          <w:bCs/>
          <w:sz w:val="24"/>
          <w:szCs w:val="20"/>
          <w:lang w:val="en" w:eastAsia="en-US"/>
        </w:rPr>
        <w:t>-f, (e) 3Mn1Ce-f, (g) 1Mn3Ce; hydrothermally treated catalysts: (b) MnO</w:t>
      </w:r>
      <w:r w:rsidRPr="004B3934">
        <w:rPr>
          <w:rFonts w:ascii="Times" w:eastAsia="SimSun" w:hAnsi="Times" w:cs="Times New Roman"/>
          <w:bCs/>
          <w:sz w:val="24"/>
          <w:szCs w:val="20"/>
          <w:vertAlign w:val="subscript"/>
          <w:lang w:val="en" w:eastAsia="en-US"/>
        </w:rPr>
        <w:t>2</w:t>
      </w:r>
      <w:r w:rsidRPr="004B3934">
        <w:rPr>
          <w:rFonts w:ascii="Times" w:eastAsia="SimSun" w:hAnsi="Times" w:cs="Times New Roman"/>
          <w:bCs/>
          <w:sz w:val="24"/>
          <w:szCs w:val="20"/>
          <w:lang w:val="en" w:eastAsia="en-US"/>
        </w:rPr>
        <w:t>-h, (d) CeO</w:t>
      </w:r>
      <w:r w:rsidRPr="004B3934">
        <w:rPr>
          <w:rFonts w:ascii="Times" w:eastAsia="SimSun" w:hAnsi="Times" w:cs="Times New Roman"/>
          <w:bCs/>
          <w:sz w:val="24"/>
          <w:szCs w:val="20"/>
          <w:vertAlign w:val="subscript"/>
          <w:lang w:val="en" w:eastAsia="en-US"/>
        </w:rPr>
        <w:t>2</w:t>
      </w:r>
      <w:r w:rsidRPr="004B3934">
        <w:rPr>
          <w:rFonts w:ascii="Times" w:eastAsia="SimSun" w:hAnsi="Times" w:cs="Times New Roman"/>
          <w:bCs/>
          <w:sz w:val="24"/>
          <w:szCs w:val="20"/>
          <w:lang w:val="en" w:eastAsia="en-US"/>
        </w:rPr>
        <w:t>-h, (f) 3Mn1Ce-h, (h) 1Mn3Ce-h. The scale bar is 200 nm.</w:t>
      </w:r>
    </w:p>
    <w:p w:rsidR="00B206F0" w:rsidRDefault="00B206F0" w:rsidP="008E7911">
      <w:pPr>
        <w:pStyle w:val="TAMainText"/>
        <w:spacing w:after="240"/>
        <w:jc w:val="left"/>
        <w:rPr>
          <w:lang w:val="en"/>
        </w:rPr>
      </w:pPr>
      <w:r w:rsidRPr="00A063B3">
        <w:rPr>
          <w:noProof/>
        </w:rPr>
        <w:lastRenderedPageBreak/>
        <w:drawing>
          <wp:inline distT="0" distB="0" distL="0" distR="0" wp14:anchorId="623FABD6" wp14:editId="3FB01572">
            <wp:extent cx="5274000" cy="2314482"/>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2.tif"/>
                    <pic:cNvPicPr/>
                  </pic:nvPicPr>
                  <pic:blipFill rotWithShape="1">
                    <a:blip r:embed="rId12" cstate="print">
                      <a:extLst>
                        <a:ext uri="{28A0092B-C50C-407E-A947-70E740481C1C}">
                          <a14:useLocalDpi xmlns:a14="http://schemas.microsoft.com/office/drawing/2010/main" val="0"/>
                        </a:ext>
                      </a:extLst>
                    </a:blip>
                    <a:srcRect l="5386" t="5429" r="5960"/>
                    <a:stretch/>
                  </pic:blipFill>
                  <pic:spPr bwMode="auto">
                    <a:xfrm>
                      <a:off x="0" y="0"/>
                      <a:ext cx="5274000" cy="2314482"/>
                    </a:xfrm>
                    <a:prstGeom prst="rect">
                      <a:avLst/>
                    </a:prstGeom>
                    <a:ln>
                      <a:noFill/>
                    </a:ln>
                    <a:extLst>
                      <a:ext uri="{53640926-AAD7-44D8-BBD7-CCE9431645EC}">
                        <a14:shadowObscured xmlns:a14="http://schemas.microsoft.com/office/drawing/2010/main"/>
                      </a:ext>
                    </a:extLst>
                  </pic:spPr>
                </pic:pic>
              </a:graphicData>
            </a:graphic>
          </wp:inline>
        </w:drawing>
      </w:r>
    </w:p>
    <w:p w:rsidR="00B206F0" w:rsidRPr="00EE0D6E" w:rsidRDefault="00B206F0" w:rsidP="008E7911">
      <w:pPr>
        <w:rPr>
          <w:rFonts w:ascii="Times New Roman" w:hAnsi="Times New Roman" w:cs="Times New Roman"/>
          <w:sz w:val="24"/>
          <w:lang w:val="en"/>
        </w:rPr>
      </w:pPr>
      <w:r w:rsidRPr="00EE0D6E">
        <w:rPr>
          <w:rFonts w:ascii="Times New Roman" w:hAnsi="Times New Roman" w:cs="Times New Roman"/>
          <w:b/>
          <w:bCs/>
          <w:sz w:val="24"/>
          <w:lang w:val="en"/>
        </w:rPr>
        <w:t>Figure S</w:t>
      </w:r>
      <w:r>
        <w:rPr>
          <w:rFonts w:ascii="Times New Roman" w:hAnsi="Times New Roman" w:cs="Times New Roman"/>
          <w:b/>
          <w:bCs/>
          <w:sz w:val="24"/>
          <w:lang w:val="en"/>
        </w:rPr>
        <w:t>9</w:t>
      </w:r>
      <w:r w:rsidRPr="00EE0D6E">
        <w:rPr>
          <w:rFonts w:ascii="Times New Roman" w:hAnsi="Times New Roman" w:cs="Times New Roman"/>
          <w:b/>
          <w:bCs/>
          <w:sz w:val="24"/>
        </w:rPr>
        <w:t>.</w:t>
      </w:r>
      <w:r w:rsidRPr="00EE0D6E">
        <w:rPr>
          <w:rFonts w:ascii="Times New Roman" w:hAnsi="Times New Roman" w:cs="Times New Roman"/>
          <w:b/>
          <w:bCs/>
          <w:sz w:val="24"/>
          <w:lang w:val="en"/>
        </w:rPr>
        <w:t xml:space="preserve"> </w:t>
      </w:r>
      <w:r w:rsidRPr="00EE0D6E">
        <w:rPr>
          <w:rFonts w:ascii="Times New Roman" w:hAnsi="Times New Roman" w:cs="Times New Roman"/>
          <w:bCs/>
          <w:sz w:val="24"/>
          <w:lang w:val="en"/>
        </w:rPr>
        <w:t>N</w:t>
      </w:r>
      <w:r w:rsidRPr="00EE0D6E">
        <w:rPr>
          <w:rFonts w:ascii="Times New Roman" w:hAnsi="Times New Roman" w:cs="Times New Roman"/>
          <w:bCs/>
          <w:sz w:val="24"/>
          <w:vertAlign w:val="subscript"/>
          <w:lang w:val="en"/>
        </w:rPr>
        <w:t xml:space="preserve">2 </w:t>
      </w:r>
      <w:r w:rsidRPr="00EE0D6E">
        <w:rPr>
          <w:rFonts w:ascii="Times New Roman" w:hAnsi="Times New Roman" w:cs="Times New Roman"/>
          <w:bCs/>
          <w:sz w:val="24"/>
          <w:lang w:val="en"/>
        </w:rPr>
        <w:t>adsorption-desorption isotherms of MnO</w:t>
      </w:r>
      <w:r w:rsidRPr="00EE0D6E">
        <w:rPr>
          <w:rFonts w:ascii="Times New Roman" w:hAnsi="Times New Roman" w:cs="Times New Roman"/>
          <w:bCs/>
          <w:sz w:val="24"/>
          <w:vertAlign w:val="subscript"/>
          <w:lang w:val="en"/>
        </w:rPr>
        <w:t>x</w:t>
      </w:r>
      <w:r w:rsidRPr="00EE0D6E">
        <w:rPr>
          <w:rFonts w:ascii="Times New Roman" w:hAnsi="Times New Roman" w:cs="Times New Roman"/>
          <w:bCs/>
          <w:sz w:val="24"/>
          <w:lang w:val="en"/>
        </w:rPr>
        <w:t>-CeO</w:t>
      </w:r>
      <w:r w:rsidRPr="00EE0D6E">
        <w:rPr>
          <w:rFonts w:ascii="Times New Roman" w:hAnsi="Times New Roman" w:cs="Times New Roman"/>
          <w:bCs/>
          <w:sz w:val="24"/>
          <w:vertAlign w:val="subscript"/>
          <w:lang w:val="en"/>
        </w:rPr>
        <w:t>2</w:t>
      </w:r>
      <w:r w:rsidRPr="00EE0D6E">
        <w:rPr>
          <w:rFonts w:ascii="Times New Roman" w:hAnsi="Times New Roman" w:cs="Times New Roman"/>
          <w:bCs/>
          <w:sz w:val="24"/>
          <w:lang w:val="en"/>
        </w:rPr>
        <w:t xml:space="preserve"> catalysts prepared by redox-precipitation method: (a) before and (b) after hydrothermal treatment.</w:t>
      </w:r>
    </w:p>
    <w:p w:rsidR="00B206F0" w:rsidRDefault="00B206F0" w:rsidP="00872131">
      <w:pPr>
        <w:spacing w:after="0" w:line="480" w:lineRule="auto"/>
        <w:rPr>
          <w:rFonts w:ascii="Times" w:eastAsia="SimSun" w:hAnsi="Times" w:cs="Times New Roman"/>
          <w:b/>
          <w:bCs/>
          <w:sz w:val="24"/>
          <w:szCs w:val="20"/>
          <w:lang w:val="en-US"/>
        </w:rPr>
      </w:pPr>
    </w:p>
    <w:p w:rsidR="00B206F0" w:rsidRPr="008E7911" w:rsidRDefault="00B206F0" w:rsidP="00872131">
      <w:pPr>
        <w:spacing w:after="0" w:line="480" w:lineRule="auto"/>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 xml:space="preserve">Table </w:t>
      </w:r>
      <w:r>
        <w:rPr>
          <w:rFonts w:ascii="Times" w:eastAsia="SimSun" w:hAnsi="Times" w:cs="Times New Roman"/>
          <w:b/>
          <w:bCs/>
          <w:sz w:val="24"/>
          <w:szCs w:val="20"/>
          <w:lang w:val="en" w:eastAsia="en-US"/>
        </w:rPr>
        <w:t>S4</w:t>
      </w:r>
      <w:r w:rsidRPr="008E7911">
        <w:rPr>
          <w:rFonts w:ascii="Times" w:eastAsia="SimSun" w:hAnsi="Times" w:cs="Times New Roman"/>
          <w:b/>
          <w:bCs/>
          <w:sz w:val="24"/>
          <w:szCs w:val="20"/>
          <w:lang w:val="en" w:eastAsia="en-US"/>
        </w:rPr>
        <w:t xml:space="preserve"> </w:t>
      </w:r>
      <w:r w:rsidRPr="00872131">
        <w:rPr>
          <w:rFonts w:ascii="Times" w:eastAsia="SimSun" w:hAnsi="Times" w:cs="Times New Roman"/>
          <w:bCs/>
          <w:sz w:val="24"/>
          <w:szCs w:val="20"/>
          <w:lang w:val="en" w:eastAsia="en-US"/>
        </w:rPr>
        <w:t>Textural parameters of fresh MnO</w:t>
      </w:r>
      <w:r w:rsidRPr="00872131">
        <w:rPr>
          <w:rFonts w:ascii="Times" w:eastAsia="SimSun" w:hAnsi="Times" w:cs="Times New Roman"/>
          <w:bCs/>
          <w:sz w:val="24"/>
          <w:szCs w:val="20"/>
          <w:vertAlign w:val="subscript"/>
          <w:lang w:val="en" w:eastAsia="en-US"/>
        </w:rPr>
        <w:t>x</w:t>
      </w:r>
      <w:r w:rsidRPr="00872131">
        <w:rPr>
          <w:rFonts w:ascii="Times" w:eastAsia="SimSun" w:hAnsi="Times" w:cs="Times New Roman"/>
          <w:bCs/>
          <w:sz w:val="24"/>
          <w:szCs w:val="20"/>
          <w:lang w:val="en" w:eastAsia="en-US"/>
        </w:rPr>
        <w:t>-CeO</w:t>
      </w:r>
      <w:r w:rsidRPr="00872131">
        <w:rPr>
          <w:rFonts w:ascii="Times" w:eastAsia="SimSun" w:hAnsi="Times" w:cs="Times New Roman"/>
          <w:bCs/>
          <w:sz w:val="24"/>
          <w:szCs w:val="20"/>
          <w:vertAlign w:val="subscript"/>
          <w:lang w:val="en" w:eastAsia="en-US"/>
        </w:rPr>
        <w:t>2</w:t>
      </w:r>
      <w:r w:rsidRPr="00872131">
        <w:rPr>
          <w:rFonts w:ascii="Times" w:eastAsia="SimSun" w:hAnsi="Times" w:cs="Times New Roman"/>
          <w:bCs/>
          <w:sz w:val="24"/>
          <w:szCs w:val="20"/>
          <w:lang w:val="en" w:eastAsia="en-US"/>
        </w:rPr>
        <w:t>.</w:t>
      </w:r>
    </w:p>
    <w:tbl>
      <w:tblPr>
        <w:tblW w:w="8164" w:type="dxa"/>
        <w:tblLayout w:type="fixed"/>
        <w:tblCellMar>
          <w:left w:w="0" w:type="dxa"/>
          <w:right w:w="0" w:type="dxa"/>
        </w:tblCellMar>
        <w:tblLook w:val="0600" w:firstRow="0" w:lastRow="0" w:firstColumn="0" w:lastColumn="0" w:noHBand="1" w:noVBand="1"/>
      </w:tblPr>
      <w:tblGrid>
        <w:gridCol w:w="2041"/>
        <w:gridCol w:w="2041"/>
        <w:gridCol w:w="2041"/>
        <w:gridCol w:w="2041"/>
      </w:tblGrid>
      <w:tr w:rsidR="00B206F0" w:rsidRPr="008E7911" w:rsidTr="00F66337">
        <w:trPr>
          <w:trHeight w:val="497"/>
        </w:trPr>
        <w:tc>
          <w:tcPr>
            <w:tcW w:w="2041"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Catalysts</w:t>
            </w:r>
          </w:p>
        </w:tc>
        <w:tc>
          <w:tcPr>
            <w:tcW w:w="2041"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S</w:t>
            </w:r>
            <w:r w:rsidRPr="008E7911">
              <w:rPr>
                <w:rFonts w:ascii="Times" w:eastAsia="SimSun" w:hAnsi="Times" w:cs="Times New Roman"/>
                <w:b/>
                <w:bCs/>
                <w:sz w:val="24"/>
                <w:szCs w:val="20"/>
                <w:vertAlign w:val="subscript"/>
                <w:lang w:val="en" w:eastAsia="en-US"/>
              </w:rPr>
              <w:t xml:space="preserve">BET </w:t>
            </w:r>
            <w:r w:rsidRPr="008E7911">
              <w:rPr>
                <w:rFonts w:ascii="Times" w:eastAsia="SimSun" w:hAnsi="Times" w:cs="Times New Roman"/>
                <w:b/>
                <w:bCs/>
                <w:sz w:val="24"/>
                <w:szCs w:val="20"/>
                <w:lang w:val="en" w:eastAsia="en-US"/>
              </w:rPr>
              <w:t>(m</w:t>
            </w:r>
            <w:r w:rsidRPr="008E7911">
              <w:rPr>
                <w:rFonts w:ascii="Times" w:eastAsia="SimSun" w:hAnsi="Times" w:cs="Times New Roman"/>
                <w:b/>
                <w:bCs/>
                <w:sz w:val="24"/>
                <w:szCs w:val="20"/>
                <w:vertAlign w:val="superscript"/>
                <w:lang w:val="en" w:eastAsia="en-US"/>
              </w:rPr>
              <w:t>2</w:t>
            </w:r>
            <w:r w:rsidRPr="008E7911">
              <w:rPr>
                <w:rFonts w:ascii="Times" w:eastAsia="SimSun" w:hAnsi="Times" w:cs="Times New Roman"/>
                <w:b/>
                <w:bCs/>
                <w:sz w:val="24"/>
                <w:szCs w:val="20"/>
                <w:lang w:val="en" w:eastAsia="en-US"/>
              </w:rPr>
              <w:t>/g)</w:t>
            </w:r>
          </w:p>
        </w:tc>
        <w:tc>
          <w:tcPr>
            <w:tcW w:w="2041"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V</w:t>
            </w:r>
            <w:r w:rsidRPr="008E7911">
              <w:rPr>
                <w:rFonts w:ascii="Times" w:eastAsia="SimSun" w:hAnsi="Times" w:cs="Times New Roman"/>
                <w:b/>
                <w:bCs/>
                <w:sz w:val="24"/>
                <w:szCs w:val="20"/>
                <w:vertAlign w:val="subscript"/>
                <w:lang w:val="en" w:eastAsia="en-US"/>
              </w:rPr>
              <w:t xml:space="preserve">BJH </w:t>
            </w:r>
            <w:r w:rsidRPr="008E7911">
              <w:rPr>
                <w:rFonts w:ascii="Times" w:eastAsia="SimSun" w:hAnsi="Times" w:cs="Times New Roman"/>
                <w:b/>
                <w:bCs/>
                <w:sz w:val="24"/>
                <w:szCs w:val="20"/>
                <w:lang w:val="en" w:eastAsia="en-US"/>
              </w:rPr>
              <w:t>(cm</w:t>
            </w:r>
            <w:r w:rsidRPr="008E7911">
              <w:rPr>
                <w:rFonts w:ascii="Times" w:eastAsia="SimSun" w:hAnsi="Times" w:cs="Times New Roman"/>
                <w:b/>
                <w:bCs/>
                <w:sz w:val="24"/>
                <w:szCs w:val="20"/>
                <w:vertAlign w:val="superscript"/>
                <w:lang w:val="en" w:eastAsia="en-US"/>
              </w:rPr>
              <w:t>3</w:t>
            </w:r>
            <w:r w:rsidRPr="008E7911">
              <w:rPr>
                <w:rFonts w:ascii="Times" w:eastAsia="SimSun" w:hAnsi="Times" w:cs="Times New Roman"/>
                <w:b/>
                <w:bCs/>
                <w:sz w:val="24"/>
                <w:szCs w:val="20"/>
                <w:lang w:val="en" w:eastAsia="en-US"/>
              </w:rPr>
              <w:t>/g)</w:t>
            </w:r>
          </w:p>
        </w:tc>
        <w:tc>
          <w:tcPr>
            <w:tcW w:w="2041" w:type="dxa"/>
            <w:tcBorders>
              <w:top w:val="single" w:sz="12" w:space="0" w:color="auto"/>
              <w:left w:val="nil"/>
              <w:bottom w:val="single" w:sz="4" w:space="0" w:color="auto"/>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D (nm)</w:t>
            </w:r>
          </w:p>
        </w:tc>
      </w:tr>
      <w:tr w:rsidR="00B206F0" w:rsidRPr="008E7911" w:rsidTr="00F66337">
        <w:trPr>
          <w:trHeight w:val="497"/>
        </w:trPr>
        <w:tc>
          <w:tcPr>
            <w:tcW w:w="2041" w:type="dxa"/>
            <w:tcBorders>
              <w:top w:val="single" w:sz="4" w:space="0" w:color="auto"/>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US"/>
              </w:rPr>
            </w:pPr>
            <w:r w:rsidRPr="008E7911">
              <w:rPr>
                <w:rFonts w:ascii="Times" w:eastAsia="SimSun" w:hAnsi="Times" w:cs="Times New Roman"/>
                <w:b/>
                <w:bCs/>
                <w:sz w:val="24"/>
                <w:szCs w:val="20"/>
                <w:lang w:val="en" w:eastAsia="en-US"/>
              </w:rPr>
              <w:t>3Mn1Ce-f</w:t>
            </w:r>
          </w:p>
        </w:tc>
        <w:tc>
          <w:tcPr>
            <w:tcW w:w="2041" w:type="dxa"/>
            <w:tcBorders>
              <w:top w:val="single" w:sz="4" w:space="0" w:color="auto"/>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105.7</w:t>
            </w:r>
          </w:p>
        </w:tc>
        <w:tc>
          <w:tcPr>
            <w:tcW w:w="2041" w:type="dxa"/>
            <w:tcBorders>
              <w:top w:val="single" w:sz="4" w:space="0" w:color="auto"/>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0.29</w:t>
            </w:r>
          </w:p>
        </w:tc>
        <w:tc>
          <w:tcPr>
            <w:tcW w:w="2041" w:type="dxa"/>
            <w:tcBorders>
              <w:top w:val="single" w:sz="4" w:space="0" w:color="auto"/>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10.9</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3Mn1Ce-h</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4.3</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0.02</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22.5</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1Mn1Ce-f</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69.7</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0.39</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21.5</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1Mn1Ce-h</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5.8</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0.04</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44.4</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1Mn3Ce-f</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124.4</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0.24</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8.4</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1Mn3Ce-h</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2.4</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0.02</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147.7</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MnO</w:t>
            </w:r>
            <w:r w:rsidRPr="008E7911">
              <w:rPr>
                <w:rFonts w:ascii="Times" w:eastAsia="SimSun" w:hAnsi="Times" w:cs="Times New Roman"/>
                <w:b/>
                <w:bCs/>
                <w:sz w:val="24"/>
                <w:szCs w:val="20"/>
                <w:vertAlign w:val="subscript"/>
                <w:lang w:val="en" w:eastAsia="en-US"/>
              </w:rPr>
              <w:t>2</w:t>
            </w:r>
            <w:r w:rsidRPr="008E7911">
              <w:rPr>
                <w:rFonts w:ascii="Times" w:eastAsia="SimSun" w:hAnsi="Times" w:cs="Times New Roman"/>
                <w:b/>
                <w:bCs/>
                <w:sz w:val="24"/>
                <w:szCs w:val="20"/>
                <w:lang w:val="en" w:eastAsia="en-US"/>
              </w:rPr>
              <w:t>-f</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31.9</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0.23</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29.6</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MnO</w:t>
            </w:r>
            <w:r w:rsidRPr="008E7911">
              <w:rPr>
                <w:rFonts w:ascii="Times" w:eastAsia="SimSun" w:hAnsi="Times" w:cs="Times New Roman"/>
                <w:b/>
                <w:bCs/>
                <w:sz w:val="24"/>
                <w:szCs w:val="20"/>
                <w:vertAlign w:val="subscript"/>
                <w:lang w:val="en" w:eastAsia="en-US"/>
              </w:rPr>
              <w:t>2</w:t>
            </w:r>
            <w:r w:rsidRPr="008E7911">
              <w:rPr>
                <w:rFonts w:ascii="Times" w:eastAsia="SimSun" w:hAnsi="Times" w:cs="Times New Roman"/>
                <w:b/>
                <w:bCs/>
                <w:sz w:val="24"/>
                <w:szCs w:val="20"/>
                <w:lang w:val="en" w:eastAsia="en-US"/>
              </w:rPr>
              <w:t>-h</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1.2</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0.01</w:t>
            </w:r>
          </w:p>
        </w:tc>
        <w:tc>
          <w:tcPr>
            <w:tcW w:w="2041" w:type="dxa"/>
            <w:tcBorders>
              <w:left w:val="nil"/>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179.0</w:t>
            </w:r>
          </w:p>
        </w:tc>
      </w:tr>
      <w:tr w:rsidR="00B206F0" w:rsidRPr="008E7911" w:rsidTr="00F66337">
        <w:trPr>
          <w:trHeight w:val="497"/>
        </w:trPr>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CeO</w:t>
            </w:r>
            <w:r w:rsidRPr="008E7911">
              <w:rPr>
                <w:rFonts w:ascii="Times" w:eastAsia="SimSun" w:hAnsi="Times" w:cs="Times New Roman"/>
                <w:b/>
                <w:bCs/>
                <w:sz w:val="24"/>
                <w:szCs w:val="20"/>
                <w:vertAlign w:val="subscript"/>
                <w:lang w:val="en" w:eastAsia="en-US"/>
              </w:rPr>
              <w:t>2</w:t>
            </w:r>
            <w:r w:rsidRPr="008E7911">
              <w:rPr>
                <w:rFonts w:ascii="Times" w:eastAsia="SimSun" w:hAnsi="Times" w:cs="Times New Roman"/>
                <w:b/>
                <w:bCs/>
                <w:sz w:val="24"/>
                <w:szCs w:val="20"/>
                <w:lang w:val="en" w:eastAsia="en-US"/>
              </w:rPr>
              <w:t>-f</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65.6</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0.14</w:t>
            </w:r>
          </w:p>
        </w:tc>
        <w:tc>
          <w:tcPr>
            <w:tcW w:w="2041" w:type="dxa"/>
            <w:tcBorders>
              <w:left w:val="nil"/>
              <w:right w:val="nil"/>
            </w:tcBorders>
            <w:shd w:val="clear" w:color="auto" w:fill="FFFFFF"/>
            <w:tcMar>
              <w:top w:w="12" w:type="dxa"/>
              <w:left w:w="12" w:type="dxa"/>
              <w:bottom w:w="0" w:type="dxa"/>
              <w:right w:w="12" w:type="dxa"/>
            </w:tcMar>
            <w:vAlign w:val="center"/>
            <w:hideMark/>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9.0</w:t>
            </w:r>
          </w:p>
        </w:tc>
      </w:tr>
      <w:tr w:rsidR="00B206F0" w:rsidRPr="008E7911" w:rsidTr="00F66337">
        <w:trPr>
          <w:trHeight w:val="497"/>
        </w:trPr>
        <w:tc>
          <w:tcPr>
            <w:tcW w:w="2041" w:type="dxa"/>
            <w:tcBorders>
              <w:left w:val="nil"/>
              <w:bottom w:val="single" w:sz="12" w:space="0" w:color="auto"/>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b/>
                <w:bCs/>
                <w:sz w:val="24"/>
                <w:szCs w:val="20"/>
                <w:lang w:val="en" w:eastAsia="en-US"/>
              </w:rPr>
            </w:pPr>
            <w:r w:rsidRPr="008E7911">
              <w:rPr>
                <w:rFonts w:ascii="Times" w:eastAsia="SimSun" w:hAnsi="Times" w:cs="Times New Roman"/>
                <w:b/>
                <w:bCs/>
                <w:sz w:val="24"/>
                <w:szCs w:val="20"/>
                <w:lang w:val="en" w:eastAsia="en-US"/>
              </w:rPr>
              <w:t>CeO</w:t>
            </w:r>
            <w:r w:rsidRPr="008E7911">
              <w:rPr>
                <w:rFonts w:ascii="Times" w:eastAsia="SimSun" w:hAnsi="Times" w:cs="Times New Roman"/>
                <w:b/>
                <w:bCs/>
                <w:sz w:val="24"/>
                <w:szCs w:val="20"/>
                <w:vertAlign w:val="subscript"/>
                <w:lang w:val="en" w:eastAsia="en-US"/>
              </w:rPr>
              <w:t>2</w:t>
            </w:r>
            <w:r w:rsidRPr="008E7911">
              <w:rPr>
                <w:rFonts w:ascii="Times" w:eastAsia="SimSun" w:hAnsi="Times" w:cs="Times New Roman"/>
                <w:b/>
                <w:bCs/>
                <w:sz w:val="24"/>
                <w:szCs w:val="20"/>
                <w:lang w:val="en" w:eastAsia="en-US"/>
              </w:rPr>
              <w:t>-h</w:t>
            </w:r>
          </w:p>
        </w:tc>
        <w:tc>
          <w:tcPr>
            <w:tcW w:w="2041" w:type="dxa"/>
            <w:tcBorders>
              <w:left w:val="nil"/>
              <w:bottom w:val="single" w:sz="12" w:space="0" w:color="auto"/>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2.4</w:t>
            </w:r>
          </w:p>
        </w:tc>
        <w:tc>
          <w:tcPr>
            <w:tcW w:w="2041" w:type="dxa"/>
            <w:tcBorders>
              <w:left w:val="nil"/>
              <w:bottom w:val="single" w:sz="12" w:space="0" w:color="auto"/>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0.06</w:t>
            </w:r>
          </w:p>
        </w:tc>
        <w:tc>
          <w:tcPr>
            <w:tcW w:w="2041" w:type="dxa"/>
            <w:tcBorders>
              <w:left w:val="nil"/>
              <w:bottom w:val="single" w:sz="12" w:space="0" w:color="auto"/>
              <w:right w:val="nil"/>
            </w:tcBorders>
            <w:shd w:val="clear" w:color="auto" w:fill="FFFFFF"/>
            <w:tcMar>
              <w:top w:w="12" w:type="dxa"/>
              <w:left w:w="12" w:type="dxa"/>
              <w:bottom w:w="0" w:type="dxa"/>
              <w:right w:w="12" w:type="dxa"/>
            </w:tcMar>
            <w:vAlign w:val="center"/>
          </w:tcPr>
          <w:p w:rsidR="00B206F0" w:rsidRPr="008E7911" w:rsidRDefault="00B206F0" w:rsidP="00F66337">
            <w:pPr>
              <w:spacing w:after="0" w:line="240" w:lineRule="auto"/>
              <w:ind w:firstLine="204"/>
              <w:jc w:val="center"/>
              <w:rPr>
                <w:rFonts w:ascii="Times" w:eastAsia="SimSun" w:hAnsi="Times" w:cs="Times New Roman"/>
                <w:sz w:val="24"/>
                <w:szCs w:val="20"/>
                <w:lang w:val="en" w:eastAsia="en-US"/>
              </w:rPr>
            </w:pPr>
            <w:r w:rsidRPr="008E7911">
              <w:rPr>
                <w:rFonts w:ascii="Times" w:eastAsia="SimSun" w:hAnsi="Times" w:cs="Times New Roman"/>
                <w:sz w:val="24"/>
                <w:szCs w:val="20"/>
                <w:lang w:val="en" w:eastAsia="en-US"/>
              </w:rPr>
              <w:t>106.0</w:t>
            </w:r>
          </w:p>
        </w:tc>
      </w:tr>
    </w:tbl>
    <w:p w:rsidR="00B206F0" w:rsidRPr="00872131" w:rsidRDefault="00B206F0" w:rsidP="00EE0D6E">
      <w:pPr>
        <w:spacing w:after="240" w:line="240" w:lineRule="auto"/>
        <w:rPr>
          <w:rFonts w:ascii="Times" w:eastAsia="SimSun" w:hAnsi="Times" w:cs="Times New Roman"/>
          <w:sz w:val="24"/>
          <w:szCs w:val="20"/>
          <w:lang w:val="en-US"/>
        </w:rPr>
      </w:pPr>
      <w:bookmarkStart w:id="9" w:name="_Toc38924811"/>
      <w:bookmarkStart w:id="10" w:name="_Hlk78232754"/>
    </w:p>
    <w:p w:rsidR="00B206F0" w:rsidRPr="00A063B3" w:rsidRDefault="00B206F0" w:rsidP="003D0429">
      <w:pPr>
        <w:pStyle w:val="TAMainText"/>
        <w:ind w:firstLine="204"/>
        <w:jc w:val="left"/>
        <w:rPr>
          <w:i/>
          <w:iCs/>
          <w:lang w:val="en"/>
        </w:rPr>
      </w:pPr>
      <w:r>
        <w:rPr>
          <w:i/>
          <w:iCs/>
          <w:noProof/>
          <w:lang w:val="en"/>
        </w:rPr>
        <w:lastRenderedPageBreak/>
        <w:drawing>
          <wp:inline distT="0" distB="0" distL="0" distR="0" wp14:anchorId="1667A084" wp14:editId="20859CB4">
            <wp:extent cx="5397500" cy="31750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2.tif"/>
                    <pic:cNvPicPr/>
                  </pic:nvPicPr>
                  <pic:blipFill rotWithShape="1">
                    <a:blip r:embed="rId13" cstate="print">
                      <a:extLst>
                        <a:ext uri="{28A0092B-C50C-407E-A947-70E740481C1C}">
                          <a14:useLocalDpi xmlns:a14="http://schemas.microsoft.com/office/drawing/2010/main" val="0"/>
                        </a:ext>
                      </a:extLst>
                    </a:blip>
                    <a:srcRect l="3632" t="7407" r="5555"/>
                    <a:stretch/>
                  </pic:blipFill>
                  <pic:spPr bwMode="auto">
                    <a:xfrm>
                      <a:off x="0" y="0"/>
                      <a:ext cx="5397500" cy="3175000"/>
                    </a:xfrm>
                    <a:prstGeom prst="rect">
                      <a:avLst/>
                    </a:prstGeom>
                    <a:ln>
                      <a:noFill/>
                    </a:ln>
                    <a:extLst>
                      <a:ext uri="{53640926-AAD7-44D8-BBD7-CCE9431645EC}">
                        <a14:shadowObscured xmlns:a14="http://schemas.microsoft.com/office/drawing/2010/main"/>
                      </a:ext>
                    </a:extLst>
                  </pic:spPr>
                </pic:pic>
              </a:graphicData>
            </a:graphic>
          </wp:inline>
        </w:drawing>
      </w:r>
    </w:p>
    <w:p w:rsidR="00B206F0" w:rsidRDefault="00B206F0" w:rsidP="003D0429">
      <w:pPr>
        <w:pStyle w:val="TAMainText"/>
        <w:spacing w:after="240" w:line="240" w:lineRule="auto"/>
        <w:ind w:firstLine="0"/>
        <w:rPr>
          <w:iCs/>
          <w:lang w:val="en"/>
        </w:rPr>
      </w:pPr>
      <w:r w:rsidRPr="00A063B3">
        <w:rPr>
          <w:b/>
          <w:bCs/>
          <w:lang w:val="en"/>
        </w:rPr>
        <w:t xml:space="preserve">Figure </w:t>
      </w:r>
      <w:r>
        <w:rPr>
          <w:b/>
          <w:bCs/>
          <w:lang w:val="en"/>
        </w:rPr>
        <w:t>S10</w:t>
      </w:r>
      <w:r w:rsidRPr="00A063B3">
        <w:rPr>
          <w:b/>
          <w:bCs/>
          <w:lang w:val="en"/>
        </w:rPr>
        <w:t xml:space="preserve"> </w:t>
      </w:r>
      <w:r w:rsidRPr="00A063B3">
        <w:rPr>
          <w:bCs/>
          <w:lang w:val="en"/>
        </w:rPr>
        <w:t>H</w:t>
      </w:r>
      <w:r w:rsidRPr="00A063B3">
        <w:rPr>
          <w:bCs/>
          <w:vertAlign w:val="subscript"/>
          <w:lang w:val="en"/>
        </w:rPr>
        <w:t>2</w:t>
      </w:r>
      <w:r w:rsidRPr="00A063B3">
        <w:rPr>
          <w:bCs/>
          <w:lang w:val="en"/>
        </w:rPr>
        <w:t>-TPR curves of (a) fresh and (b) hydrothermally treated MnO</w:t>
      </w:r>
      <w:r w:rsidRPr="00A063B3">
        <w:rPr>
          <w:bCs/>
          <w:vertAlign w:val="subscript"/>
          <w:lang w:val="en"/>
        </w:rPr>
        <w:t>x</w:t>
      </w:r>
      <w:r w:rsidRPr="00A063B3">
        <w:rPr>
          <w:bCs/>
          <w:lang w:val="en"/>
        </w:rPr>
        <w:t>-CeO</w:t>
      </w:r>
      <w:r w:rsidRPr="00A063B3">
        <w:rPr>
          <w:bCs/>
          <w:vertAlign w:val="subscript"/>
          <w:lang w:val="en"/>
        </w:rPr>
        <w:t xml:space="preserve">2 </w:t>
      </w:r>
      <w:r w:rsidRPr="00A063B3">
        <w:rPr>
          <w:bCs/>
          <w:lang w:val="en"/>
        </w:rPr>
        <w:t>catalysts</w:t>
      </w:r>
      <w:r w:rsidRPr="00A063B3">
        <w:rPr>
          <w:b/>
          <w:bCs/>
          <w:lang w:val="en"/>
        </w:rPr>
        <w:t xml:space="preserve"> </w:t>
      </w:r>
      <w:r w:rsidRPr="00A063B3">
        <w:rPr>
          <w:bCs/>
          <w:lang w:val="en"/>
        </w:rPr>
        <w:t>prepared by redox-precipitation method.</w:t>
      </w:r>
    </w:p>
    <w:p w:rsidR="00B206F0" w:rsidRPr="00E80D97" w:rsidRDefault="00B206F0" w:rsidP="003D0429">
      <w:pPr>
        <w:pStyle w:val="TAMainText"/>
        <w:spacing w:after="240" w:line="240" w:lineRule="auto"/>
        <w:ind w:firstLine="0"/>
        <w:rPr>
          <w:iCs/>
          <w:lang w:val="en"/>
        </w:rPr>
      </w:pPr>
    </w:p>
    <w:p w:rsidR="00B206F0" w:rsidRPr="00F66337" w:rsidRDefault="00B206F0" w:rsidP="00CD7AA9">
      <w:pPr>
        <w:pStyle w:val="TAMainText"/>
        <w:ind w:firstLine="0"/>
        <w:rPr>
          <w:lang w:val="en"/>
        </w:rPr>
      </w:pPr>
      <w:r w:rsidRPr="00F66337">
        <w:rPr>
          <w:lang w:val="en-MY"/>
        </w:rPr>
        <w:t>The XRD patterns of the fresh MnOx-CeO</w:t>
      </w:r>
      <w:r w:rsidRPr="00F66337">
        <w:rPr>
          <w:vertAlign w:val="subscript"/>
          <w:lang w:val="en-MY"/>
        </w:rPr>
        <w:t>2</w:t>
      </w:r>
      <w:r w:rsidRPr="00F66337">
        <w:rPr>
          <w:lang w:val="en-MY"/>
        </w:rPr>
        <w:t xml:space="preserve"> catalysts are displayed in </w:t>
      </w:r>
      <w:r w:rsidRPr="00F66337">
        <w:rPr>
          <w:b/>
          <w:bCs/>
          <w:lang w:val="en-MY"/>
        </w:rPr>
        <w:t>Figure S7a</w:t>
      </w:r>
      <w:r w:rsidRPr="00F66337">
        <w:rPr>
          <w:lang w:val="en-MY"/>
        </w:rPr>
        <w:t>. The diffraction peaks at 12.5, 25.2, 37.3, and 66.0° correspond to the δ-MnO</w:t>
      </w:r>
      <w:r w:rsidRPr="00F66337">
        <w:rPr>
          <w:vertAlign w:val="subscript"/>
          <w:lang w:val="en-MY"/>
        </w:rPr>
        <w:t>2</w:t>
      </w:r>
      <w:r w:rsidRPr="00F66337">
        <w:rPr>
          <w:lang w:val="en-MY"/>
        </w:rPr>
        <w:t xml:space="preserve"> crystal structures, indicating the presence of MnO</w:t>
      </w:r>
      <w:r w:rsidRPr="00F66337">
        <w:rPr>
          <w:vertAlign w:val="subscript"/>
          <w:lang w:val="en-MY"/>
        </w:rPr>
        <w:t>2</w:t>
      </w:r>
      <w:r w:rsidRPr="00F66337">
        <w:rPr>
          <w:lang w:val="en-MY"/>
        </w:rPr>
        <w:t>-f. The standard cubic fluorite structure of CeO</w:t>
      </w:r>
      <w:r w:rsidRPr="00F66337">
        <w:rPr>
          <w:vertAlign w:val="subscript"/>
          <w:lang w:val="en-MY"/>
        </w:rPr>
        <w:t>2</w:t>
      </w:r>
      <w:r w:rsidRPr="00F66337">
        <w:rPr>
          <w:lang w:val="en-MY"/>
        </w:rPr>
        <w:t xml:space="preserve"> was also observed. For 3Mn1Ce-f, both CeO</w:t>
      </w:r>
      <w:r w:rsidRPr="00F66337">
        <w:rPr>
          <w:vertAlign w:val="subscript"/>
          <w:lang w:val="en-MY"/>
        </w:rPr>
        <w:t>2</w:t>
      </w:r>
      <w:r w:rsidRPr="00F66337">
        <w:rPr>
          <w:lang w:val="en-MY"/>
        </w:rPr>
        <w:t xml:space="preserve"> and manganese species characteristic peaks were detected. As the manganese content decreased (1Mn1Ce and 1Mn3Ce), no MnOx characteristic peaks were found.</w:t>
      </w:r>
    </w:p>
    <w:p w:rsidR="00B206F0" w:rsidRPr="00F66337" w:rsidRDefault="00B206F0" w:rsidP="00CD7AA9">
      <w:pPr>
        <w:pStyle w:val="TAMainText"/>
        <w:ind w:firstLine="0"/>
        <w:rPr>
          <w:lang w:val="en"/>
        </w:rPr>
      </w:pPr>
      <w:r w:rsidRPr="00F66337">
        <w:rPr>
          <w:lang w:val="en-MY"/>
        </w:rPr>
        <w:t>The XRD patterns of the MnOx-CeO</w:t>
      </w:r>
      <w:r w:rsidRPr="00F66337">
        <w:rPr>
          <w:vertAlign w:val="subscript"/>
          <w:lang w:val="en-MY"/>
        </w:rPr>
        <w:t>2</w:t>
      </w:r>
      <w:r w:rsidRPr="00F66337">
        <w:rPr>
          <w:lang w:val="en-MY"/>
        </w:rPr>
        <w:t xml:space="preserve"> catalysts after the hydrothermal treatment are presented in </w:t>
      </w:r>
      <w:r w:rsidRPr="00F66337">
        <w:rPr>
          <w:b/>
          <w:bCs/>
          <w:lang w:val="en-MY"/>
        </w:rPr>
        <w:t>Figure S7b</w:t>
      </w:r>
      <w:r w:rsidRPr="00F66337">
        <w:rPr>
          <w:lang w:val="en-MY"/>
        </w:rPr>
        <w:t>. The pure MnO</w:t>
      </w:r>
      <w:r w:rsidRPr="00F66337">
        <w:rPr>
          <w:vertAlign w:val="subscript"/>
          <w:lang w:val="en-MY"/>
        </w:rPr>
        <w:t>2</w:t>
      </w:r>
      <w:r w:rsidRPr="00F66337">
        <w:rPr>
          <w:lang w:val="en-MY"/>
        </w:rPr>
        <w:t xml:space="preserve"> transformed into pure cryptomelane, and the increased peak intensity suggests the agglomeration of MnOx particles. The post-hydrothermal pure CeO</w:t>
      </w:r>
      <w:r w:rsidRPr="00F66337">
        <w:rPr>
          <w:vertAlign w:val="subscript"/>
          <w:lang w:val="en-MY"/>
        </w:rPr>
        <w:t>2</w:t>
      </w:r>
      <w:r w:rsidRPr="00F66337">
        <w:rPr>
          <w:lang w:val="en-MY"/>
        </w:rPr>
        <w:t xml:space="preserve"> and MnOx-CeO</w:t>
      </w:r>
      <w:r w:rsidRPr="00F66337">
        <w:rPr>
          <w:vertAlign w:val="subscript"/>
          <w:lang w:val="en-MY"/>
        </w:rPr>
        <w:t>2</w:t>
      </w:r>
      <w:r w:rsidRPr="00F66337">
        <w:rPr>
          <w:lang w:val="en-MY"/>
        </w:rPr>
        <w:t xml:space="preserve"> catalysts retained the characteristic peaks of CeO</w:t>
      </w:r>
      <w:r w:rsidRPr="00F66337">
        <w:rPr>
          <w:vertAlign w:val="subscript"/>
          <w:lang w:val="en-MY"/>
        </w:rPr>
        <w:t>2</w:t>
      </w:r>
      <w:r w:rsidRPr="00F66337">
        <w:rPr>
          <w:lang w:val="en-MY"/>
        </w:rPr>
        <w:t xml:space="preserve"> with sharper diffraction peaks, indicating an increase in particle size. However, 1Mn1Ce-h only showed a low-intensity diffraction peak belonging to Mn</w:t>
      </w:r>
      <w:r w:rsidRPr="00F66337">
        <w:rPr>
          <w:vertAlign w:val="subscript"/>
          <w:lang w:val="en-MY"/>
        </w:rPr>
        <w:t>3</w:t>
      </w:r>
      <w:r w:rsidRPr="00F66337">
        <w:rPr>
          <w:lang w:val="en-MY"/>
        </w:rPr>
        <w:t>O</w:t>
      </w:r>
      <w:r w:rsidRPr="00F66337">
        <w:rPr>
          <w:vertAlign w:val="subscript"/>
          <w:lang w:val="en-MY"/>
        </w:rPr>
        <w:t>4</w:t>
      </w:r>
      <w:r w:rsidRPr="00F66337">
        <w:rPr>
          <w:lang w:val="en-MY"/>
        </w:rPr>
        <w:t>, while 3Mn1Ce-h showed significantly more peaks related to KMn</w:t>
      </w:r>
      <w:r w:rsidRPr="00F66337">
        <w:rPr>
          <w:vertAlign w:val="subscript"/>
          <w:lang w:val="en-MY"/>
        </w:rPr>
        <w:t>8</w:t>
      </w:r>
      <w:r w:rsidRPr="00F66337">
        <w:rPr>
          <w:lang w:val="en-MY"/>
        </w:rPr>
        <w:t>O</w:t>
      </w:r>
      <w:r w:rsidRPr="00F66337">
        <w:rPr>
          <w:vertAlign w:val="subscript"/>
          <w:lang w:val="en-MY"/>
        </w:rPr>
        <w:t>16</w:t>
      </w:r>
      <w:r w:rsidRPr="00F66337">
        <w:rPr>
          <w:lang w:val="en-MY"/>
        </w:rPr>
        <w:t>.</w:t>
      </w:r>
    </w:p>
    <w:p w:rsidR="00B206F0" w:rsidRPr="00F66337" w:rsidRDefault="00B206F0" w:rsidP="00CD7AA9">
      <w:pPr>
        <w:pStyle w:val="TAMainText"/>
        <w:ind w:firstLine="0"/>
        <w:rPr>
          <w:bCs/>
        </w:rPr>
      </w:pPr>
      <w:r w:rsidRPr="00F66337">
        <w:rPr>
          <w:bCs/>
          <w:lang w:val="en-MY"/>
        </w:rPr>
        <w:lastRenderedPageBreak/>
        <w:t xml:space="preserve">The SEM images of the catalysts before and after hydrothermal treatment are presented in </w:t>
      </w:r>
      <w:r w:rsidRPr="00F66337">
        <w:rPr>
          <w:b/>
          <w:lang w:val="en-MY"/>
        </w:rPr>
        <w:t>Figure S8</w:t>
      </w:r>
      <w:r w:rsidRPr="00F66337">
        <w:rPr>
          <w:bCs/>
          <w:lang w:val="en-MY"/>
        </w:rPr>
        <w:t>. The surface morphologies of the MnOx-CeO</w:t>
      </w:r>
      <w:r w:rsidRPr="00F66337">
        <w:rPr>
          <w:bCs/>
          <w:vertAlign w:val="subscript"/>
          <w:lang w:val="en-MY"/>
        </w:rPr>
        <w:t>2</w:t>
      </w:r>
      <w:r w:rsidRPr="00F66337">
        <w:rPr>
          <w:bCs/>
          <w:lang w:val="en-MY"/>
        </w:rPr>
        <w:t xml:space="preserve"> catalysts were found to be influenced by the Mn/Ce molar ratios. MnO</w:t>
      </w:r>
      <w:r w:rsidRPr="00F66337">
        <w:rPr>
          <w:bCs/>
          <w:vertAlign w:val="subscript"/>
          <w:lang w:val="en-MY"/>
        </w:rPr>
        <w:t>2</w:t>
      </w:r>
      <w:r w:rsidRPr="00F66337">
        <w:rPr>
          <w:bCs/>
          <w:lang w:val="en-MY"/>
        </w:rPr>
        <w:t>-f had spherical flower-like shapes which sintered and collapsed into smooth rods and flakes after the hydrothermal treatment. CeO</w:t>
      </w:r>
      <w:r w:rsidRPr="00F66337">
        <w:rPr>
          <w:bCs/>
          <w:vertAlign w:val="subscript"/>
          <w:lang w:val="en-MY"/>
        </w:rPr>
        <w:t>2</w:t>
      </w:r>
      <w:r w:rsidRPr="00F66337">
        <w:rPr>
          <w:bCs/>
          <w:lang w:val="en-MY"/>
        </w:rPr>
        <w:t>-f exhibited stacked thin layers that transformed into uneven agglomerated blocks (CeO</w:t>
      </w:r>
      <w:r w:rsidRPr="00F66337">
        <w:rPr>
          <w:bCs/>
          <w:vertAlign w:val="subscript"/>
          <w:lang w:val="en-MY"/>
        </w:rPr>
        <w:t>2</w:t>
      </w:r>
      <w:r w:rsidRPr="00F66337">
        <w:rPr>
          <w:bCs/>
          <w:lang w:val="en-MY"/>
        </w:rPr>
        <w:t>-h). On the other hand, 3Mn1Ce-f had uniformly dispersed cotton-like shapes comprising loosely packed, small particles that aggregated into particles for 3Mn1Ce-h. The morphology of 1Mn1Ce-f (</w:t>
      </w:r>
      <w:r w:rsidRPr="00F66337">
        <w:rPr>
          <w:b/>
          <w:lang w:val="en-MY"/>
        </w:rPr>
        <w:t>Figure S2</w:t>
      </w:r>
      <w:r w:rsidRPr="00F66337">
        <w:rPr>
          <w:bCs/>
          <w:lang w:val="en-MY"/>
        </w:rPr>
        <w:t>) showed flakes and cotton-like shapes which shrank and mildly agglomerated during the hydrothermal treatment. For the 1Mn3Ce-f catalyst, thick cotton-like structures were observed, and the hydrothermal treatment caused them to sinter and agglomerate into rough globs with large particles stacked together. Overall, MnO</w:t>
      </w:r>
      <w:r w:rsidRPr="00F66337">
        <w:rPr>
          <w:bCs/>
          <w:vertAlign w:val="subscript"/>
          <w:lang w:val="en-MY"/>
        </w:rPr>
        <w:t>2</w:t>
      </w:r>
      <w:r w:rsidRPr="00F66337">
        <w:rPr>
          <w:bCs/>
          <w:lang w:val="en-MY"/>
        </w:rPr>
        <w:t xml:space="preserve"> catalysts were observed to undergo the most significant morphology change during the hydrothermal treatment, while the addition of Ce helped to retain the morphology of the catalysts during the high-temperature hydrothermal process.</w:t>
      </w:r>
    </w:p>
    <w:p w:rsidR="00B206F0" w:rsidRPr="00A75807" w:rsidRDefault="00B206F0" w:rsidP="00CD7AA9">
      <w:pPr>
        <w:pStyle w:val="TAMainText"/>
        <w:ind w:firstLine="0"/>
        <w:rPr>
          <w:iCs/>
          <w:lang w:val="en-MY"/>
        </w:rPr>
      </w:pPr>
      <w:r w:rsidRPr="00A75807">
        <w:rPr>
          <w:iCs/>
          <w:lang w:val="en-MY"/>
        </w:rPr>
        <w:t>The specific surface area and pore size distribution of the catalysts were determined using N</w:t>
      </w:r>
      <w:r w:rsidRPr="00A75807">
        <w:rPr>
          <w:iCs/>
          <w:vertAlign w:val="subscript"/>
          <w:lang w:val="en-MY"/>
        </w:rPr>
        <w:t>2</w:t>
      </w:r>
      <w:r w:rsidRPr="00A75807">
        <w:rPr>
          <w:iCs/>
          <w:lang w:val="en-MY"/>
        </w:rPr>
        <w:t xml:space="preserve"> physical adsorption. </w:t>
      </w:r>
      <w:r w:rsidRPr="00A75807">
        <w:rPr>
          <w:b/>
          <w:bCs/>
          <w:iCs/>
          <w:lang w:val="en-MY"/>
        </w:rPr>
        <w:t>Figure S9</w:t>
      </w:r>
      <w:r w:rsidRPr="00A75807">
        <w:rPr>
          <w:iCs/>
          <w:lang w:val="en-MY"/>
        </w:rPr>
        <w:t xml:space="preserve"> presents the N</w:t>
      </w:r>
      <w:r w:rsidRPr="00A75807">
        <w:rPr>
          <w:iCs/>
          <w:vertAlign w:val="subscript"/>
          <w:lang w:val="en-MY"/>
        </w:rPr>
        <w:t>2</w:t>
      </w:r>
      <w:r w:rsidRPr="00A75807">
        <w:rPr>
          <w:iCs/>
          <w:lang w:val="en-MY"/>
        </w:rPr>
        <w:t xml:space="preserve"> adsorption-desorption isotherms of the MnOx-CeO</w:t>
      </w:r>
      <w:r w:rsidRPr="00A75807">
        <w:rPr>
          <w:iCs/>
          <w:vertAlign w:val="subscript"/>
          <w:lang w:val="en-MY"/>
        </w:rPr>
        <w:t>2</w:t>
      </w:r>
      <w:r w:rsidRPr="00A75807">
        <w:rPr>
          <w:iCs/>
          <w:lang w:val="en-MY"/>
        </w:rPr>
        <w:t xml:space="preserve"> catalysts, while </w:t>
      </w:r>
      <w:r w:rsidRPr="00A75807">
        <w:rPr>
          <w:b/>
          <w:bCs/>
          <w:iCs/>
          <w:lang w:val="en-MY"/>
        </w:rPr>
        <w:t>Table S4</w:t>
      </w:r>
      <w:r w:rsidRPr="00A75807">
        <w:rPr>
          <w:iCs/>
          <w:lang w:val="en-MY"/>
        </w:rPr>
        <w:t xml:space="preserve"> summarizes their corresponding parameters, including the specific surface area and average pore size. All the catalysts displayed the typical characteristics of the type IV isotherm with the H3 hysteresis loop. However, the specific surface area and pore volume of all the treated catalysts were much lower than those of the fresh catalysts, indicating that the catalytic activity was not primarily influenced by the specific surface area and pore structure of the catalysts.</w:t>
      </w:r>
    </w:p>
    <w:p w:rsidR="00B206F0" w:rsidRPr="00A063B3" w:rsidRDefault="00B206F0" w:rsidP="00CD7AA9">
      <w:pPr>
        <w:pStyle w:val="TAMainText"/>
        <w:ind w:firstLine="0"/>
        <w:rPr>
          <w:lang w:val="en"/>
        </w:rPr>
      </w:pPr>
      <w:r w:rsidRPr="00A75807">
        <w:rPr>
          <w:lang w:val="en-MY"/>
        </w:rPr>
        <w:t>H</w:t>
      </w:r>
      <w:r w:rsidRPr="00A75807">
        <w:rPr>
          <w:vertAlign w:val="subscript"/>
          <w:lang w:val="en-MY"/>
        </w:rPr>
        <w:t>2</w:t>
      </w:r>
      <w:r w:rsidRPr="00A75807">
        <w:rPr>
          <w:lang w:val="en-MY"/>
        </w:rPr>
        <w:t>-TPR was used to analyse the redox behaviour of the MnOx-CeO</w:t>
      </w:r>
      <w:r w:rsidRPr="00A75807">
        <w:rPr>
          <w:vertAlign w:val="subscript"/>
          <w:lang w:val="en-MY"/>
        </w:rPr>
        <w:t>2</w:t>
      </w:r>
      <w:r w:rsidRPr="00A75807">
        <w:rPr>
          <w:lang w:val="en-MY"/>
        </w:rPr>
        <w:t xml:space="preserve"> catalysts. The results are shown in </w:t>
      </w:r>
      <w:r w:rsidRPr="00A75807">
        <w:rPr>
          <w:b/>
          <w:bCs/>
          <w:lang w:val="en-MY"/>
        </w:rPr>
        <w:t>Figure S10a</w:t>
      </w:r>
      <w:r w:rsidRPr="00A75807">
        <w:rPr>
          <w:lang w:val="en-MY"/>
        </w:rPr>
        <w:t xml:space="preserve"> for the fresh catalysts. The reduction peak intensity of CeO</w:t>
      </w:r>
      <w:r w:rsidRPr="00A75807">
        <w:rPr>
          <w:vertAlign w:val="subscript"/>
          <w:lang w:val="en-MY"/>
        </w:rPr>
        <w:t>2</w:t>
      </w:r>
      <w:r w:rsidRPr="00A75807">
        <w:rPr>
          <w:lang w:val="en-MY"/>
        </w:rPr>
        <w:t xml:space="preserve"> was much lower than the other catalysts. It was reported by </w:t>
      </w:r>
      <w:proofErr w:type="spellStart"/>
      <w:r w:rsidRPr="00A75807">
        <w:rPr>
          <w:lang w:val="en-MY"/>
        </w:rPr>
        <w:t>Trovarelli</w:t>
      </w:r>
      <w:proofErr w:type="spellEnd"/>
      <w:r>
        <w:rPr>
          <w:lang w:val="en-MY"/>
        </w:rPr>
        <w:t xml:space="preserve"> </w:t>
      </w:r>
      <w:r>
        <w:rPr>
          <w:noProof/>
          <w:lang w:val="en-MY"/>
        </w:rPr>
        <w:t>(Trovarelli 1996)</w:t>
      </w:r>
      <w:r w:rsidRPr="00A75807">
        <w:rPr>
          <w:lang w:val="en-MY"/>
        </w:rPr>
        <w:t xml:space="preserve"> that the low-</w:t>
      </w:r>
      <w:r w:rsidRPr="00A75807">
        <w:rPr>
          <w:lang w:val="en-MY"/>
        </w:rPr>
        <w:lastRenderedPageBreak/>
        <w:t>temperature peak at 446 °C is attributed to the reduction of CeO</w:t>
      </w:r>
      <w:r w:rsidRPr="00A75807">
        <w:rPr>
          <w:vertAlign w:val="subscript"/>
          <w:lang w:val="en-MY"/>
        </w:rPr>
        <w:t>2</w:t>
      </w:r>
      <w:r w:rsidRPr="00A75807">
        <w:rPr>
          <w:lang w:val="en-MY"/>
        </w:rPr>
        <w:t xml:space="preserve"> surface oxygen in CeO</w:t>
      </w:r>
      <w:r w:rsidRPr="00A75807">
        <w:rPr>
          <w:vertAlign w:val="subscript"/>
          <w:lang w:val="en-MY"/>
        </w:rPr>
        <w:t>2</w:t>
      </w:r>
      <w:r w:rsidRPr="00A75807">
        <w:rPr>
          <w:lang w:val="en-MY"/>
        </w:rPr>
        <w:t xml:space="preserve"> catalysts. MnO</w:t>
      </w:r>
      <w:r w:rsidRPr="00A75807">
        <w:rPr>
          <w:vertAlign w:val="subscript"/>
          <w:lang w:val="en-MY"/>
        </w:rPr>
        <w:t>2</w:t>
      </w:r>
      <w:r w:rsidRPr="00A75807">
        <w:rPr>
          <w:lang w:val="en-MY"/>
        </w:rPr>
        <w:t xml:space="preserve"> in its fresh state showed a strong peak at 360 °C and a weak broad peak at 490 °C. When Ce was added to MnO</w:t>
      </w:r>
      <w:r w:rsidRPr="00A75807">
        <w:rPr>
          <w:vertAlign w:val="subscript"/>
          <w:lang w:val="en-MY"/>
        </w:rPr>
        <w:t>2</w:t>
      </w:r>
      <w:r w:rsidRPr="00A75807">
        <w:rPr>
          <w:lang w:val="en-MY"/>
        </w:rPr>
        <w:t xml:space="preserve"> (Mn3Ce1), the main reduction peak of MnO</w:t>
      </w:r>
      <w:r w:rsidRPr="00A75807">
        <w:rPr>
          <w:vertAlign w:val="subscript"/>
          <w:lang w:val="en-MY"/>
        </w:rPr>
        <w:t>2</w:t>
      </w:r>
      <w:r w:rsidRPr="00A75807">
        <w:rPr>
          <w:lang w:val="en-MY"/>
        </w:rPr>
        <w:t xml:space="preserve"> split into two peaks, and the intensity decreased due to the reduction in Mn content. However, increasing the Ce content further to a Mn/Ce ratio of 1 greatly increased the intensity</w:t>
      </w:r>
      <w:r>
        <w:rPr>
          <w:lang w:val="en-MY"/>
        </w:rPr>
        <w:t xml:space="preserve"> of the reduction peak</w:t>
      </w:r>
      <w:r w:rsidRPr="00A75807">
        <w:rPr>
          <w:lang w:val="en-MY"/>
        </w:rPr>
        <w:t>, making it the highest among the MnCe catalysts. This indicates that the synergistic effect between Mn and Ce played a significant role in the reduction of MnOx.</w:t>
      </w:r>
    </w:p>
    <w:p w:rsidR="00B206F0" w:rsidRPr="00A063B3" w:rsidRDefault="00B206F0" w:rsidP="00CD7AA9">
      <w:pPr>
        <w:pStyle w:val="TAMainText"/>
        <w:ind w:firstLine="0"/>
        <w:rPr>
          <w:lang w:val="en"/>
        </w:rPr>
      </w:pPr>
      <w:r w:rsidRPr="00A75807">
        <w:rPr>
          <w:lang w:val="en-MY"/>
        </w:rPr>
        <w:t>The H</w:t>
      </w:r>
      <w:r w:rsidRPr="00A75807">
        <w:rPr>
          <w:vertAlign w:val="subscript"/>
          <w:lang w:val="en-MY"/>
        </w:rPr>
        <w:t>2</w:t>
      </w:r>
      <w:r w:rsidRPr="00A75807">
        <w:rPr>
          <w:lang w:val="en-MY"/>
        </w:rPr>
        <w:t>-TPR curves of the MnOx-CeO</w:t>
      </w:r>
      <w:r w:rsidRPr="00A75807">
        <w:rPr>
          <w:vertAlign w:val="subscript"/>
          <w:lang w:val="en-MY"/>
        </w:rPr>
        <w:t>2</w:t>
      </w:r>
      <w:r w:rsidRPr="00A75807">
        <w:rPr>
          <w:lang w:val="en-MY"/>
        </w:rPr>
        <w:t xml:space="preserve"> catalysts after the high-temperature hydrothermal treatment are presented in </w:t>
      </w:r>
      <w:r w:rsidRPr="00A75807">
        <w:rPr>
          <w:b/>
          <w:bCs/>
          <w:lang w:val="en-MY"/>
        </w:rPr>
        <w:t>Figure S10b</w:t>
      </w:r>
      <w:r w:rsidRPr="00A75807">
        <w:rPr>
          <w:lang w:val="en-MY"/>
        </w:rPr>
        <w:t>. The reduction peak shape of MnO</w:t>
      </w:r>
      <w:r w:rsidRPr="00A75807">
        <w:rPr>
          <w:vertAlign w:val="subscript"/>
          <w:lang w:val="en-MY"/>
        </w:rPr>
        <w:t>2</w:t>
      </w:r>
      <w:r w:rsidRPr="00A75807">
        <w:rPr>
          <w:lang w:val="en-MY"/>
        </w:rPr>
        <w:t>-h at low temperature was comparable to that of the corresponding fresh catalysts, but the peaks shifted to a higher temperature (443 °C). This shift may be due to the conversion of MnO</w:t>
      </w:r>
      <w:r w:rsidRPr="00A75807">
        <w:rPr>
          <w:vertAlign w:val="subscript"/>
          <w:lang w:val="en-MY"/>
        </w:rPr>
        <w:t>2</w:t>
      </w:r>
      <w:r w:rsidRPr="00A75807">
        <w:rPr>
          <w:lang w:val="en-MY"/>
        </w:rPr>
        <w:t xml:space="preserve"> into cryptomelane during the hydrothermal process. CeO</w:t>
      </w:r>
      <w:r w:rsidRPr="00A75807">
        <w:rPr>
          <w:vertAlign w:val="subscript"/>
          <w:lang w:val="en-MY"/>
        </w:rPr>
        <w:t>2</w:t>
      </w:r>
      <w:r w:rsidRPr="00A75807">
        <w:rPr>
          <w:lang w:val="en-MY"/>
        </w:rPr>
        <w:t>-h and 1Mn3Ce-h almost did not show any reduction peaks in the range of 100 ℃~700 ℃. 3Mn1Ce-h exhibited a weak peak at 300 °C and a reduction peak at 408 ℃, while 1Mn1Ce-h displayed a small broad peak at 280 ℃ and a reduction peak at 416 ℃, which had the highest intensity among all the treated catalysts. The peak at 416 °C was likely due to the reduction of Mn</w:t>
      </w:r>
      <w:r w:rsidRPr="00A75807">
        <w:rPr>
          <w:vertAlign w:val="subscript"/>
          <w:lang w:val="en-MY"/>
        </w:rPr>
        <w:t>3</w:t>
      </w:r>
      <w:r w:rsidRPr="00A75807">
        <w:rPr>
          <w:lang w:val="en-MY"/>
        </w:rPr>
        <w:t>O</w:t>
      </w:r>
      <w:r w:rsidRPr="00A75807">
        <w:rPr>
          <w:vertAlign w:val="subscript"/>
          <w:lang w:val="en-MY"/>
        </w:rPr>
        <w:t>4</w:t>
      </w:r>
      <w:r w:rsidRPr="00A75807">
        <w:rPr>
          <w:lang w:val="en-MY"/>
        </w:rPr>
        <w:t>, which had a strong interaction with Ce.</w:t>
      </w:r>
      <w:r w:rsidRPr="00A063B3">
        <w:rPr>
          <w:lang w:val="en"/>
        </w:rPr>
        <w:t xml:space="preserve"> </w:t>
      </w:r>
      <w:bookmarkStart w:id="11" w:name="_Hlk106360073"/>
    </w:p>
    <w:bookmarkEnd w:id="11"/>
    <w:p w:rsidR="00B206F0" w:rsidRPr="00872131" w:rsidRDefault="00B206F0" w:rsidP="003D0429">
      <w:pPr>
        <w:pStyle w:val="TAMainText"/>
        <w:spacing w:after="240"/>
        <w:ind w:firstLine="204"/>
        <w:rPr>
          <w:lang w:eastAsia="zh-CN"/>
        </w:rPr>
      </w:pPr>
    </w:p>
    <w:p w:rsidR="00B206F0" w:rsidRPr="00CB19F7" w:rsidRDefault="00B206F0" w:rsidP="004B3934">
      <w:pPr>
        <w:spacing w:after="240" w:line="480" w:lineRule="auto"/>
        <w:ind w:firstLine="202"/>
        <w:rPr>
          <w:rFonts w:ascii="Times" w:eastAsia="SimSun" w:hAnsi="Times" w:cs="Times New Roman"/>
          <w:sz w:val="24"/>
          <w:szCs w:val="20"/>
          <w:lang w:val="en-US"/>
        </w:rPr>
      </w:pPr>
    </w:p>
    <w:bookmarkEnd w:id="9"/>
    <w:bookmarkEnd w:id="10"/>
    <w:p w:rsidR="00B206F0" w:rsidRPr="00A063B3" w:rsidRDefault="00B206F0" w:rsidP="008E7911">
      <w:pPr>
        <w:pStyle w:val="TAMainText"/>
        <w:spacing w:after="240"/>
        <w:jc w:val="left"/>
        <w:rPr>
          <w:lang w:val="en"/>
        </w:rPr>
      </w:pPr>
      <w:r w:rsidRPr="00A063B3">
        <w:rPr>
          <w:noProof/>
        </w:rPr>
        <w:lastRenderedPageBreak/>
        <w:drawing>
          <wp:inline distT="0" distB="0" distL="0" distR="0" wp14:anchorId="1DAB0916" wp14:editId="4588496A">
            <wp:extent cx="5274000" cy="690113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12.tif"/>
                    <pic:cNvPicPr/>
                  </pic:nvPicPr>
                  <pic:blipFill rotWithShape="1">
                    <a:blip r:embed="rId14" cstate="print">
                      <a:extLst>
                        <a:ext uri="{28A0092B-C50C-407E-A947-70E740481C1C}">
                          <a14:useLocalDpi xmlns:a14="http://schemas.microsoft.com/office/drawing/2010/main" val="0"/>
                        </a:ext>
                      </a:extLst>
                    </a:blip>
                    <a:srcRect l="4479" r="4791"/>
                    <a:stretch/>
                  </pic:blipFill>
                  <pic:spPr bwMode="auto">
                    <a:xfrm>
                      <a:off x="0" y="0"/>
                      <a:ext cx="5274000" cy="6901130"/>
                    </a:xfrm>
                    <a:prstGeom prst="rect">
                      <a:avLst/>
                    </a:prstGeom>
                    <a:ln>
                      <a:noFill/>
                    </a:ln>
                    <a:extLst>
                      <a:ext uri="{53640926-AAD7-44D8-BBD7-CCE9431645EC}">
                        <a14:shadowObscured xmlns:a14="http://schemas.microsoft.com/office/drawing/2010/main"/>
                      </a:ext>
                    </a:extLst>
                  </pic:spPr>
                </pic:pic>
              </a:graphicData>
            </a:graphic>
          </wp:inline>
        </w:drawing>
      </w:r>
    </w:p>
    <w:p w:rsidR="00B206F0" w:rsidRPr="00A66233" w:rsidRDefault="00B206F0" w:rsidP="008E7911">
      <w:pPr>
        <w:rPr>
          <w:rFonts w:ascii="Times New Roman" w:hAnsi="Times New Roman" w:cs="Times New Roman"/>
          <w:sz w:val="24"/>
          <w:lang w:val="en-US"/>
        </w:rPr>
      </w:pPr>
      <w:r w:rsidRPr="00A66233">
        <w:rPr>
          <w:rFonts w:ascii="Times New Roman" w:hAnsi="Times New Roman" w:cs="Times New Roman"/>
          <w:b/>
          <w:bCs/>
          <w:sz w:val="24"/>
          <w:lang w:val="en"/>
        </w:rPr>
        <w:t>Figure</w:t>
      </w:r>
      <w:r w:rsidRPr="00A66233">
        <w:rPr>
          <w:rFonts w:ascii="Times New Roman" w:hAnsi="Times New Roman" w:cs="Times New Roman"/>
          <w:b/>
          <w:bCs/>
          <w:sz w:val="24"/>
          <w:lang w:val="en-US"/>
        </w:rPr>
        <w:t xml:space="preserve"> S11</w:t>
      </w:r>
      <w:r w:rsidRPr="00A66233">
        <w:rPr>
          <w:rFonts w:ascii="Times New Roman" w:hAnsi="Times New Roman" w:cs="Times New Roman"/>
          <w:b/>
          <w:bCs/>
          <w:sz w:val="24"/>
          <w:lang w:val="en"/>
        </w:rPr>
        <w:t>.</w:t>
      </w:r>
      <w:r w:rsidRPr="00A66233">
        <w:rPr>
          <w:rFonts w:ascii="Times New Roman" w:hAnsi="Times New Roman" w:cs="Times New Roman"/>
          <w:bCs/>
          <w:sz w:val="24"/>
          <w:lang w:val="en"/>
        </w:rPr>
        <w:t xml:space="preserve"> XPS spectra of</w:t>
      </w:r>
      <w:r w:rsidRPr="00A66233">
        <w:rPr>
          <w:rFonts w:ascii="Times New Roman" w:hAnsi="Times New Roman" w:cs="Times New Roman"/>
          <w:bCs/>
          <w:sz w:val="24"/>
          <w:vertAlign w:val="subscript"/>
          <w:lang w:val="en"/>
        </w:rPr>
        <w:t xml:space="preserve"> </w:t>
      </w:r>
      <w:r w:rsidRPr="00A66233">
        <w:rPr>
          <w:rFonts w:ascii="Times New Roman" w:hAnsi="Times New Roman" w:cs="Times New Roman"/>
          <w:bCs/>
          <w:sz w:val="24"/>
          <w:lang w:val="en"/>
        </w:rPr>
        <w:t>catalysts prepared by redox-precipitation method with different Mn/Ce ratio: (a, c, e) fresh catalyst; (b, d, f) after the hydrothermal treatment.</w:t>
      </w:r>
    </w:p>
    <w:p w:rsidR="00B206F0" w:rsidRDefault="00B206F0" w:rsidP="008E7911">
      <w:pPr>
        <w:rPr>
          <w:lang w:val="en-US"/>
        </w:rPr>
      </w:pPr>
    </w:p>
    <w:p w:rsidR="00B206F0" w:rsidRDefault="00B206F0" w:rsidP="008E7911">
      <w:pPr>
        <w:rPr>
          <w:lang w:val="en-US"/>
        </w:rPr>
      </w:pPr>
    </w:p>
    <w:p w:rsidR="00B206F0" w:rsidRDefault="00B206F0" w:rsidP="008E7911">
      <w:pPr>
        <w:rPr>
          <w:lang w:val="en-US"/>
        </w:rPr>
      </w:pPr>
    </w:p>
    <w:p w:rsidR="00B206F0" w:rsidRPr="004B3934" w:rsidRDefault="00B206F0" w:rsidP="008E7911">
      <w:pPr>
        <w:rPr>
          <w:lang w:val="en-US"/>
        </w:rPr>
      </w:pPr>
    </w:p>
    <w:p w:rsidR="00B206F0" w:rsidRPr="004B3934" w:rsidRDefault="00B206F0" w:rsidP="004B3934">
      <w:pPr>
        <w:spacing w:after="240" w:line="480" w:lineRule="auto"/>
        <w:rPr>
          <w:rFonts w:ascii="Times" w:eastAsia="SimSun" w:hAnsi="Times" w:cs="Times New Roman"/>
          <w:b/>
          <w:bCs/>
          <w:sz w:val="24"/>
          <w:szCs w:val="20"/>
          <w:lang w:val="en" w:eastAsia="en-US"/>
        </w:rPr>
      </w:pPr>
      <w:r w:rsidRPr="004B3934">
        <w:rPr>
          <w:rFonts w:ascii="Times" w:eastAsia="SimSun" w:hAnsi="Times" w:cs="Times New Roman"/>
          <w:b/>
          <w:bCs/>
          <w:sz w:val="24"/>
          <w:szCs w:val="20"/>
          <w:lang w:val="en" w:eastAsia="en-US"/>
        </w:rPr>
        <w:lastRenderedPageBreak/>
        <w:t xml:space="preserve">Table </w:t>
      </w:r>
      <w:r>
        <w:rPr>
          <w:rFonts w:ascii="Times" w:eastAsia="SimSun" w:hAnsi="Times" w:cs="Times New Roman"/>
          <w:b/>
          <w:bCs/>
          <w:sz w:val="24"/>
          <w:szCs w:val="20"/>
          <w:lang w:val="en" w:eastAsia="en-US"/>
        </w:rPr>
        <w:t>S5</w:t>
      </w:r>
      <w:r w:rsidRPr="004B3934">
        <w:rPr>
          <w:rFonts w:ascii="Times" w:eastAsia="SimSun" w:hAnsi="Times" w:cs="Times New Roman"/>
          <w:b/>
          <w:bCs/>
          <w:sz w:val="24"/>
          <w:szCs w:val="20"/>
          <w:lang w:val="en" w:eastAsia="en-US"/>
        </w:rPr>
        <w:t xml:space="preserve"> </w:t>
      </w:r>
      <w:r w:rsidRPr="004B3934">
        <w:rPr>
          <w:rFonts w:ascii="Times" w:eastAsia="SimSun" w:hAnsi="Times" w:cs="Times New Roman"/>
          <w:bCs/>
          <w:sz w:val="24"/>
          <w:szCs w:val="20"/>
          <w:lang w:val="en" w:eastAsia="en-US"/>
        </w:rPr>
        <w:t>Relative percentage content of surface valence states of different catalysts.</w:t>
      </w:r>
    </w:p>
    <w:tbl>
      <w:tblPr>
        <w:tblStyle w:val="TableGrid4"/>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2199"/>
        <w:gridCol w:w="2359"/>
        <w:gridCol w:w="2565"/>
      </w:tblGrid>
      <w:tr w:rsidR="00B206F0" w:rsidRPr="004B3934" w:rsidTr="00A75807">
        <w:trPr>
          <w:trHeight w:val="506"/>
        </w:trPr>
        <w:tc>
          <w:tcPr>
            <w:tcW w:w="0" w:type="auto"/>
            <w:tcBorders>
              <w:top w:val="single" w:sz="12" w:space="0" w:color="auto"/>
              <w:bottom w:val="single" w:sz="4" w:space="0" w:color="auto"/>
            </w:tcBorders>
            <w:vAlign w:val="center"/>
          </w:tcPr>
          <w:p w:rsidR="00B206F0" w:rsidRPr="004B3934" w:rsidRDefault="00B206F0" w:rsidP="00A75807">
            <w:pPr>
              <w:ind w:firstLine="204"/>
              <w:jc w:val="center"/>
              <w:rPr>
                <w:rFonts w:ascii="Times" w:eastAsia="SimSun" w:hAnsi="Times" w:cs="Times New Roman"/>
                <w:b/>
                <w:bCs/>
                <w:sz w:val="24"/>
                <w:szCs w:val="20"/>
                <w:lang w:val="en-US" w:eastAsia="en-US"/>
              </w:rPr>
            </w:pPr>
            <w:r w:rsidRPr="004B3934">
              <w:rPr>
                <w:rFonts w:ascii="Times" w:eastAsia="SimSun" w:hAnsi="Times" w:cs="Times New Roman"/>
                <w:b/>
                <w:bCs/>
                <w:sz w:val="24"/>
                <w:szCs w:val="20"/>
                <w:lang w:val="en-US" w:eastAsia="en-US"/>
              </w:rPr>
              <w:t>Catalysts</w:t>
            </w:r>
          </w:p>
        </w:tc>
        <w:tc>
          <w:tcPr>
            <w:tcW w:w="0" w:type="auto"/>
            <w:tcBorders>
              <w:top w:val="single" w:sz="12" w:space="0" w:color="auto"/>
              <w:bottom w:val="single" w:sz="4" w:space="0" w:color="auto"/>
            </w:tcBorders>
            <w:vAlign w:val="center"/>
          </w:tcPr>
          <w:p w:rsidR="00B206F0" w:rsidRPr="004B3934" w:rsidRDefault="00B206F0" w:rsidP="00A75807">
            <w:pPr>
              <w:ind w:firstLine="204"/>
              <w:jc w:val="center"/>
              <w:rPr>
                <w:rFonts w:ascii="Times" w:eastAsia="SimSun" w:hAnsi="Times" w:cs="Times New Roman"/>
                <w:b/>
                <w:bCs/>
                <w:sz w:val="24"/>
                <w:szCs w:val="20"/>
                <w:lang w:val="en-US" w:eastAsia="en-US"/>
              </w:rPr>
            </w:pPr>
            <w:r w:rsidRPr="004B3934">
              <w:rPr>
                <w:rFonts w:ascii="Times" w:eastAsia="SimSun" w:hAnsi="Times" w:cs="Times New Roman"/>
                <w:b/>
                <w:bCs/>
                <w:sz w:val="24"/>
                <w:szCs w:val="20"/>
                <w:lang w:val="en-US" w:eastAsia="en-US"/>
              </w:rPr>
              <w:t>Ce</w:t>
            </w:r>
            <w:r w:rsidRPr="004B3934">
              <w:rPr>
                <w:rFonts w:ascii="Times" w:eastAsia="SimSun" w:hAnsi="Times" w:cs="Times New Roman"/>
                <w:b/>
                <w:bCs/>
                <w:sz w:val="24"/>
                <w:szCs w:val="20"/>
                <w:vertAlign w:val="superscript"/>
                <w:lang w:val="en-US" w:eastAsia="en-US"/>
              </w:rPr>
              <w:t>3+</w:t>
            </w:r>
            <w:r w:rsidRPr="004B3934">
              <w:rPr>
                <w:rFonts w:ascii="Times" w:eastAsia="SimSun" w:hAnsi="Times" w:cs="Times New Roman"/>
                <w:b/>
                <w:bCs/>
                <w:sz w:val="24"/>
                <w:szCs w:val="20"/>
                <w:lang w:val="en-US" w:eastAsia="en-US"/>
              </w:rPr>
              <w:t>/</w:t>
            </w:r>
          </w:p>
          <w:p w:rsidR="00B206F0" w:rsidRPr="004B3934" w:rsidRDefault="00B206F0" w:rsidP="00A75807">
            <w:pPr>
              <w:ind w:firstLine="204"/>
              <w:jc w:val="center"/>
              <w:rPr>
                <w:rFonts w:ascii="Times" w:eastAsia="SimSun" w:hAnsi="Times" w:cs="Times New Roman"/>
                <w:b/>
                <w:bCs/>
                <w:sz w:val="24"/>
                <w:szCs w:val="20"/>
                <w:vertAlign w:val="superscript"/>
                <w:lang w:val="en-US" w:eastAsia="en-US"/>
              </w:rPr>
            </w:pPr>
            <w:r w:rsidRPr="004B3934">
              <w:rPr>
                <w:rFonts w:ascii="Times" w:eastAsia="SimSun" w:hAnsi="Times" w:cs="Times New Roman"/>
                <w:b/>
                <w:bCs/>
                <w:sz w:val="24"/>
                <w:szCs w:val="20"/>
                <w:lang w:val="en-US" w:eastAsia="en-US"/>
              </w:rPr>
              <w:t>(Ce</w:t>
            </w:r>
            <w:r w:rsidRPr="004B3934">
              <w:rPr>
                <w:rFonts w:ascii="Times" w:eastAsia="SimSun" w:hAnsi="Times" w:cs="Times New Roman"/>
                <w:b/>
                <w:bCs/>
                <w:sz w:val="24"/>
                <w:szCs w:val="20"/>
                <w:vertAlign w:val="superscript"/>
                <w:lang w:val="en-US" w:eastAsia="en-US"/>
              </w:rPr>
              <w:t>3+</w:t>
            </w:r>
            <w:r w:rsidRPr="004B3934">
              <w:rPr>
                <w:rFonts w:ascii="Times" w:eastAsia="SimSun" w:hAnsi="Times" w:cs="Times New Roman"/>
                <w:b/>
                <w:bCs/>
                <w:sz w:val="24"/>
                <w:szCs w:val="20"/>
                <w:lang w:val="en-US" w:eastAsia="en-US"/>
              </w:rPr>
              <w:t xml:space="preserve"> + Ce</w:t>
            </w:r>
            <w:r w:rsidRPr="004B3934">
              <w:rPr>
                <w:rFonts w:ascii="Times" w:eastAsia="SimSun" w:hAnsi="Times" w:cs="Times New Roman"/>
                <w:b/>
                <w:bCs/>
                <w:sz w:val="24"/>
                <w:szCs w:val="20"/>
                <w:vertAlign w:val="superscript"/>
                <w:lang w:val="en-US" w:eastAsia="en-US"/>
              </w:rPr>
              <w:t>4+</w:t>
            </w:r>
            <w:r w:rsidRPr="004B3934">
              <w:rPr>
                <w:rFonts w:ascii="Times" w:eastAsia="SimSun" w:hAnsi="Times" w:cs="Times New Roman"/>
                <w:b/>
                <w:bCs/>
                <w:sz w:val="24"/>
                <w:szCs w:val="20"/>
                <w:lang w:val="en-US" w:eastAsia="en-US"/>
              </w:rPr>
              <w:t>) (%)</w:t>
            </w:r>
          </w:p>
        </w:tc>
        <w:tc>
          <w:tcPr>
            <w:tcW w:w="0" w:type="auto"/>
            <w:tcBorders>
              <w:top w:val="single" w:sz="12" w:space="0" w:color="auto"/>
              <w:bottom w:val="single" w:sz="4" w:space="0" w:color="auto"/>
            </w:tcBorders>
            <w:vAlign w:val="center"/>
          </w:tcPr>
          <w:p w:rsidR="00B206F0" w:rsidRPr="004B3934" w:rsidRDefault="00B206F0" w:rsidP="00A75807">
            <w:pPr>
              <w:ind w:firstLine="204"/>
              <w:jc w:val="center"/>
              <w:rPr>
                <w:rFonts w:ascii="Times" w:eastAsia="SimSun" w:hAnsi="Times" w:cs="Times New Roman"/>
                <w:b/>
                <w:bCs/>
                <w:sz w:val="24"/>
                <w:szCs w:val="20"/>
                <w:lang w:val="en-US" w:eastAsia="en-US"/>
              </w:rPr>
            </w:pPr>
            <w:r w:rsidRPr="004B3934">
              <w:rPr>
                <w:rFonts w:ascii="Times" w:eastAsia="SimSun" w:hAnsi="Times" w:cs="Times New Roman"/>
                <w:b/>
                <w:bCs/>
                <w:sz w:val="24"/>
                <w:szCs w:val="20"/>
                <w:lang w:val="en-US" w:eastAsia="en-US"/>
              </w:rPr>
              <w:t>Mn</w:t>
            </w:r>
            <w:r w:rsidRPr="004B3934">
              <w:rPr>
                <w:rFonts w:ascii="Times" w:eastAsia="SimSun" w:hAnsi="Times" w:cs="Times New Roman"/>
                <w:b/>
                <w:bCs/>
                <w:sz w:val="24"/>
                <w:szCs w:val="20"/>
                <w:vertAlign w:val="superscript"/>
                <w:lang w:val="en-US" w:eastAsia="en-US"/>
              </w:rPr>
              <w:t>4+</w:t>
            </w:r>
            <w:r w:rsidRPr="004B3934">
              <w:rPr>
                <w:rFonts w:ascii="Times" w:eastAsia="SimSun" w:hAnsi="Times" w:cs="Times New Roman"/>
                <w:b/>
                <w:bCs/>
                <w:sz w:val="24"/>
                <w:szCs w:val="20"/>
                <w:lang w:val="en-US" w:eastAsia="en-US"/>
              </w:rPr>
              <w:t>/</w:t>
            </w:r>
          </w:p>
          <w:p w:rsidR="00B206F0" w:rsidRPr="004B3934" w:rsidRDefault="00B206F0" w:rsidP="00A75807">
            <w:pPr>
              <w:ind w:firstLine="204"/>
              <w:jc w:val="center"/>
              <w:rPr>
                <w:rFonts w:ascii="Times" w:eastAsia="SimSun" w:hAnsi="Times" w:cs="Times New Roman"/>
                <w:b/>
                <w:bCs/>
                <w:sz w:val="24"/>
                <w:szCs w:val="20"/>
                <w:vertAlign w:val="superscript"/>
                <w:lang w:val="en-US" w:eastAsia="en-US"/>
              </w:rPr>
            </w:pPr>
            <w:r w:rsidRPr="004B3934">
              <w:rPr>
                <w:rFonts w:ascii="Times" w:eastAsia="SimSun" w:hAnsi="Times" w:cs="Times New Roman"/>
                <w:b/>
                <w:bCs/>
                <w:sz w:val="24"/>
                <w:szCs w:val="20"/>
                <w:lang w:val="en-US" w:eastAsia="en-US"/>
              </w:rPr>
              <w:t>(Mn</w:t>
            </w:r>
            <w:r w:rsidRPr="004B3934">
              <w:rPr>
                <w:rFonts w:ascii="Times" w:eastAsia="SimSun" w:hAnsi="Times" w:cs="Times New Roman"/>
                <w:b/>
                <w:bCs/>
                <w:sz w:val="24"/>
                <w:szCs w:val="20"/>
                <w:vertAlign w:val="superscript"/>
                <w:lang w:val="en-US" w:eastAsia="en-US"/>
              </w:rPr>
              <w:t>4+</w:t>
            </w:r>
            <w:r w:rsidRPr="004B3934">
              <w:rPr>
                <w:rFonts w:ascii="Times" w:eastAsia="SimSun" w:hAnsi="Times" w:cs="Times New Roman"/>
                <w:b/>
                <w:bCs/>
                <w:sz w:val="24"/>
                <w:szCs w:val="20"/>
                <w:lang w:val="en-US" w:eastAsia="en-US"/>
              </w:rPr>
              <w:t xml:space="preserve"> + Mn</w:t>
            </w:r>
            <w:r w:rsidRPr="004B3934">
              <w:rPr>
                <w:rFonts w:ascii="Times" w:eastAsia="SimSun" w:hAnsi="Times" w:cs="Times New Roman"/>
                <w:b/>
                <w:bCs/>
                <w:sz w:val="24"/>
                <w:szCs w:val="20"/>
                <w:vertAlign w:val="superscript"/>
                <w:lang w:val="en-US" w:eastAsia="en-US"/>
              </w:rPr>
              <w:t>3+</w:t>
            </w:r>
            <w:r w:rsidRPr="004B3934">
              <w:rPr>
                <w:rFonts w:ascii="Times" w:eastAsia="SimSun" w:hAnsi="Times" w:cs="Times New Roman"/>
                <w:b/>
                <w:bCs/>
                <w:sz w:val="24"/>
                <w:szCs w:val="20"/>
                <w:lang w:val="en-US" w:eastAsia="en-US"/>
              </w:rPr>
              <w:t>) (%)</w:t>
            </w:r>
          </w:p>
        </w:tc>
        <w:tc>
          <w:tcPr>
            <w:tcW w:w="0" w:type="auto"/>
            <w:tcBorders>
              <w:top w:val="single" w:sz="12" w:space="0" w:color="auto"/>
              <w:bottom w:val="single" w:sz="4" w:space="0" w:color="auto"/>
            </w:tcBorders>
            <w:vAlign w:val="center"/>
          </w:tcPr>
          <w:p w:rsidR="00B206F0" w:rsidRPr="004B3934" w:rsidRDefault="00B206F0" w:rsidP="00A75807">
            <w:pPr>
              <w:ind w:firstLine="204"/>
              <w:jc w:val="center"/>
              <w:rPr>
                <w:rFonts w:ascii="Times" w:eastAsia="SimSun" w:hAnsi="Times" w:cs="Times New Roman"/>
                <w:b/>
                <w:bCs/>
                <w:sz w:val="24"/>
                <w:szCs w:val="20"/>
                <w:lang w:val="en-US" w:eastAsia="en-US"/>
              </w:rPr>
            </w:pPr>
            <w:proofErr w:type="spellStart"/>
            <w:r w:rsidRPr="004B3934">
              <w:rPr>
                <w:rFonts w:ascii="Times" w:eastAsia="SimSun" w:hAnsi="Times" w:cs="Times New Roman"/>
                <w:b/>
                <w:bCs/>
                <w:sz w:val="24"/>
                <w:szCs w:val="20"/>
                <w:lang w:val="en-US" w:eastAsia="en-US"/>
              </w:rPr>
              <w:t>O</w:t>
            </w:r>
            <w:r w:rsidRPr="004B3934">
              <w:rPr>
                <w:rFonts w:ascii="Times" w:eastAsia="SimSun" w:hAnsi="Times" w:cs="Times New Roman"/>
                <w:b/>
                <w:bCs/>
                <w:sz w:val="24"/>
                <w:szCs w:val="20"/>
                <w:vertAlign w:val="subscript"/>
                <w:lang w:val="en-US" w:eastAsia="en-US"/>
              </w:rPr>
              <w:t>surface</w:t>
            </w:r>
            <w:proofErr w:type="spellEnd"/>
            <w:r w:rsidRPr="004B3934">
              <w:rPr>
                <w:rFonts w:ascii="Times" w:eastAsia="SimSun" w:hAnsi="Times" w:cs="Times New Roman"/>
                <w:b/>
                <w:bCs/>
                <w:sz w:val="24"/>
                <w:szCs w:val="20"/>
                <w:lang w:val="en-US" w:eastAsia="en-US"/>
              </w:rPr>
              <w:t>/</w:t>
            </w:r>
          </w:p>
          <w:p w:rsidR="00B206F0" w:rsidRPr="004B3934" w:rsidRDefault="00B206F0" w:rsidP="00A75807">
            <w:pPr>
              <w:ind w:firstLine="204"/>
              <w:jc w:val="center"/>
              <w:rPr>
                <w:rFonts w:ascii="Times" w:eastAsia="SimSun" w:hAnsi="Times" w:cs="Times New Roman"/>
                <w:b/>
                <w:bCs/>
                <w:sz w:val="24"/>
                <w:szCs w:val="20"/>
                <w:vertAlign w:val="subscript"/>
                <w:lang w:val="en-US" w:eastAsia="en-US"/>
              </w:rPr>
            </w:pPr>
            <w:r w:rsidRPr="004B3934">
              <w:rPr>
                <w:rFonts w:ascii="Times" w:eastAsia="SimSun" w:hAnsi="Times" w:cs="Times New Roman"/>
                <w:b/>
                <w:bCs/>
                <w:sz w:val="24"/>
                <w:szCs w:val="20"/>
                <w:lang w:val="en-US" w:eastAsia="en-US"/>
              </w:rPr>
              <w:t>(</w:t>
            </w:r>
            <w:proofErr w:type="spellStart"/>
            <w:r w:rsidRPr="004B3934">
              <w:rPr>
                <w:rFonts w:ascii="Times" w:eastAsia="SimSun" w:hAnsi="Times" w:cs="Times New Roman"/>
                <w:b/>
                <w:bCs/>
                <w:sz w:val="24"/>
                <w:szCs w:val="20"/>
                <w:lang w:val="en-US" w:eastAsia="en-US"/>
              </w:rPr>
              <w:t>O</w:t>
            </w:r>
            <w:r w:rsidRPr="004B3934">
              <w:rPr>
                <w:rFonts w:ascii="Times" w:eastAsia="SimSun" w:hAnsi="Times" w:cs="Times New Roman"/>
                <w:b/>
                <w:bCs/>
                <w:sz w:val="24"/>
                <w:szCs w:val="20"/>
                <w:vertAlign w:val="subscript"/>
                <w:lang w:val="en-US" w:eastAsia="en-US"/>
              </w:rPr>
              <w:t>surface</w:t>
            </w:r>
            <w:proofErr w:type="spellEnd"/>
            <w:r w:rsidRPr="004B3934">
              <w:rPr>
                <w:rFonts w:ascii="Times" w:eastAsia="SimSun" w:hAnsi="Times" w:cs="Times New Roman"/>
                <w:b/>
                <w:bCs/>
                <w:sz w:val="24"/>
                <w:szCs w:val="20"/>
                <w:lang w:val="en-US" w:eastAsia="en-US"/>
              </w:rPr>
              <w:t xml:space="preserve"> + </w:t>
            </w:r>
            <w:proofErr w:type="spellStart"/>
            <w:r w:rsidRPr="004B3934">
              <w:rPr>
                <w:rFonts w:ascii="Times" w:eastAsia="SimSun" w:hAnsi="Times" w:cs="Times New Roman"/>
                <w:b/>
                <w:bCs/>
                <w:sz w:val="24"/>
                <w:szCs w:val="20"/>
                <w:lang w:val="en-US" w:eastAsia="en-US"/>
              </w:rPr>
              <w:t>O</w:t>
            </w:r>
            <w:r w:rsidRPr="004B3934">
              <w:rPr>
                <w:rFonts w:ascii="Times" w:eastAsia="SimSun" w:hAnsi="Times" w:cs="Times New Roman"/>
                <w:b/>
                <w:bCs/>
                <w:sz w:val="24"/>
                <w:szCs w:val="20"/>
                <w:vertAlign w:val="subscript"/>
                <w:lang w:val="en-US" w:eastAsia="en-US"/>
              </w:rPr>
              <w:t>lattice</w:t>
            </w:r>
            <w:proofErr w:type="spellEnd"/>
            <w:r w:rsidRPr="004B3934">
              <w:rPr>
                <w:rFonts w:ascii="Times" w:eastAsia="SimSun" w:hAnsi="Times" w:cs="Times New Roman"/>
                <w:b/>
                <w:bCs/>
                <w:sz w:val="24"/>
                <w:szCs w:val="20"/>
                <w:lang w:val="en-US" w:eastAsia="en-US"/>
              </w:rPr>
              <w:t>)</w:t>
            </w:r>
            <w:r w:rsidRPr="004B3934">
              <w:rPr>
                <w:rFonts w:ascii="Times" w:eastAsia="SimSun" w:hAnsi="Times" w:cs="Times New Roman"/>
                <w:b/>
                <w:bCs/>
                <w:sz w:val="24"/>
                <w:szCs w:val="20"/>
                <w:vertAlign w:val="subscript"/>
                <w:lang w:val="en-US" w:eastAsia="en-US"/>
              </w:rPr>
              <w:t xml:space="preserve"> </w:t>
            </w:r>
            <w:r w:rsidRPr="004B3934">
              <w:rPr>
                <w:rFonts w:ascii="Times" w:eastAsia="SimSun" w:hAnsi="Times" w:cs="Times New Roman"/>
                <w:b/>
                <w:bCs/>
                <w:sz w:val="24"/>
                <w:szCs w:val="20"/>
                <w:lang w:val="en-US" w:eastAsia="en-US"/>
              </w:rPr>
              <w:t>(%)</w:t>
            </w:r>
          </w:p>
        </w:tc>
      </w:tr>
      <w:tr w:rsidR="00B206F0" w:rsidRPr="004B3934" w:rsidTr="00A75807">
        <w:trPr>
          <w:trHeight w:val="505"/>
        </w:trPr>
        <w:tc>
          <w:tcPr>
            <w:tcW w:w="0" w:type="auto"/>
            <w:tcBorders>
              <w:top w:val="single" w:sz="4" w:space="0" w:color="auto"/>
            </w:tcBorders>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bCs/>
                <w:sz w:val="24"/>
                <w:szCs w:val="20"/>
                <w:lang w:val="en-US" w:eastAsia="en-US"/>
              </w:rPr>
              <w:t>3Mn1Ce-f</w:t>
            </w:r>
          </w:p>
        </w:tc>
        <w:tc>
          <w:tcPr>
            <w:tcW w:w="0" w:type="auto"/>
            <w:tcBorders>
              <w:top w:val="single" w:sz="4" w:space="0" w:color="auto"/>
            </w:tcBorders>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25</w:t>
            </w:r>
          </w:p>
        </w:tc>
        <w:tc>
          <w:tcPr>
            <w:tcW w:w="0" w:type="auto"/>
            <w:tcBorders>
              <w:top w:val="single" w:sz="4" w:space="0" w:color="auto"/>
            </w:tcBorders>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43</w:t>
            </w:r>
          </w:p>
        </w:tc>
        <w:tc>
          <w:tcPr>
            <w:tcW w:w="0" w:type="auto"/>
            <w:tcBorders>
              <w:top w:val="single" w:sz="4" w:space="0" w:color="auto"/>
            </w:tcBorders>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38</w:t>
            </w:r>
          </w:p>
        </w:tc>
      </w:tr>
      <w:tr w:rsidR="00B206F0" w:rsidRPr="004B3934" w:rsidTr="00A75807">
        <w:trPr>
          <w:trHeight w:val="505"/>
        </w:trPr>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bCs/>
                <w:sz w:val="24"/>
                <w:szCs w:val="20"/>
                <w:lang w:val="en-US" w:eastAsia="en-US"/>
              </w:rPr>
              <w:t>3Mn1Ce-h</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18</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28</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36</w:t>
            </w:r>
          </w:p>
        </w:tc>
      </w:tr>
      <w:tr w:rsidR="00B206F0" w:rsidRPr="004B3934" w:rsidTr="00A75807">
        <w:trPr>
          <w:trHeight w:val="505"/>
        </w:trPr>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bCs/>
                <w:sz w:val="24"/>
                <w:szCs w:val="20"/>
                <w:lang w:val="en-US" w:eastAsia="en-US"/>
              </w:rPr>
              <w:t>1Mn1Ce-f</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25</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42</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40</w:t>
            </w:r>
          </w:p>
        </w:tc>
      </w:tr>
      <w:tr w:rsidR="00B206F0" w:rsidRPr="004B3934" w:rsidTr="00A75807">
        <w:trPr>
          <w:trHeight w:val="495"/>
        </w:trPr>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bCs/>
                <w:sz w:val="24"/>
                <w:szCs w:val="20"/>
                <w:lang w:val="en-US" w:eastAsia="en-US"/>
              </w:rPr>
              <w:t>1Mn1Ce-h</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20</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35</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38</w:t>
            </w:r>
          </w:p>
        </w:tc>
      </w:tr>
      <w:tr w:rsidR="00B206F0" w:rsidRPr="004B3934" w:rsidTr="00A75807">
        <w:trPr>
          <w:trHeight w:val="505"/>
        </w:trPr>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bCs/>
                <w:sz w:val="24"/>
                <w:szCs w:val="20"/>
                <w:lang w:val="en-US" w:eastAsia="en-US"/>
              </w:rPr>
              <w:t>1Mn3Ce-f</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23</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42</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37</w:t>
            </w:r>
          </w:p>
        </w:tc>
      </w:tr>
      <w:tr w:rsidR="00B206F0" w:rsidRPr="004B3934" w:rsidTr="00A75807">
        <w:trPr>
          <w:trHeight w:val="505"/>
        </w:trPr>
        <w:tc>
          <w:tcPr>
            <w:tcW w:w="0" w:type="auto"/>
            <w:vAlign w:val="center"/>
          </w:tcPr>
          <w:p w:rsidR="00B206F0" w:rsidRPr="004B3934" w:rsidRDefault="00B206F0" w:rsidP="00A75807">
            <w:pPr>
              <w:ind w:firstLine="204"/>
              <w:jc w:val="center"/>
              <w:rPr>
                <w:rFonts w:ascii="Times" w:eastAsia="SimSun" w:hAnsi="Times" w:cs="Times New Roman"/>
                <w:bCs/>
                <w:sz w:val="24"/>
                <w:szCs w:val="20"/>
                <w:lang w:val="en-US" w:eastAsia="en-US"/>
              </w:rPr>
            </w:pPr>
            <w:r w:rsidRPr="004B3934">
              <w:rPr>
                <w:rFonts w:ascii="Times" w:eastAsia="SimSun" w:hAnsi="Times" w:cs="Times New Roman"/>
                <w:bCs/>
                <w:sz w:val="24"/>
                <w:szCs w:val="20"/>
                <w:lang w:val="en-US" w:eastAsia="en-US"/>
              </w:rPr>
              <w:t>1Mn3Ce-h</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15</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16</w:t>
            </w:r>
          </w:p>
        </w:tc>
        <w:tc>
          <w:tcPr>
            <w:tcW w:w="0" w:type="auto"/>
            <w:vAlign w:val="center"/>
          </w:tcPr>
          <w:p w:rsidR="00B206F0" w:rsidRPr="004B3934" w:rsidRDefault="00B206F0" w:rsidP="00A75807">
            <w:pPr>
              <w:ind w:firstLine="204"/>
              <w:jc w:val="center"/>
              <w:rPr>
                <w:rFonts w:ascii="Times" w:eastAsia="SimSun" w:hAnsi="Times" w:cs="Times New Roman"/>
                <w:sz w:val="24"/>
                <w:szCs w:val="20"/>
                <w:lang w:val="en-US" w:eastAsia="en-US"/>
              </w:rPr>
            </w:pPr>
            <w:r w:rsidRPr="004B3934">
              <w:rPr>
                <w:rFonts w:ascii="Times" w:eastAsia="SimSun" w:hAnsi="Times" w:cs="Times New Roman"/>
                <w:sz w:val="24"/>
                <w:szCs w:val="20"/>
                <w:lang w:val="en-US" w:eastAsia="en-US"/>
              </w:rPr>
              <w:t>36</w:t>
            </w:r>
          </w:p>
        </w:tc>
      </w:tr>
    </w:tbl>
    <w:p w:rsidR="00B206F0" w:rsidRDefault="00B206F0" w:rsidP="00CD7AA9">
      <w:pPr>
        <w:pStyle w:val="TAMainText"/>
        <w:spacing w:after="240"/>
        <w:ind w:firstLine="0"/>
        <w:rPr>
          <w:lang w:eastAsia="zh-CN"/>
        </w:rPr>
      </w:pPr>
    </w:p>
    <w:p w:rsidR="00B206F0" w:rsidRPr="00F8748B" w:rsidRDefault="00B206F0" w:rsidP="00CD7AA9">
      <w:pPr>
        <w:pStyle w:val="TAMainText"/>
        <w:spacing w:after="240"/>
        <w:ind w:firstLine="0"/>
        <w:rPr>
          <w:b/>
          <w:bCs/>
          <w:lang w:val="en"/>
        </w:rPr>
      </w:pPr>
      <w:r w:rsidRPr="000542D5">
        <w:rPr>
          <w:iCs/>
          <w:lang w:val="en-MY"/>
        </w:rPr>
        <w:t>To analyse the impact of Mn/Ce ratio on catalyst hydrothermal stability, XPS was used to study the valence states of O, Mn, and Ce in MnOx-CeO</w:t>
      </w:r>
      <w:r w:rsidRPr="000542D5">
        <w:rPr>
          <w:iCs/>
          <w:vertAlign w:val="subscript"/>
          <w:lang w:val="en-MY"/>
        </w:rPr>
        <w:t>2</w:t>
      </w:r>
      <w:r w:rsidRPr="000542D5">
        <w:rPr>
          <w:iCs/>
          <w:lang w:val="en-MY"/>
        </w:rPr>
        <w:t xml:space="preserve"> catalysts. </w:t>
      </w:r>
      <w:r w:rsidRPr="000542D5">
        <w:rPr>
          <w:b/>
          <w:bCs/>
          <w:iCs/>
          <w:lang w:val="en-MY"/>
        </w:rPr>
        <w:t>Figure S11a</w:t>
      </w:r>
      <w:r w:rsidRPr="000542D5">
        <w:rPr>
          <w:iCs/>
          <w:lang w:val="en-MY"/>
        </w:rPr>
        <w:t xml:space="preserve"> and </w:t>
      </w:r>
      <w:r w:rsidRPr="000542D5">
        <w:rPr>
          <w:b/>
          <w:bCs/>
          <w:iCs/>
          <w:lang w:val="en-MY"/>
        </w:rPr>
        <w:t>S11b</w:t>
      </w:r>
      <w:r w:rsidRPr="000542D5">
        <w:rPr>
          <w:iCs/>
          <w:lang w:val="en-MY"/>
        </w:rPr>
        <w:t xml:space="preserve"> show the Mn 2p XPS spectra of fresh and post-hydrothermal catalysts with different Mn/Ce ratios. The Mn</w:t>
      </w:r>
      <w:r w:rsidRPr="000542D5">
        <w:rPr>
          <w:iCs/>
          <w:vertAlign w:val="superscript"/>
          <w:lang w:val="en-MY"/>
        </w:rPr>
        <w:t>4+</w:t>
      </w:r>
      <w:proofErr w:type="gramStart"/>
      <w:r w:rsidRPr="000542D5">
        <w:rPr>
          <w:iCs/>
          <w:lang w:val="en-MY"/>
        </w:rPr>
        <w:t>/(</w:t>
      </w:r>
      <w:proofErr w:type="gramEnd"/>
      <w:r w:rsidRPr="000542D5">
        <w:rPr>
          <w:iCs/>
          <w:lang w:val="en-MY"/>
        </w:rPr>
        <w:t>Mn</w:t>
      </w:r>
      <w:r w:rsidRPr="000542D5">
        <w:rPr>
          <w:iCs/>
          <w:vertAlign w:val="superscript"/>
          <w:lang w:val="en-MY"/>
        </w:rPr>
        <w:t>3+</w:t>
      </w:r>
      <w:r w:rsidRPr="000542D5">
        <w:rPr>
          <w:iCs/>
          <w:lang w:val="en-MY"/>
        </w:rPr>
        <w:t xml:space="preserve"> + Mn</w:t>
      </w:r>
      <w:r w:rsidRPr="000542D5">
        <w:rPr>
          <w:iCs/>
          <w:vertAlign w:val="superscript"/>
          <w:lang w:val="en-MY"/>
        </w:rPr>
        <w:t>4+</w:t>
      </w:r>
      <w:r w:rsidRPr="000542D5">
        <w:rPr>
          <w:iCs/>
          <w:lang w:val="en-MY"/>
        </w:rPr>
        <w:t>) ratios of 3Mn1Ce-f, 1Mn1Ce-f, and 1Mn3Ce-f were found to be 43%, 42%, and 42%, respectively (</w:t>
      </w:r>
      <w:r w:rsidRPr="00A75807">
        <w:rPr>
          <w:b/>
          <w:bCs/>
          <w:iCs/>
          <w:lang w:val="en-MY"/>
        </w:rPr>
        <w:t>Table S5</w:t>
      </w:r>
      <w:r w:rsidRPr="000542D5">
        <w:rPr>
          <w:iCs/>
          <w:lang w:val="en-MY"/>
        </w:rPr>
        <w:t>). After the hydrothermal treatment, these ratios decreased in the order of 1Mn1Ce-h &gt; 3Mn1Ce-h &gt; 1Mn3Ce-h. This suggests that 1Mn1Ce-h catalysts retained more Mn</w:t>
      </w:r>
      <w:r w:rsidRPr="00A75807">
        <w:rPr>
          <w:iCs/>
          <w:vertAlign w:val="superscript"/>
          <w:lang w:val="en-MY"/>
        </w:rPr>
        <w:t>4+</w:t>
      </w:r>
      <w:r w:rsidRPr="000542D5">
        <w:rPr>
          <w:iCs/>
          <w:lang w:val="en-MY"/>
        </w:rPr>
        <w:t xml:space="preserve"> species on the surface, making them more effective at catalyzing the oxidation of ethyl acetate to CO</w:t>
      </w:r>
      <w:r w:rsidRPr="00A75807">
        <w:rPr>
          <w:iCs/>
          <w:vertAlign w:val="subscript"/>
          <w:lang w:val="en-MY"/>
        </w:rPr>
        <w:t>2</w:t>
      </w:r>
      <w:r w:rsidRPr="000542D5">
        <w:rPr>
          <w:iCs/>
          <w:lang w:val="en-MY"/>
        </w:rPr>
        <w:t xml:space="preserve"> and H</w:t>
      </w:r>
      <w:r w:rsidRPr="00A75807">
        <w:rPr>
          <w:iCs/>
          <w:vertAlign w:val="subscript"/>
          <w:lang w:val="en-MY"/>
        </w:rPr>
        <w:t>2</w:t>
      </w:r>
      <w:r w:rsidRPr="000542D5">
        <w:rPr>
          <w:iCs/>
          <w:lang w:val="en-MY"/>
        </w:rPr>
        <w:t>O at lower temperatures. This is because Mn</w:t>
      </w:r>
      <w:r w:rsidRPr="00A75807">
        <w:rPr>
          <w:iCs/>
          <w:vertAlign w:val="superscript"/>
          <w:lang w:val="en-MY"/>
        </w:rPr>
        <w:t>4+</w:t>
      </w:r>
      <w:r w:rsidRPr="000542D5">
        <w:rPr>
          <w:iCs/>
          <w:lang w:val="en-MY"/>
        </w:rPr>
        <w:t xml:space="preserve"> species have strong oxidizing ability, which promotes the generation of reactive oxygen species. </w:t>
      </w:r>
      <w:r w:rsidRPr="00A75807">
        <w:rPr>
          <w:b/>
          <w:bCs/>
          <w:iCs/>
          <w:lang w:val="en-MY"/>
        </w:rPr>
        <w:t>Figure S11c</w:t>
      </w:r>
      <w:r w:rsidRPr="000542D5">
        <w:rPr>
          <w:iCs/>
          <w:lang w:val="en-MY"/>
        </w:rPr>
        <w:t xml:space="preserve"> and </w:t>
      </w:r>
      <w:r w:rsidRPr="00A75807">
        <w:rPr>
          <w:b/>
          <w:bCs/>
          <w:iCs/>
          <w:lang w:val="en-MY"/>
        </w:rPr>
        <w:t>S11d</w:t>
      </w:r>
      <w:r w:rsidRPr="000542D5">
        <w:rPr>
          <w:iCs/>
          <w:lang w:val="en-MY"/>
        </w:rPr>
        <w:t xml:space="preserve"> show the O 1s XPS spectra of catalysts with different Mn/Ce ratios before and after hydrothermal treatment, indicating that the surface oxygen content is not significantly affected by either the Mn/Ce ratio or the treatment, with the relative content of adsorbed oxygen species in the range of 36-40%.</w:t>
      </w:r>
    </w:p>
    <w:p w:rsidR="00B206F0" w:rsidRPr="000542D5" w:rsidRDefault="00B206F0" w:rsidP="00CB19F7">
      <w:pPr>
        <w:spacing w:after="240" w:line="480" w:lineRule="auto"/>
        <w:jc w:val="both"/>
        <w:rPr>
          <w:rFonts w:ascii="Times New Roman" w:eastAsia="SimSun" w:hAnsi="Times New Roman" w:cs="Times New Roman"/>
          <w:bCs/>
          <w:sz w:val="28"/>
          <w:szCs w:val="20"/>
          <w:lang w:val="en"/>
        </w:rPr>
      </w:pPr>
      <w:r w:rsidRPr="000542D5">
        <w:rPr>
          <w:rFonts w:ascii="Times New Roman" w:hAnsi="Times New Roman" w:cs="Times New Roman"/>
          <w:bCs/>
          <w:sz w:val="24"/>
        </w:rPr>
        <w:t xml:space="preserve">The Ce 3d XPS spectra of the catalysts with different Mn/Ce ratios before and after the hydrothermal treatment are shown in </w:t>
      </w:r>
      <w:r w:rsidRPr="000542D5">
        <w:rPr>
          <w:rFonts w:ascii="Times New Roman" w:hAnsi="Times New Roman" w:cs="Times New Roman"/>
          <w:b/>
          <w:sz w:val="24"/>
        </w:rPr>
        <w:t>Figure S11e</w:t>
      </w:r>
      <w:r w:rsidRPr="000542D5">
        <w:rPr>
          <w:rFonts w:ascii="Times New Roman" w:hAnsi="Times New Roman" w:cs="Times New Roman"/>
          <w:bCs/>
          <w:sz w:val="24"/>
        </w:rPr>
        <w:t xml:space="preserve"> and </w:t>
      </w:r>
      <w:r w:rsidRPr="000542D5">
        <w:rPr>
          <w:rFonts w:ascii="Times New Roman" w:hAnsi="Times New Roman" w:cs="Times New Roman"/>
          <w:b/>
          <w:sz w:val="24"/>
        </w:rPr>
        <w:t>S11f</w:t>
      </w:r>
      <w:r w:rsidRPr="000542D5">
        <w:rPr>
          <w:rFonts w:ascii="Times New Roman" w:hAnsi="Times New Roman" w:cs="Times New Roman"/>
          <w:bCs/>
          <w:sz w:val="24"/>
        </w:rPr>
        <w:t>. The Ce</w:t>
      </w:r>
      <w:r w:rsidRPr="000542D5">
        <w:rPr>
          <w:rFonts w:ascii="Times New Roman" w:hAnsi="Times New Roman" w:cs="Times New Roman"/>
          <w:bCs/>
          <w:sz w:val="24"/>
          <w:vertAlign w:val="superscript"/>
        </w:rPr>
        <w:t>3+</w:t>
      </w:r>
      <w:proofErr w:type="gramStart"/>
      <w:r w:rsidRPr="000542D5">
        <w:rPr>
          <w:rFonts w:ascii="Times New Roman" w:hAnsi="Times New Roman" w:cs="Times New Roman"/>
          <w:bCs/>
          <w:sz w:val="24"/>
        </w:rPr>
        <w:t>/(</w:t>
      </w:r>
      <w:proofErr w:type="gramEnd"/>
      <w:r w:rsidRPr="000542D5">
        <w:rPr>
          <w:rFonts w:ascii="Times New Roman" w:hAnsi="Times New Roman" w:cs="Times New Roman"/>
          <w:bCs/>
          <w:sz w:val="24"/>
        </w:rPr>
        <w:t>Ce</w:t>
      </w:r>
      <w:r w:rsidRPr="000542D5">
        <w:rPr>
          <w:rFonts w:ascii="Times New Roman" w:hAnsi="Times New Roman" w:cs="Times New Roman"/>
          <w:bCs/>
          <w:sz w:val="24"/>
          <w:vertAlign w:val="superscript"/>
        </w:rPr>
        <w:t>4+</w:t>
      </w:r>
      <w:r w:rsidRPr="000542D5">
        <w:rPr>
          <w:rFonts w:ascii="Times New Roman" w:hAnsi="Times New Roman" w:cs="Times New Roman"/>
          <w:bCs/>
          <w:sz w:val="24"/>
        </w:rPr>
        <w:t xml:space="preserve"> + Ce</w:t>
      </w:r>
      <w:r w:rsidRPr="000542D5">
        <w:rPr>
          <w:rFonts w:ascii="Times New Roman" w:hAnsi="Times New Roman" w:cs="Times New Roman"/>
          <w:bCs/>
          <w:sz w:val="24"/>
          <w:vertAlign w:val="superscript"/>
        </w:rPr>
        <w:t>3+</w:t>
      </w:r>
      <w:r w:rsidRPr="000542D5">
        <w:rPr>
          <w:rFonts w:ascii="Times New Roman" w:hAnsi="Times New Roman" w:cs="Times New Roman"/>
          <w:bCs/>
          <w:sz w:val="24"/>
        </w:rPr>
        <w:t xml:space="preserve">) ratio for </w:t>
      </w:r>
      <w:r w:rsidRPr="000542D5">
        <w:rPr>
          <w:rFonts w:ascii="Times New Roman" w:hAnsi="Times New Roman" w:cs="Times New Roman"/>
          <w:bCs/>
          <w:sz w:val="24"/>
        </w:rPr>
        <w:lastRenderedPageBreak/>
        <w:t>3Mn1Ce-f, 1Mn1Ce-f, and 1Mn3Ce-f was found to be 25%, 25%, and 23%, respectively. After the hydrothermal treatment, the relative content decreased in the order of 1Mn1Ce-h &gt; 3Mn1Ce-h &gt; 1Mn3Ce-h. This trend was similar to the trend observed for Mn</w:t>
      </w:r>
      <w:r w:rsidRPr="000542D5">
        <w:rPr>
          <w:rFonts w:ascii="Times New Roman" w:hAnsi="Times New Roman" w:cs="Times New Roman"/>
          <w:bCs/>
          <w:sz w:val="24"/>
          <w:vertAlign w:val="superscript"/>
        </w:rPr>
        <w:t>4+</w:t>
      </w:r>
      <w:r w:rsidRPr="000542D5">
        <w:rPr>
          <w:rFonts w:ascii="Times New Roman" w:hAnsi="Times New Roman" w:cs="Times New Roman"/>
          <w:bCs/>
          <w:sz w:val="24"/>
        </w:rPr>
        <w:t>, indicating that Ce can help maintain the percentage of Mn</w:t>
      </w:r>
      <w:r w:rsidRPr="000542D5">
        <w:rPr>
          <w:rFonts w:ascii="Times New Roman" w:hAnsi="Times New Roman" w:cs="Times New Roman"/>
          <w:bCs/>
          <w:sz w:val="24"/>
          <w:vertAlign w:val="superscript"/>
        </w:rPr>
        <w:t>4+</w:t>
      </w:r>
      <w:r w:rsidRPr="000542D5">
        <w:rPr>
          <w:rFonts w:ascii="Times New Roman" w:hAnsi="Times New Roman" w:cs="Times New Roman"/>
          <w:bCs/>
          <w:sz w:val="24"/>
        </w:rPr>
        <w:t>. As a result, the transferability of oxygen is enhanced, leading to improved activity of the catalysts for the oxidation of ethyl acetate.</w:t>
      </w:r>
    </w:p>
    <w:p w:rsidR="00B206F0" w:rsidRPr="00CB19F7" w:rsidRDefault="00B206F0" w:rsidP="00390523">
      <w:pPr>
        <w:pStyle w:val="TAMainText"/>
        <w:spacing w:after="240"/>
        <w:ind w:firstLine="204"/>
        <w:rPr>
          <w:iCs/>
          <w:lang w:val="en" w:eastAsia="zh-CN"/>
        </w:rPr>
      </w:pPr>
    </w:p>
    <w:p w:rsidR="00B206F0" w:rsidRDefault="00B206F0" w:rsidP="002272F5">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E72D7DC" wp14:editId="06CFE439">
            <wp:extent cx="5731510" cy="20034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003425"/>
                    </a:xfrm>
                    <a:prstGeom prst="rect">
                      <a:avLst/>
                    </a:prstGeom>
                  </pic:spPr>
                </pic:pic>
              </a:graphicData>
            </a:graphic>
          </wp:inline>
        </w:drawing>
      </w:r>
    </w:p>
    <w:p w:rsidR="00B206F0" w:rsidRPr="00842C83" w:rsidRDefault="00B206F0" w:rsidP="002272F5">
      <w:pPr>
        <w:rPr>
          <w:rFonts w:ascii="Times New Roman" w:hAnsi="Times New Roman" w:cs="Times New Roman"/>
          <w:b/>
          <w:sz w:val="24"/>
          <w:szCs w:val="24"/>
        </w:rPr>
      </w:pPr>
      <w:r w:rsidRPr="00941CCF">
        <w:rPr>
          <w:rFonts w:ascii="Times New Roman" w:hAnsi="Times New Roman" w:cs="Times New Roman"/>
          <w:b/>
          <w:sz w:val="24"/>
          <w:szCs w:val="24"/>
        </w:rPr>
        <w:t>Figure S</w:t>
      </w:r>
      <w:r>
        <w:rPr>
          <w:rFonts w:ascii="Times New Roman" w:hAnsi="Times New Roman" w:cs="Times New Roman"/>
          <w:b/>
          <w:sz w:val="24"/>
          <w:szCs w:val="24"/>
        </w:rPr>
        <w:t>12</w:t>
      </w:r>
      <w:r w:rsidRPr="00941CCF">
        <w:rPr>
          <w:rFonts w:ascii="Times New Roman" w:hAnsi="Times New Roman" w:cs="Times New Roman"/>
          <w:b/>
          <w:sz w:val="24"/>
          <w:szCs w:val="24"/>
        </w:rPr>
        <w:t xml:space="preserve"> </w:t>
      </w:r>
      <w:r w:rsidRPr="00941CCF">
        <w:rPr>
          <w:rFonts w:ascii="Times New Roman" w:hAnsi="Times New Roman" w:cs="Times New Roman"/>
          <w:sz w:val="24"/>
          <w:szCs w:val="24"/>
        </w:rPr>
        <w:t>Effect of Ce doping on the adsorption of ethyl acetate. (a) the geometry structure of Ce-doped Mn</w:t>
      </w:r>
      <w:r w:rsidRPr="00941CCF">
        <w:rPr>
          <w:rFonts w:ascii="Times New Roman" w:hAnsi="Times New Roman" w:cs="Times New Roman"/>
          <w:sz w:val="24"/>
          <w:szCs w:val="24"/>
          <w:vertAlign w:val="subscript"/>
        </w:rPr>
        <w:t>3</w:t>
      </w:r>
      <w:r w:rsidRPr="00941CCF">
        <w:rPr>
          <w:rFonts w:ascii="Times New Roman" w:hAnsi="Times New Roman" w:cs="Times New Roman"/>
          <w:sz w:val="24"/>
          <w:szCs w:val="24"/>
        </w:rPr>
        <w:t>O</w:t>
      </w:r>
      <w:r w:rsidRPr="00941CCF">
        <w:rPr>
          <w:rFonts w:ascii="Times New Roman" w:hAnsi="Times New Roman" w:cs="Times New Roman"/>
          <w:sz w:val="24"/>
          <w:szCs w:val="24"/>
          <w:vertAlign w:val="subscript"/>
        </w:rPr>
        <w:t>4</w:t>
      </w:r>
      <w:r w:rsidRPr="00941CCF">
        <w:rPr>
          <w:rFonts w:ascii="Times New Roman" w:hAnsi="Times New Roman" w:cs="Times New Roman"/>
          <w:sz w:val="24"/>
          <w:szCs w:val="24"/>
        </w:rPr>
        <w:t xml:space="preserve"> with ethyl acetate adsorbed on the surface, (b) the adsorption energy of ethyl acetate on the surface of Mn</w:t>
      </w:r>
      <w:r w:rsidRPr="00941CCF">
        <w:rPr>
          <w:rFonts w:ascii="Times New Roman" w:hAnsi="Times New Roman" w:cs="Times New Roman"/>
          <w:sz w:val="24"/>
          <w:szCs w:val="24"/>
          <w:vertAlign w:val="subscript"/>
        </w:rPr>
        <w:t>3</w:t>
      </w:r>
      <w:r w:rsidRPr="00941CCF">
        <w:rPr>
          <w:rFonts w:ascii="Times New Roman" w:hAnsi="Times New Roman" w:cs="Times New Roman"/>
          <w:sz w:val="24"/>
          <w:szCs w:val="24"/>
        </w:rPr>
        <w:t>O</w:t>
      </w:r>
      <w:r w:rsidRPr="00941CCF">
        <w:rPr>
          <w:rFonts w:ascii="Times New Roman" w:hAnsi="Times New Roman" w:cs="Times New Roman"/>
          <w:sz w:val="24"/>
          <w:szCs w:val="24"/>
          <w:vertAlign w:val="subscript"/>
        </w:rPr>
        <w:t>4</w:t>
      </w:r>
      <w:r w:rsidRPr="00941CCF">
        <w:rPr>
          <w:rFonts w:ascii="Times New Roman" w:hAnsi="Times New Roman" w:cs="Times New Roman"/>
          <w:sz w:val="24"/>
          <w:szCs w:val="24"/>
        </w:rPr>
        <w:t xml:space="preserve"> with different Ce doping levels.</w:t>
      </w:r>
      <w:r w:rsidRPr="00E37149">
        <w:rPr>
          <w:rFonts w:ascii="Times New Roman" w:hAnsi="Times New Roman" w:cs="Times New Roman"/>
          <w:sz w:val="24"/>
          <w:szCs w:val="24"/>
        </w:rPr>
        <w:t xml:space="preserve"> </w:t>
      </w:r>
    </w:p>
    <w:p w:rsidR="00B206F0" w:rsidRDefault="00B206F0" w:rsidP="002272F5">
      <w:pPr>
        <w:rPr>
          <w:rFonts w:ascii="Times New Roman" w:hAnsi="Times New Roman" w:cs="Times New Roman"/>
          <w:sz w:val="24"/>
          <w:szCs w:val="24"/>
          <w:lang w:val="en"/>
        </w:rPr>
      </w:pPr>
      <w:r>
        <w:rPr>
          <w:rFonts w:ascii="Times New Roman" w:hAnsi="Times New Roman" w:cs="Times New Roman"/>
          <w:noProof/>
          <w:sz w:val="24"/>
          <w:szCs w:val="24"/>
          <w:lang w:val="en"/>
        </w:rPr>
        <w:drawing>
          <wp:inline distT="0" distB="0" distL="0" distR="0" wp14:anchorId="70731541" wp14:editId="0A034173">
            <wp:extent cx="2520000" cy="19283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00 treated sample.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0000" cy="1928389"/>
                    </a:xfrm>
                    <a:prstGeom prst="rect">
                      <a:avLst/>
                    </a:prstGeom>
                  </pic:spPr>
                </pic:pic>
              </a:graphicData>
            </a:graphic>
          </wp:inline>
        </w:drawing>
      </w:r>
    </w:p>
    <w:p w:rsidR="00B206F0" w:rsidRDefault="00B206F0" w:rsidP="002272F5">
      <w:pPr>
        <w:rPr>
          <w:rFonts w:ascii="Times New Roman" w:hAnsi="Times New Roman" w:cs="Times New Roman"/>
          <w:sz w:val="24"/>
          <w:szCs w:val="24"/>
          <w:lang w:val="en"/>
        </w:rPr>
      </w:pPr>
      <w:r w:rsidRPr="00561F8E">
        <w:rPr>
          <w:rFonts w:ascii="Times New Roman" w:eastAsia="SimSun" w:hAnsi="Times New Roman" w:cs="Times New Roman"/>
          <w:b/>
          <w:bCs/>
          <w:sz w:val="24"/>
          <w:szCs w:val="24"/>
          <w:lang w:val="en"/>
        </w:rPr>
        <w:t xml:space="preserve">Figure </w:t>
      </w:r>
      <w:r>
        <w:rPr>
          <w:rFonts w:ascii="Times New Roman" w:eastAsia="SimSun" w:hAnsi="Times New Roman" w:cs="Times New Roman"/>
          <w:b/>
          <w:bCs/>
          <w:sz w:val="24"/>
          <w:szCs w:val="24"/>
          <w:lang w:val="en"/>
        </w:rPr>
        <w:t>S13</w:t>
      </w:r>
      <w:r w:rsidRPr="00561F8E">
        <w:rPr>
          <w:rFonts w:ascii="Times New Roman" w:eastAsia="SimSun" w:hAnsi="Times New Roman" w:cs="Times New Roman"/>
          <w:b/>
          <w:bCs/>
          <w:sz w:val="24"/>
          <w:szCs w:val="24"/>
          <w:lang w:val="en"/>
        </w:rPr>
        <w:t xml:space="preserve"> </w:t>
      </w:r>
      <w:r w:rsidRPr="00F902A6">
        <w:rPr>
          <w:rFonts w:ascii="Times New Roman" w:eastAsia="SimSun" w:hAnsi="Times New Roman" w:cs="Times New Roman"/>
          <w:bCs/>
          <w:sz w:val="24"/>
          <w:szCs w:val="24"/>
          <w:lang w:val="en"/>
        </w:rPr>
        <w:t>Catalytic Activity of MnO</w:t>
      </w:r>
      <w:r w:rsidRPr="00F902A6">
        <w:rPr>
          <w:rFonts w:ascii="Times New Roman" w:eastAsia="SimSun" w:hAnsi="Times New Roman" w:cs="Times New Roman"/>
          <w:bCs/>
          <w:sz w:val="24"/>
          <w:szCs w:val="24"/>
          <w:vertAlign w:val="subscript"/>
          <w:lang w:val="en"/>
        </w:rPr>
        <w:t>x</w:t>
      </w:r>
      <w:r w:rsidRPr="00F902A6">
        <w:rPr>
          <w:rFonts w:ascii="Times New Roman" w:eastAsia="SimSun" w:hAnsi="Times New Roman" w:cs="Times New Roman"/>
          <w:bCs/>
          <w:sz w:val="24"/>
          <w:szCs w:val="24"/>
          <w:lang w:val="en"/>
        </w:rPr>
        <w:t>-CeO</w:t>
      </w:r>
      <w:r w:rsidRPr="00F902A6">
        <w:rPr>
          <w:rFonts w:ascii="Times New Roman" w:eastAsia="SimSun" w:hAnsi="Times New Roman" w:cs="Times New Roman"/>
          <w:bCs/>
          <w:sz w:val="24"/>
          <w:szCs w:val="24"/>
          <w:vertAlign w:val="subscript"/>
          <w:lang w:val="en"/>
        </w:rPr>
        <w:t>2</w:t>
      </w:r>
      <w:r w:rsidRPr="00F902A6">
        <w:rPr>
          <w:rFonts w:ascii="Times New Roman" w:eastAsia="SimSun" w:hAnsi="Times New Roman" w:cs="Times New Roman"/>
          <w:bCs/>
          <w:sz w:val="24"/>
          <w:szCs w:val="24"/>
          <w:lang w:val="en"/>
        </w:rPr>
        <w:t xml:space="preserve"> Catalysts for Oxidation of Ethyl Acetate</w:t>
      </w:r>
      <w:r w:rsidRPr="00561F8E">
        <w:rPr>
          <w:rFonts w:ascii="Times New Roman" w:eastAsia="SimSun" w:hAnsi="Times New Roman" w:cs="Times New Roman"/>
          <w:b/>
          <w:bCs/>
          <w:sz w:val="24"/>
          <w:szCs w:val="24"/>
          <w:lang w:val="en"/>
        </w:rPr>
        <w:t>.</w:t>
      </w:r>
    </w:p>
    <w:p w:rsidR="00B206F0" w:rsidRDefault="00B206F0" w:rsidP="00CD7AA9">
      <w:pPr>
        <w:pStyle w:val="TAMainText"/>
        <w:spacing w:after="240"/>
        <w:ind w:firstLine="0"/>
        <w:rPr>
          <w:rFonts w:ascii="Times New Roman" w:eastAsiaTheme="minorEastAsia" w:hAnsi="Times New Roman"/>
          <w:szCs w:val="24"/>
          <w:lang w:val="en" w:eastAsia="zh-CN"/>
        </w:rPr>
      </w:pPr>
    </w:p>
    <w:p w:rsidR="00B206F0" w:rsidRPr="000542D5" w:rsidRDefault="00B206F0" w:rsidP="00CD7AA9">
      <w:pPr>
        <w:pStyle w:val="TAMainText"/>
        <w:spacing w:after="240"/>
        <w:ind w:firstLine="0"/>
        <w:rPr>
          <w:bCs/>
          <w:iCs/>
          <w:lang w:val="en" w:eastAsia="zh-CN"/>
        </w:rPr>
      </w:pPr>
      <w:bookmarkStart w:id="12" w:name="_Hlk106360213"/>
      <w:r w:rsidRPr="000542D5">
        <w:rPr>
          <w:rFonts w:ascii="Times New Roman" w:hAnsi="Times New Roman"/>
          <w:bCs/>
          <w:szCs w:val="24"/>
          <w:lang w:val="en-MY"/>
        </w:rPr>
        <w:t xml:space="preserve">The catalytic performance of fresh and 400 ℃ treated RH-MnCe catalysts are compared in </w:t>
      </w:r>
      <w:r w:rsidRPr="000542D5">
        <w:rPr>
          <w:rFonts w:ascii="Times New Roman" w:hAnsi="Times New Roman"/>
          <w:b/>
          <w:szCs w:val="24"/>
          <w:lang w:val="en-MY"/>
        </w:rPr>
        <w:t>Figure S13</w:t>
      </w:r>
      <w:r w:rsidRPr="000542D5">
        <w:rPr>
          <w:rFonts w:ascii="Times New Roman" w:hAnsi="Times New Roman"/>
          <w:bCs/>
          <w:szCs w:val="24"/>
          <w:lang w:val="en-MY"/>
        </w:rPr>
        <w:t>. RH-1Mn1Ce(f) ignited quickly with T</w:t>
      </w:r>
      <w:r w:rsidRPr="000542D5">
        <w:rPr>
          <w:rFonts w:ascii="Times New Roman" w:hAnsi="Times New Roman"/>
          <w:bCs/>
          <w:szCs w:val="24"/>
          <w:vertAlign w:val="subscript"/>
          <w:lang w:val="en-MY"/>
        </w:rPr>
        <w:t>20</w:t>
      </w:r>
      <w:r w:rsidRPr="000542D5">
        <w:rPr>
          <w:rFonts w:ascii="Times New Roman" w:hAnsi="Times New Roman"/>
          <w:bCs/>
          <w:szCs w:val="24"/>
          <w:lang w:val="en-MY"/>
        </w:rPr>
        <w:t xml:space="preserve"> = 210 ℃, T</w:t>
      </w:r>
      <w:r w:rsidRPr="000542D5">
        <w:rPr>
          <w:rFonts w:ascii="Times New Roman" w:hAnsi="Times New Roman"/>
          <w:bCs/>
          <w:szCs w:val="24"/>
          <w:vertAlign w:val="subscript"/>
          <w:lang w:val="en-MY"/>
        </w:rPr>
        <w:t>90</w:t>
      </w:r>
      <w:r w:rsidRPr="000542D5">
        <w:rPr>
          <w:rFonts w:ascii="Times New Roman" w:hAnsi="Times New Roman"/>
          <w:bCs/>
          <w:szCs w:val="24"/>
          <w:lang w:val="en-MY"/>
        </w:rPr>
        <w:t xml:space="preserve"> = 225 ℃, and T</w:t>
      </w:r>
      <w:r w:rsidRPr="000542D5">
        <w:rPr>
          <w:rFonts w:ascii="Times New Roman" w:hAnsi="Times New Roman"/>
          <w:bCs/>
          <w:szCs w:val="24"/>
          <w:vertAlign w:val="subscript"/>
          <w:lang w:val="en-MY"/>
        </w:rPr>
        <w:t>99</w:t>
      </w:r>
      <w:r w:rsidRPr="000542D5">
        <w:rPr>
          <w:rFonts w:ascii="Times New Roman" w:hAnsi="Times New Roman"/>
          <w:bCs/>
          <w:szCs w:val="24"/>
          <w:lang w:val="en-MY"/>
        </w:rPr>
        <w:t xml:space="preserve"> = 240 </w:t>
      </w:r>
      <w:r w:rsidRPr="000542D5">
        <w:rPr>
          <w:rFonts w:ascii="Times New Roman" w:hAnsi="Times New Roman"/>
          <w:bCs/>
          <w:szCs w:val="24"/>
          <w:lang w:val="en-MY"/>
        </w:rPr>
        <w:lastRenderedPageBreak/>
        <w:t>℃. The activity of the hot steam treated catalysts remained comparable to that of the fresh catalysts, with the same T</w:t>
      </w:r>
      <w:r w:rsidRPr="000542D5">
        <w:rPr>
          <w:rFonts w:ascii="Times New Roman" w:hAnsi="Times New Roman"/>
          <w:bCs/>
          <w:szCs w:val="24"/>
          <w:vertAlign w:val="subscript"/>
          <w:lang w:val="en-MY"/>
        </w:rPr>
        <w:t>20</w:t>
      </w:r>
      <w:r w:rsidRPr="000542D5">
        <w:rPr>
          <w:rFonts w:ascii="Times New Roman" w:hAnsi="Times New Roman"/>
          <w:bCs/>
          <w:szCs w:val="24"/>
          <w:lang w:val="en-MY"/>
        </w:rPr>
        <w:t>, T</w:t>
      </w:r>
      <w:r w:rsidRPr="000542D5">
        <w:rPr>
          <w:rFonts w:ascii="Times New Roman" w:hAnsi="Times New Roman"/>
          <w:bCs/>
          <w:szCs w:val="24"/>
          <w:vertAlign w:val="subscript"/>
          <w:lang w:val="en-MY"/>
        </w:rPr>
        <w:t>90</w:t>
      </w:r>
      <w:r w:rsidRPr="000542D5">
        <w:rPr>
          <w:rFonts w:ascii="Times New Roman" w:hAnsi="Times New Roman"/>
          <w:bCs/>
          <w:szCs w:val="24"/>
          <w:lang w:val="en-MY"/>
        </w:rPr>
        <w:t>, and T</w:t>
      </w:r>
      <w:r w:rsidRPr="000542D5">
        <w:rPr>
          <w:rFonts w:ascii="Times New Roman" w:hAnsi="Times New Roman"/>
          <w:bCs/>
          <w:szCs w:val="24"/>
          <w:vertAlign w:val="subscript"/>
          <w:lang w:val="en-MY"/>
        </w:rPr>
        <w:t>99</w:t>
      </w:r>
      <w:r w:rsidRPr="000542D5">
        <w:rPr>
          <w:rFonts w:ascii="Times New Roman" w:hAnsi="Times New Roman"/>
          <w:bCs/>
          <w:szCs w:val="24"/>
          <w:lang w:val="en-MY"/>
        </w:rPr>
        <w:t>, indicating that the hydrothermal treatment at 400 °C did not damage the structure of the MnOx-CeO</w:t>
      </w:r>
      <w:r w:rsidRPr="000542D5">
        <w:rPr>
          <w:rFonts w:ascii="Times New Roman" w:hAnsi="Times New Roman"/>
          <w:bCs/>
          <w:szCs w:val="24"/>
          <w:vertAlign w:val="subscript"/>
          <w:lang w:val="en-MY"/>
        </w:rPr>
        <w:t>2</w:t>
      </w:r>
      <w:r w:rsidRPr="000542D5">
        <w:rPr>
          <w:rFonts w:ascii="Times New Roman" w:hAnsi="Times New Roman"/>
          <w:bCs/>
          <w:szCs w:val="24"/>
          <w:lang w:val="en-MY"/>
        </w:rPr>
        <w:t xml:space="preserve"> catalysts. This suggests that the MnOx-CeO</w:t>
      </w:r>
      <w:r w:rsidRPr="000542D5">
        <w:rPr>
          <w:rFonts w:ascii="Times New Roman" w:hAnsi="Times New Roman"/>
          <w:bCs/>
          <w:szCs w:val="24"/>
          <w:vertAlign w:val="subscript"/>
          <w:lang w:val="en-MY"/>
        </w:rPr>
        <w:t>2</w:t>
      </w:r>
      <w:r w:rsidRPr="000542D5">
        <w:rPr>
          <w:rFonts w:ascii="Times New Roman" w:hAnsi="Times New Roman"/>
          <w:bCs/>
          <w:szCs w:val="24"/>
          <w:lang w:val="en-MY"/>
        </w:rPr>
        <w:t xml:space="preserve"> catalysts prepared by the redox hydrothermal method with a Mn/Ce ratio of 1:1 exhibit superior hydrothermal stability.</w:t>
      </w:r>
    </w:p>
    <w:p w:rsidR="00B206F0" w:rsidRPr="0048529A" w:rsidRDefault="00B206F0" w:rsidP="004B2008">
      <w:pPr>
        <w:jc w:val="center"/>
        <w:rPr>
          <w:rFonts w:ascii="Times New Roman" w:eastAsia="SimSun" w:hAnsi="Times New Roman" w:cs="Times New Roman"/>
          <w:b/>
          <w:bCs/>
          <w:color w:val="000000"/>
          <w:sz w:val="24"/>
          <w:szCs w:val="24"/>
          <w:lang w:val="en"/>
        </w:rPr>
      </w:pPr>
      <w:r w:rsidRPr="0048529A">
        <w:rPr>
          <w:rFonts w:ascii="Times New Roman" w:eastAsia="SimSun" w:hAnsi="Times New Roman" w:cs="Times New Roman"/>
          <w:b/>
          <w:bCs/>
          <w:color w:val="000000"/>
          <w:sz w:val="24"/>
          <w:szCs w:val="24"/>
          <w:lang w:val="en"/>
        </w:rPr>
        <w:t xml:space="preserve">Table </w:t>
      </w:r>
      <w:r>
        <w:rPr>
          <w:rFonts w:ascii="Times New Roman" w:eastAsia="SimSun" w:hAnsi="Times New Roman" w:cs="Times New Roman"/>
          <w:b/>
          <w:bCs/>
          <w:color w:val="000000"/>
          <w:sz w:val="24"/>
          <w:szCs w:val="24"/>
          <w:lang w:val="en"/>
        </w:rPr>
        <w:t>S6</w:t>
      </w:r>
      <w:r w:rsidRPr="0048529A">
        <w:rPr>
          <w:rFonts w:ascii="Times New Roman" w:eastAsia="SimSun" w:hAnsi="Times New Roman" w:cs="Times New Roman"/>
          <w:b/>
          <w:bCs/>
          <w:color w:val="000000"/>
          <w:sz w:val="24"/>
          <w:szCs w:val="24"/>
          <w:lang w:val="en"/>
        </w:rPr>
        <w:t xml:space="preserve"> Loading </w:t>
      </w:r>
      <w:r>
        <w:rPr>
          <w:rFonts w:ascii="Times New Roman" w:eastAsia="SimSun" w:hAnsi="Times New Roman" w:cs="Times New Roman"/>
          <w:b/>
          <w:bCs/>
          <w:color w:val="000000"/>
          <w:sz w:val="24"/>
          <w:szCs w:val="24"/>
          <w:lang w:val="en"/>
        </w:rPr>
        <w:t>of MnCeO</w:t>
      </w:r>
      <w:r w:rsidRPr="00B84989">
        <w:rPr>
          <w:rFonts w:ascii="Times New Roman" w:eastAsia="SimSun" w:hAnsi="Times New Roman" w:cs="Times New Roman"/>
          <w:b/>
          <w:bCs/>
          <w:color w:val="000000"/>
          <w:sz w:val="24"/>
          <w:szCs w:val="24"/>
          <w:vertAlign w:val="subscript"/>
          <w:lang w:val="en"/>
        </w:rPr>
        <w:t>x</w:t>
      </w:r>
      <w:r>
        <w:rPr>
          <w:rFonts w:ascii="Times New Roman" w:eastAsia="SimSun" w:hAnsi="Times New Roman" w:cs="Times New Roman"/>
          <w:b/>
          <w:bCs/>
          <w:color w:val="000000"/>
          <w:sz w:val="24"/>
          <w:szCs w:val="24"/>
          <w:lang w:val="en"/>
        </w:rPr>
        <w:t xml:space="preserve"> in</w:t>
      </w:r>
      <w:r w:rsidRPr="0048529A">
        <w:rPr>
          <w:rFonts w:ascii="Times New Roman" w:eastAsia="SimSun" w:hAnsi="Times New Roman" w:cs="Times New Roman"/>
          <w:b/>
          <w:bCs/>
          <w:color w:val="000000"/>
          <w:sz w:val="24"/>
          <w:szCs w:val="24"/>
          <w:lang w:val="en"/>
        </w:rPr>
        <w:t xml:space="preserve"> MnCe/cordierite catalysts.</w:t>
      </w:r>
    </w:p>
    <w:tbl>
      <w:tblPr>
        <w:tblStyle w:val="TableGrid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1481"/>
        <w:gridCol w:w="2975"/>
        <w:gridCol w:w="1782"/>
      </w:tblGrid>
      <w:tr w:rsidR="00B206F0" w:rsidRPr="0048529A" w:rsidTr="00381C72">
        <w:tc>
          <w:tcPr>
            <w:tcW w:w="2060" w:type="dxa"/>
            <w:tcBorders>
              <w:top w:val="single" w:sz="12" w:space="0" w:color="auto"/>
              <w:bottom w:val="single" w:sz="2" w:space="0" w:color="auto"/>
            </w:tcBorders>
            <w:vAlign w:val="center"/>
          </w:tcPr>
          <w:p w:rsidR="00B206F0" w:rsidRPr="0048529A" w:rsidRDefault="00B206F0" w:rsidP="00381C72">
            <w:pPr>
              <w:jc w:val="center"/>
              <w:rPr>
                <w:rFonts w:ascii="Times New Roman" w:eastAsia="SimSun" w:hAnsi="Times New Roman" w:cs="Times New Roman"/>
                <w:b/>
                <w:bCs/>
                <w:sz w:val="24"/>
                <w:szCs w:val="24"/>
              </w:rPr>
            </w:pPr>
            <w:r w:rsidRPr="0048529A">
              <w:rPr>
                <w:rFonts w:ascii="Times New Roman" w:eastAsia="SimSun" w:hAnsi="Times New Roman" w:cs="Times New Roman"/>
                <w:b/>
                <w:bCs/>
                <w:sz w:val="24"/>
                <w:szCs w:val="24"/>
              </w:rPr>
              <w:t>Catalyst</w:t>
            </w:r>
          </w:p>
        </w:tc>
        <w:tc>
          <w:tcPr>
            <w:tcW w:w="1481" w:type="dxa"/>
            <w:tcBorders>
              <w:top w:val="single" w:sz="12" w:space="0" w:color="auto"/>
              <w:bottom w:val="single" w:sz="2" w:space="0" w:color="auto"/>
            </w:tcBorders>
            <w:vAlign w:val="center"/>
          </w:tcPr>
          <w:p w:rsidR="00B206F0" w:rsidRPr="0048529A" w:rsidRDefault="00B206F0" w:rsidP="00381C72">
            <w:pPr>
              <w:jc w:val="center"/>
              <w:rPr>
                <w:rFonts w:ascii="Times New Roman" w:eastAsia="SimSun" w:hAnsi="Times New Roman" w:cs="Times New Roman"/>
                <w:b/>
                <w:bCs/>
                <w:sz w:val="24"/>
                <w:szCs w:val="24"/>
              </w:rPr>
            </w:pPr>
            <w:r w:rsidRPr="0048529A">
              <w:rPr>
                <w:rFonts w:ascii="Times New Roman" w:eastAsia="SimSun" w:hAnsi="Times New Roman" w:cs="Times New Roman"/>
                <w:b/>
                <w:bCs/>
                <w:sz w:val="24"/>
                <w:szCs w:val="24"/>
              </w:rPr>
              <w:t>Loading/%</w:t>
            </w:r>
          </w:p>
        </w:tc>
        <w:tc>
          <w:tcPr>
            <w:tcW w:w="2975" w:type="dxa"/>
            <w:tcBorders>
              <w:top w:val="single" w:sz="12" w:space="0" w:color="auto"/>
              <w:bottom w:val="single" w:sz="2" w:space="0" w:color="auto"/>
            </w:tcBorders>
            <w:vAlign w:val="center"/>
          </w:tcPr>
          <w:p w:rsidR="00B206F0" w:rsidRPr="0048529A" w:rsidRDefault="00B206F0" w:rsidP="00381C72">
            <w:pPr>
              <w:jc w:val="center"/>
              <w:rPr>
                <w:rFonts w:ascii="Times New Roman" w:eastAsia="SimSun" w:hAnsi="Times New Roman" w:cs="Times New Roman"/>
                <w:b/>
                <w:bCs/>
                <w:sz w:val="24"/>
                <w:szCs w:val="24"/>
              </w:rPr>
            </w:pPr>
            <w:r w:rsidRPr="0048529A">
              <w:rPr>
                <w:rFonts w:ascii="Times New Roman" w:eastAsia="SimSun" w:hAnsi="Times New Roman" w:cs="Times New Roman"/>
                <w:b/>
                <w:bCs/>
                <w:sz w:val="24"/>
                <w:szCs w:val="24"/>
              </w:rPr>
              <w:t>Ultrasonic detachment/%</w:t>
            </w:r>
          </w:p>
        </w:tc>
        <w:tc>
          <w:tcPr>
            <w:tcW w:w="1782" w:type="dxa"/>
            <w:tcBorders>
              <w:top w:val="single" w:sz="12" w:space="0" w:color="auto"/>
              <w:bottom w:val="single" w:sz="2" w:space="0" w:color="auto"/>
            </w:tcBorders>
            <w:vAlign w:val="center"/>
          </w:tcPr>
          <w:p w:rsidR="00B206F0" w:rsidRPr="0048529A" w:rsidRDefault="00B206F0" w:rsidP="00381C72">
            <w:pPr>
              <w:jc w:val="center"/>
              <w:rPr>
                <w:rFonts w:ascii="Times New Roman" w:eastAsia="SimSun" w:hAnsi="Times New Roman" w:cs="Times New Roman"/>
                <w:b/>
                <w:bCs/>
                <w:sz w:val="24"/>
                <w:szCs w:val="24"/>
              </w:rPr>
            </w:pPr>
            <w:r w:rsidRPr="0048529A">
              <w:rPr>
                <w:rFonts w:ascii="Times New Roman" w:eastAsia="SimSun" w:hAnsi="Times New Roman" w:cs="Times New Roman"/>
                <w:b/>
                <w:bCs/>
                <w:sz w:val="24"/>
                <w:szCs w:val="24"/>
              </w:rPr>
              <w:t>Net load/%</w:t>
            </w:r>
          </w:p>
        </w:tc>
      </w:tr>
      <w:tr w:rsidR="00B206F0" w:rsidRPr="0048529A" w:rsidTr="00381C72">
        <w:tc>
          <w:tcPr>
            <w:tcW w:w="2060" w:type="dxa"/>
            <w:tcBorders>
              <w:top w:val="single" w:sz="2" w:space="0" w:color="auto"/>
              <w:bottom w:val="single" w:sz="12" w:space="0" w:color="auto"/>
            </w:tcBorders>
            <w:vAlign w:val="center"/>
          </w:tcPr>
          <w:p w:rsidR="00B206F0" w:rsidRPr="0048529A" w:rsidRDefault="00B206F0" w:rsidP="00381C72">
            <w:pPr>
              <w:jc w:val="center"/>
              <w:rPr>
                <w:rFonts w:ascii="Times New Roman" w:eastAsia="SimSun" w:hAnsi="Times New Roman" w:cs="Times New Roman"/>
                <w:b/>
                <w:bCs/>
                <w:sz w:val="24"/>
                <w:szCs w:val="24"/>
              </w:rPr>
            </w:pPr>
            <w:r w:rsidRPr="0048529A">
              <w:rPr>
                <w:rFonts w:ascii="Times New Roman" w:eastAsia="SimSun" w:hAnsi="Times New Roman" w:cs="Times New Roman"/>
                <w:b/>
                <w:bCs/>
                <w:color w:val="000000"/>
                <w:sz w:val="24"/>
                <w:szCs w:val="24"/>
              </w:rPr>
              <w:t>MnCe/cordierite</w:t>
            </w:r>
          </w:p>
        </w:tc>
        <w:tc>
          <w:tcPr>
            <w:tcW w:w="1481" w:type="dxa"/>
            <w:tcBorders>
              <w:top w:val="single" w:sz="2" w:space="0" w:color="auto"/>
              <w:bottom w:val="single" w:sz="12" w:space="0" w:color="auto"/>
            </w:tcBorders>
            <w:vAlign w:val="center"/>
          </w:tcPr>
          <w:p w:rsidR="00B206F0" w:rsidRPr="00BD41BA" w:rsidRDefault="00B206F0" w:rsidP="00381C72">
            <w:pPr>
              <w:jc w:val="center"/>
              <w:rPr>
                <w:rFonts w:ascii="Times New Roman" w:eastAsia="SimSun" w:hAnsi="Times New Roman" w:cs="Times New Roman"/>
                <w:sz w:val="24"/>
                <w:szCs w:val="24"/>
                <w:lang w:val="en-US"/>
              </w:rPr>
            </w:pPr>
            <w:r w:rsidRPr="0048529A">
              <w:rPr>
                <w:rFonts w:ascii="Times New Roman" w:eastAsia="SimSun" w:hAnsi="Times New Roman" w:cs="Times New Roman"/>
                <w:sz w:val="24"/>
                <w:szCs w:val="24"/>
              </w:rPr>
              <w:t>19.14</w:t>
            </w:r>
          </w:p>
        </w:tc>
        <w:tc>
          <w:tcPr>
            <w:tcW w:w="2975" w:type="dxa"/>
            <w:tcBorders>
              <w:top w:val="single" w:sz="2" w:space="0" w:color="auto"/>
              <w:bottom w:val="single" w:sz="12" w:space="0" w:color="auto"/>
            </w:tcBorders>
            <w:vAlign w:val="center"/>
          </w:tcPr>
          <w:p w:rsidR="00B206F0" w:rsidRPr="0048529A" w:rsidRDefault="00B206F0" w:rsidP="00381C72">
            <w:pPr>
              <w:jc w:val="center"/>
              <w:rPr>
                <w:rFonts w:ascii="Times New Roman" w:eastAsia="SimSun" w:hAnsi="Times New Roman" w:cs="Times New Roman"/>
                <w:sz w:val="24"/>
                <w:szCs w:val="24"/>
              </w:rPr>
            </w:pPr>
            <w:r w:rsidRPr="0048529A">
              <w:rPr>
                <w:rFonts w:ascii="Times New Roman" w:eastAsia="SimSun" w:hAnsi="Times New Roman" w:cs="Times New Roman"/>
                <w:sz w:val="24"/>
                <w:szCs w:val="24"/>
              </w:rPr>
              <w:t>0.91</w:t>
            </w:r>
          </w:p>
        </w:tc>
        <w:tc>
          <w:tcPr>
            <w:tcW w:w="1782" w:type="dxa"/>
            <w:tcBorders>
              <w:top w:val="single" w:sz="2" w:space="0" w:color="auto"/>
              <w:bottom w:val="single" w:sz="12" w:space="0" w:color="auto"/>
            </w:tcBorders>
            <w:vAlign w:val="center"/>
          </w:tcPr>
          <w:p w:rsidR="00B206F0" w:rsidRPr="0048529A" w:rsidRDefault="00B206F0" w:rsidP="00381C72">
            <w:pPr>
              <w:jc w:val="center"/>
              <w:rPr>
                <w:rFonts w:ascii="Times New Roman" w:eastAsia="SimSun" w:hAnsi="Times New Roman" w:cs="Times New Roman"/>
                <w:sz w:val="24"/>
                <w:szCs w:val="24"/>
              </w:rPr>
            </w:pPr>
            <w:r w:rsidRPr="0048529A">
              <w:rPr>
                <w:rFonts w:ascii="Times New Roman" w:eastAsia="SimSun" w:hAnsi="Times New Roman" w:cs="Times New Roman"/>
                <w:sz w:val="24"/>
                <w:szCs w:val="24"/>
              </w:rPr>
              <w:t>18.23</w:t>
            </w:r>
          </w:p>
        </w:tc>
      </w:tr>
    </w:tbl>
    <w:p w:rsidR="00B206F0" w:rsidRDefault="00B206F0" w:rsidP="004B2008">
      <w:pPr>
        <w:spacing w:line="480" w:lineRule="auto"/>
        <w:rPr>
          <w:lang w:val="en"/>
        </w:rPr>
      </w:pPr>
    </w:p>
    <w:p w:rsidR="00B206F0" w:rsidRDefault="00B206F0" w:rsidP="00423C80">
      <w:pPr>
        <w:pStyle w:val="TAMainText"/>
        <w:spacing w:after="240"/>
        <w:ind w:firstLine="0"/>
        <w:jc w:val="left"/>
        <w:rPr>
          <w:i/>
          <w:iCs/>
        </w:rPr>
      </w:pPr>
    </w:p>
    <w:p w:rsidR="00B206F0" w:rsidRPr="00A063B3" w:rsidRDefault="00B206F0" w:rsidP="00423C80">
      <w:pPr>
        <w:pStyle w:val="TAMainText"/>
        <w:spacing w:after="240"/>
        <w:jc w:val="left"/>
        <w:rPr>
          <w:lang w:val="en"/>
        </w:rPr>
      </w:pPr>
      <w:r w:rsidRPr="00A063B3">
        <w:rPr>
          <w:noProof/>
        </w:rPr>
        <w:drawing>
          <wp:inline distT="0" distB="0" distL="0" distR="0" wp14:anchorId="7561F781" wp14:editId="4A60F803">
            <wp:extent cx="5274000" cy="2236121"/>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1.tif"/>
                    <pic:cNvPicPr/>
                  </pic:nvPicPr>
                  <pic:blipFill rotWithShape="1">
                    <a:blip r:embed="rId17" cstate="print">
                      <a:extLst>
                        <a:ext uri="{28A0092B-C50C-407E-A947-70E740481C1C}">
                          <a14:useLocalDpi xmlns:a14="http://schemas.microsoft.com/office/drawing/2010/main" val="0"/>
                        </a:ext>
                      </a:extLst>
                    </a:blip>
                    <a:srcRect l="2408" t="5520" r="5249"/>
                    <a:stretch/>
                  </pic:blipFill>
                  <pic:spPr bwMode="auto">
                    <a:xfrm>
                      <a:off x="0" y="0"/>
                      <a:ext cx="5274000" cy="2236121"/>
                    </a:xfrm>
                    <a:prstGeom prst="rect">
                      <a:avLst/>
                    </a:prstGeom>
                    <a:ln>
                      <a:noFill/>
                    </a:ln>
                    <a:extLst>
                      <a:ext uri="{53640926-AAD7-44D8-BBD7-CCE9431645EC}">
                        <a14:shadowObscured xmlns:a14="http://schemas.microsoft.com/office/drawing/2010/main"/>
                      </a:ext>
                    </a:extLst>
                  </pic:spPr>
                </pic:pic>
              </a:graphicData>
            </a:graphic>
          </wp:inline>
        </w:drawing>
      </w:r>
    </w:p>
    <w:p w:rsidR="00B206F0" w:rsidRPr="00E023B9" w:rsidRDefault="00B206F0" w:rsidP="00E023B9">
      <w:pPr>
        <w:pStyle w:val="TAMainText"/>
        <w:spacing w:after="240" w:line="240" w:lineRule="auto"/>
        <w:ind w:firstLine="0"/>
        <w:jc w:val="left"/>
        <w:rPr>
          <w:i/>
          <w:iCs/>
          <w:lang w:val="en"/>
        </w:rPr>
      </w:pPr>
      <w:r>
        <w:rPr>
          <w:b/>
          <w:bCs/>
        </w:rPr>
        <w:t>Figure</w:t>
      </w:r>
      <w:r w:rsidRPr="00A063B3">
        <w:rPr>
          <w:b/>
          <w:bCs/>
          <w:lang w:val="en"/>
        </w:rPr>
        <w:t xml:space="preserve"> </w:t>
      </w:r>
      <w:r>
        <w:rPr>
          <w:b/>
          <w:bCs/>
          <w:lang w:eastAsia="zh-CN"/>
        </w:rPr>
        <w:t>S</w:t>
      </w:r>
      <w:r w:rsidRPr="00A063B3">
        <w:rPr>
          <w:b/>
          <w:bCs/>
          <w:lang w:val="en"/>
        </w:rPr>
        <w:t>1</w:t>
      </w:r>
      <w:r>
        <w:rPr>
          <w:b/>
          <w:bCs/>
          <w:lang w:val="en" w:eastAsia="zh-CN"/>
        </w:rPr>
        <w:t>4</w:t>
      </w:r>
      <w:r w:rsidRPr="00A063B3">
        <w:rPr>
          <w:b/>
          <w:bCs/>
          <w:lang w:val="en"/>
        </w:rPr>
        <w:t xml:space="preserve"> </w:t>
      </w:r>
      <w:r w:rsidRPr="00A063B3">
        <w:rPr>
          <w:bCs/>
          <w:lang w:val="en"/>
        </w:rPr>
        <w:t>(a)</w:t>
      </w:r>
      <w:r w:rsidRPr="00A063B3">
        <w:rPr>
          <w:b/>
          <w:bCs/>
          <w:lang w:val="en"/>
        </w:rPr>
        <w:t xml:space="preserve"> </w:t>
      </w:r>
      <w:r w:rsidRPr="00A063B3">
        <w:rPr>
          <w:bCs/>
          <w:lang w:val="en"/>
        </w:rPr>
        <w:t xml:space="preserve">Catalytic activity of MnCe/cordierite catalysts for the oxidation of ethyl acetate; </w:t>
      </w:r>
      <w:r w:rsidRPr="00A063B3">
        <w:rPr>
          <w:lang w:val="en"/>
        </w:rPr>
        <w:t>(b)</w:t>
      </w:r>
      <w:r w:rsidRPr="00A063B3">
        <w:rPr>
          <w:bCs/>
          <w:lang w:val="en"/>
        </w:rPr>
        <w:t xml:space="preserve"> stability of MnCe/cordierite catalysts under ethyl acetate oxidation conditions.</w:t>
      </w:r>
      <w:bookmarkEnd w:id="12"/>
    </w:p>
    <w:p w:rsidR="00B206F0" w:rsidRDefault="00B206F0" w:rsidP="004B2008">
      <w:pPr>
        <w:spacing w:line="480" w:lineRule="auto"/>
        <w:jc w:val="both"/>
        <w:rPr>
          <w:rFonts w:ascii="Times New Roman" w:hAnsi="Times New Roman" w:cs="Times New Roman"/>
          <w:b/>
          <w:sz w:val="24"/>
          <w:lang w:val="en"/>
        </w:rPr>
      </w:pPr>
    </w:p>
    <w:p w:rsidR="00B206F0" w:rsidRPr="004B2008" w:rsidRDefault="00B206F0" w:rsidP="004B2008">
      <w:pPr>
        <w:spacing w:line="480" w:lineRule="auto"/>
        <w:jc w:val="both"/>
        <w:rPr>
          <w:rFonts w:ascii="Times New Roman" w:hAnsi="Times New Roman" w:cs="Times New Roman"/>
          <w:sz w:val="24"/>
          <w:lang w:val="en-US"/>
        </w:rPr>
      </w:pPr>
      <w:r w:rsidRPr="004B2008">
        <w:rPr>
          <w:rFonts w:ascii="Times New Roman" w:hAnsi="Times New Roman" w:cs="Times New Roman"/>
          <w:b/>
          <w:sz w:val="24"/>
          <w:lang w:val="en"/>
        </w:rPr>
        <w:t>Table S</w:t>
      </w:r>
      <w:r>
        <w:rPr>
          <w:rFonts w:ascii="Times New Roman" w:hAnsi="Times New Roman" w:cs="Times New Roman"/>
          <w:b/>
          <w:sz w:val="24"/>
          <w:lang w:val="en-US"/>
        </w:rPr>
        <w:t>6</w:t>
      </w:r>
      <w:r w:rsidRPr="004B2008">
        <w:rPr>
          <w:rFonts w:ascii="Times New Roman" w:hAnsi="Times New Roman" w:cs="Times New Roman"/>
          <w:sz w:val="24"/>
          <w:lang w:val="en"/>
        </w:rPr>
        <w:t xml:space="preserve"> shows the loading of the RH-MnCe in MnCe/cordierite catalysts. It can be observed that the loading reaches 19.14%. The catalysts were placed in an ultrasonic cleaner for 15 min and then dried in an oven at 100 °C before weighing. The detachment of RH-MnCe was only 0.91% which suggests that the powdered MnCe catalysts were successfully supported on the cordierite carrier. The MnCe/cordierite catalysts were evaluated in the oxidation of ethyl </w:t>
      </w:r>
      <w:r w:rsidRPr="004B2008">
        <w:rPr>
          <w:rFonts w:ascii="Times New Roman" w:hAnsi="Times New Roman" w:cs="Times New Roman"/>
          <w:sz w:val="24"/>
          <w:lang w:val="en"/>
        </w:rPr>
        <w:lastRenderedPageBreak/>
        <w:t xml:space="preserve">acetate, and the corresponding performance are shown in </w:t>
      </w:r>
      <w:r w:rsidRPr="004B2008">
        <w:rPr>
          <w:rFonts w:ascii="Times New Roman" w:hAnsi="Times New Roman" w:cs="Times New Roman"/>
          <w:b/>
          <w:sz w:val="24"/>
          <w:lang w:val="en"/>
        </w:rPr>
        <w:t xml:space="preserve">Figure </w:t>
      </w:r>
      <w:r>
        <w:rPr>
          <w:rFonts w:ascii="Times New Roman" w:hAnsi="Times New Roman" w:cs="Times New Roman"/>
          <w:b/>
          <w:sz w:val="24"/>
          <w:lang w:val="en"/>
        </w:rPr>
        <w:t>S14</w:t>
      </w:r>
      <w:r w:rsidRPr="004B2008">
        <w:rPr>
          <w:rFonts w:ascii="Times New Roman" w:hAnsi="Times New Roman" w:cs="Times New Roman"/>
          <w:b/>
          <w:sz w:val="24"/>
          <w:lang w:val="en"/>
        </w:rPr>
        <w:t>a</w:t>
      </w:r>
      <w:r w:rsidRPr="004B2008">
        <w:rPr>
          <w:rFonts w:ascii="Times New Roman" w:hAnsi="Times New Roman" w:cs="Times New Roman"/>
          <w:sz w:val="24"/>
          <w:lang w:val="en"/>
        </w:rPr>
        <w:t>. The MnCe/cordierite catalysts ignited at 200 °C, and the conversion of ethyl acetate reached 90% at 285 °C. The ethyl acetate was completely converted into CO</w:t>
      </w:r>
      <w:r w:rsidRPr="004B2008">
        <w:rPr>
          <w:rFonts w:ascii="Times New Roman" w:hAnsi="Times New Roman" w:cs="Times New Roman"/>
          <w:sz w:val="24"/>
          <w:vertAlign w:val="subscript"/>
          <w:lang w:val="en"/>
        </w:rPr>
        <w:t>2</w:t>
      </w:r>
      <w:r w:rsidRPr="004B2008">
        <w:rPr>
          <w:rFonts w:ascii="Times New Roman" w:hAnsi="Times New Roman" w:cs="Times New Roman"/>
          <w:sz w:val="24"/>
          <w:lang w:val="en"/>
        </w:rPr>
        <w:t xml:space="preserve"> and H</w:t>
      </w:r>
      <w:r w:rsidRPr="004B2008">
        <w:rPr>
          <w:rFonts w:ascii="Times New Roman" w:hAnsi="Times New Roman" w:cs="Times New Roman"/>
          <w:sz w:val="24"/>
          <w:vertAlign w:val="subscript"/>
          <w:lang w:val="en"/>
        </w:rPr>
        <w:t>2</w:t>
      </w:r>
      <w:r w:rsidRPr="004B2008">
        <w:rPr>
          <w:rFonts w:ascii="Times New Roman" w:hAnsi="Times New Roman" w:cs="Times New Roman"/>
          <w:sz w:val="24"/>
          <w:lang w:val="en"/>
        </w:rPr>
        <w:t>O at 330 °C.</w:t>
      </w:r>
      <w:r w:rsidRPr="004B2008">
        <w:rPr>
          <w:rFonts w:ascii="Times New Roman" w:hAnsi="Times New Roman" w:cs="Times New Roman"/>
          <w:sz w:val="24"/>
        </w:rPr>
        <w:t xml:space="preserve"> </w:t>
      </w:r>
      <w:r w:rsidRPr="004B2008">
        <w:rPr>
          <w:rFonts w:ascii="Times New Roman" w:hAnsi="Times New Roman" w:cs="Times New Roman"/>
          <w:sz w:val="24"/>
          <w:lang w:val="en"/>
        </w:rPr>
        <w:t>The stability of MnCe/cordierite catalysts were then tested in continuous reactions at 300 °C and 400 °C for 50 h (</w:t>
      </w:r>
      <w:r w:rsidRPr="004B2008">
        <w:rPr>
          <w:rFonts w:ascii="Times New Roman" w:hAnsi="Times New Roman" w:cs="Times New Roman"/>
          <w:b/>
          <w:sz w:val="24"/>
        </w:rPr>
        <w:t>Figure</w:t>
      </w:r>
      <w:r w:rsidRPr="004B2008">
        <w:rPr>
          <w:rFonts w:ascii="Times New Roman" w:hAnsi="Times New Roman" w:cs="Times New Roman"/>
          <w:sz w:val="24"/>
          <w:lang w:val="en"/>
        </w:rPr>
        <w:t xml:space="preserve"> </w:t>
      </w:r>
      <w:r>
        <w:rPr>
          <w:rFonts w:ascii="Times New Roman" w:hAnsi="Times New Roman" w:cs="Times New Roman"/>
          <w:b/>
          <w:sz w:val="24"/>
          <w:lang w:val="en"/>
        </w:rPr>
        <w:t>S14b</w:t>
      </w:r>
      <w:r w:rsidRPr="004B2008">
        <w:rPr>
          <w:rFonts w:ascii="Times New Roman" w:hAnsi="Times New Roman" w:cs="Times New Roman"/>
          <w:sz w:val="24"/>
          <w:lang w:val="en"/>
        </w:rPr>
        <w:t>). The catalytic activity of the MnCe/cordierite catalysts remained stable throughout the 50-h reaction. At 300 °C with a weight hourly space velocity (WHSV) of 30000 mL/(</w:t>
      </w:r>
      <w:proofErr w:type="spellStart"/>
      <w:r w:rsidRPr="004B2008">
        <w:rPr>
          <w:rFonts w:ascii="Times New Roman" w:hAnsi="Times New Roman" w:cs="Times New Roman"/>
          <w:sz w:val="24"/>
          <w:lang w:val="en"/>
        </w:rPr>
        <w:t>g</w:t>
      </w:r>
      <w:r w:rsidRPr="008475B3">
        <w:rPr>
          <w:rFonts w:ascii="Times New Roman" w:hAnsi="Times New Roman" w:cs="Times New Roman"/>
          <w:sz w:val="24"/>
          <w:vertAlign w:val="subscript"/>
          <w:lang w:val="en"/>
        </w:rPr>
        <w:t>cat</w:t>
      </w:r>
      <w:r w:rsidRPr="004B2008">
        <w:rPr>
          <w:rFonts w:ascii="Times New Roman" w:hAnsi="Times New Roman" w:cs="Times New Roman"/>
          <w:sz w:val="24"/>
          <w:lang w:val="en"/>
        </w:rPr>
        <w:t>·h</w:t>
      </w:r>
      <w:proofErr w:type="spellEnd"/>
      <w:r w:rsidRPr="004B2008">
        <w:rPr>
          <w:rFonts w:ascii="Times New Roman" w:hAnsi="Times New Roman" w:cs="Times New Roman"/>
          <w:sz w:val="24"/>
          <w:lang w:val="en"/>
        </w:rPr>
        <w:t>), the conversion of ethyl acetate sustained at about 95%.</w:t>
      </w:r>
    </w:p>
    <w:p w:rsidR="00B206F0" w:rsidRDefault="00B206F0" w:rsidP="00423C80">
      <w:pPr>
        <w:rPr>
          <w:lang w:val="en-US"/>
        </w:rPr>
      </w:pPr>
    </w:p>
    <w:p w:rsidR="00B206F0" w:rsidRDefault="00B206F0" w:rsidP="00423C80">
      <w:pPr>
        <w:rPr>
          <w:lang w:val="en-US"/>
        </w:rPr>
      </w:pPr>
    </w:p>
    <w:p w:rsidR="00B206F0" w:rsidRPr="007F1E0E" w:rsidRDefault="00B206F0" w:rsidP="000542D5">
      <w:pPr>
        <w:jc w:val="both"/>
        <w:rPr>
          <w:rFonts w:ascii="Times New Roman" w:hAnsi="Times New Roman" w:cs="Times New Roman"/>
          <w:b/>
          <w:sz w:val="24"/>
          <w:lang w:val="en-US"/>
        </w:rPr>
      </w:pPr>
      <w:r w:rsidRPr="007F1E0E">
        <w:rPr>
          <w:rFonts w:ascii="Times New Roman" w:hAnsi="Times New Roman" w:cs="Times New Roman"/>
          <w:b/>
          <w:sz w:val="24"/>
          <w:lang w:val="en-US"/>
        </w:rPr>
        <w:t>References</w:t>
      </w:r>
    </w:p>
    <w:p w:rsidR="00B206F0" w:rsidRPr="005B1ECA" w:rsidRDefault="00B206F0" w:rsidP="005B1ECA">
      <w:pPr>
        <w:pStyle w:val="EndNoteBibliography"/>
        <w:spacing w:after="0"/>
      </w:pPr>
      <w:r w:rsidRPr="005B1ECA">
        <w:t>Azalim S, Franco M, Brahmi R, Giraudon J-M, Lamonier J-F (2011) Removal of oxygenated volatile organic compounds by catalytic oxidation over Zr</w:t>
      </w:r>
      <w:r w:rsidR="00306DC8">
        <w:t>-</w:t>
      </w:r>
      <w:r w:rsidRPr="005B1ECA">
        <w:t>Ce</w:t>
      </w:r>
      <w:r w:rsidR="00306DC8">
        <w:t>-</w:t>
      </w:r>
      <w:r w:rsidRPr="005B1ECA">
        <w:t>Mn catalysts.</w:t>
      </w:r>
      <w:r w:rsidRPr="005B1ECA">
        <w:rPr>
          <w:i/>
        </w:rPr>
        <w:t xml:space="preserve"> </w:t>
      </w:r>
      <w:r w:rsidR="00306DC8" w:rsidRPr="00306DC8">
        <w:rPr>
          <w:i/>
        </w:rPr>
        <w:t>J. Hazard. Mater.</w:t>
      </w:r>
      <w:r w:rsidRPr="005B1ECA">
        <w:t xml:space="preserve"> </w:t>
      </w:r>
      <w:r w:rsidRPr="005B1ECA">
        <w:rPr>
          <w:b/>
        </w:rPr>
        <w:t>188</w:t>
      </w:r>
      <w:r w:rsidRPr="005B1ECA">
        <w:t xml:space="preserve"> (1-3), 422-427.</w:t>
      </w:r>
      <w:bookmarkStart w:id="13" w:name="_GoBack"/>
      <w:bookmarkEnd w:id="13"/>
    </w:p>
    <w:p w:rsidR="00B206F0" w:rsidRPr="005B1ECA" w:rsidRDefault="00B206F0" w:rsidP="005B1ECA">
      <w:pPr>
        <w:pStyle w:val="EndNoteBibliography"/>
        <w:spacing w:after="0"/>
      </w:pPr>
      <w:r w:rsidRPr="005B1ECA">
        <w:t>Blöchl PE (1994) Projector augmented-wave method.</w:t>
      </w:r>
      <w:r w:rsidRPr="005B1ECA">
        <w:rPr>
          <w:i/>
        </w:rPr>
        <w:t xml:space="preserve"> </w:t>
      </w:r>
      <w:r w:rsidR="009F774A" w:rsidRPr="009F774A">
        <w:rPr>
          <w:i/>
        </w:rPr>
        <w:t xml:space="preserve">Phys. Rev. B </w:t>
      </w:r>
      <w:r w:rsidRPr="005B1ECA">
        <w:rPr>
          <w:b/>
        </w:rPr>
        <w:t>50</w:t>
      </w:r>
      <w:r w:rsidRPr="005B1ECA">
        <w:t xml:space="preserve"> (24), 17953.</w:t>
      </w:r>
    </w:p>
    <w:p w:rsidR="00B206F0" w:rsidRPr="005B1ECA" w:rsidRDefault="00B206F0" w:rsidP="005B1ECA">
      <w:pPr>
        <w:pStyle w:val="EndNoteBibliography"/>
        <w:spacing w:after="0"/>
      </w:pPr>
      <w:r w:rsidRPr="005B1ECA">
        <w:t>Caldeweyher E, Bannwarth C, Grimme S (2017) Extension of the D3 dispersion coefficient model.</w:t>
      </w:r>
      <w:r w:rsidRPr="005B1ECA">
        <w:rPr>
          <w:i/>
        </w:rPr>
        <w:t xml:space="preserve"> </w:t>
      </w:r>
      <w:r w:rsidR="009F774A" w:rsidRPr="009F774A">
        <w:rPr>
          <w:i/>
        </w:rPr>
        <w:t xml:space="preserve">J. Chem. Phys. </w:t>
      </w:r>
      <w:r w:rsidRPr="005B1ECA">
        <w:rPr>
          <w:b/>
        </w:rPr>
        <w:t>147</w:t>
      </w:r>
      <w:r w:rsidRPr="005B1ECA">
        <w:t xml:space="preserve"> (3), 034112.</w:t>
      </w:r>
    </w:p>
    <w:p w:rsidR="00B206F0" w:rsidRPr="005B1ECA" w:rsidRDefault="00B206F0" w:rsidP="005B1ECA">
      <w:pPr>
        <w:pStyle w:val="EndNoteBibliography"/>
        <w:spacing w:after="0"/>
      </w:pPr>
      <w:r w:rsidRPr="005B1ECA">
        <w:t>Carey J, Nolan M (2016) Cation doping size effect for methane activation on alkaline earth metal doping of the CeO</w:t>
      </w:r>
      <w:r w:rsidRPr="0017630B">
        <w:rPr>
          <w:vertAlign w:val="subscript"/>
        </w:rPr>
        <w:t>2</w:t>
      </w:r>
      <w:r w:rsidRPr="005B1ECA">
        <w:t xml:space="preserve"> (111) surface.</w:t>
      </w:r>
      <w:r w:rsidRPr="005B1ECA">
        <w:rPr>
          <w:i/>
        </w:rPr>
        <w:t xml:space="preserve"> </w:t>
      </w:r>
      <w:r w:rsidR="0017630B" w:rsidRPr="0017630B">
        <w:rPr>
          <w:i/>
        </w:rPr>
        <w:t xml:space="preserve">Catal. Sci. Technol. </w:t>
      </w:r>
      <w:r w:rsidRPr="005B1ECA">
        <w:rPr>
          <w:b/>
        </w:rPr>
        <w:t>6</w:t>
      </w:r>
      <w:r w:rsidRPr="005B1ECA">
        <w:t xml:space="preserve"> (10), 3544-3558.</w:t>
      </w:r>
    </w:p>
    <w:p w:rsidR="00B206F0" w:rsidRPr="005B1ECA" w:rsidRDefault="00B206F0" w:rsidP="005B1ECA">
      <w:pPr>
        <w:pStyle w:val="EndNoteBibliography"/>
        <w:spacing w:after="0"/>
      </w:pPr>
      <w:r w:rsidRPr="005B1ECA">
        <w:t>Dudarev SL, Botton GA, Savrasov SY, Humphreys C, Sutton AP (1998) Electron-energy-loss spectra and the structural stability of nickel oxide: An LSDA+ U study.</w:t>
      </w:r>
      <w:r w:rsidRPr="005B1ECA">
        <w:rPr>
          <w:i/>
        </w:rPr>
        <w:t xml:space="preserve"> </w:t>
      </w:r>
      <w:r w:rsidR="0017630B" w:rsidRPr="0017630B">
        <w:rPr>
          <w:i/>
        </w:rPr>
        <w:t>Phys. Rev. B</w:t>
      </w:r>
      <w:r w:rsidRPr="005B1ECA">
        <w:t xml:space="preserve"> </w:t>
      </w:r>
      <w:r w:rsidRPr="005B1ECA">
        <w:rPr>
          <w:b/>
        </w:rPr>
        <w:t>57</w:t>
      </w:r>
      <w:r w:rsidRPr="005B1ECA">
        <w:t xml:space="preserve"> (3), 1505.</w:t>
      </w:r>
    </w:p>
    <w:p w:rsidR="00B206F0" w:rsidRPr="005B1ECA" w:rsidRDefault="00B206F0" w:rsidP="005B1ECA">
      <w:pPr>
        <w:pStyle w:val="EndNoteBibliography"/>
        <w:spacing w:after="0"/>
      </w:pPr>
      <w:r w:rsidRPr="005B1ECA">
        <w:t>Giannozzi P, Andreussi O, Brumme T, Bunau O, Nardelli MB, Calandra M, Car R, Cavazzoni C, Ceresoli D, Cococcioni M (2017) Advanced capabilities for materials modelling with Quantum ESPRESSO.</w:t>
      </w:r>
      <w:r w:rsidRPr="005B1ECA">
        <w:rPr>
          <w:i/>
        </w:rPr>
        <w:t xml:space="preserve"> </w:t>
      </w:r>
      <w:r w:rsidR="0017630B" w:rsidRPr="0017630B">
        <w:rPr>
          <w:i/>
        </w:rPr>
        <w:t xml:space="preserve">J. Condens. Matter Phys. </w:t>
      </w:r>
      <w:r w:rsidRPr="005B1ECA">
        <w:rPr>
          <w:b/>
        </w:rPr>
        <w:t>29</w:t>
      </w:r>
      <w:r w:rsidRPr="005B1ECA">
        <w:t xml:space="preserve"> (46), 465901.</w:t>
      </w:r>
    </w:p>
    <w:p w:rsidR="00B206F0" w:rsidRPr="005B1ECA" w:rsidRDefault="00B206F0" w:rsidP="005B1ECA">
      <w:pPr>
        <w:pStyle w:val="EndNoteBibliography"/>
        <w:spacing w:after="0"/>
      </w:pPr>
      <w:r w:rsidRPr="005B1ECA">
        <w:t>Giannozzi P, Baroni S, Bonini N, Calandra M, Car R, Cavazzoni C, Ceresoli D, Chiarotti GL, Cococcioni M, Dabo I (2009) QUANTUM ESPRESSO: a modular and open-source software project for quantum simulations of materials.</w:t>
      </w:r>
      <w:r w:rsidRPr="005B1ECA">
        <w:rPr>
          <w:i/>
        </w:rPr>
        <w:t xml:space="preserve"> </w:t>
      </w:r>
      <w:r w:rsidR="0017630B" w:rsidRPr="0017630B">
        <w:rPr>
          <w:i/>
        </w:rPr>
        <w:t xml:space="preserve">J. Condens. Matter Phys. </w:t>
      </w:r>
      <w:r w:rsidRPr="005B1ECA">
        <w:rPr>
          <w:b/>
        </w:rPr>
        <w:t>21</w:t>
      </w:r>
      <w:r w:rsidRPr="005B1ECA">
        <w:t xml:space="preserve"> (39), 395502.</w:t>
      </w:r>
    </w:p>
    <w:p w:rsidR="00B206F0" w:rsidRPr="005B1ECA" w:rsidRDefault="00B206F0" w:rsidP="005B1ECA">
      <w:pPr>
        <w:pStyle w:val="EndNoteBibliography"/>
        <w:spacing w:after="0"/>
      </w:pPr>
      <w:r w:rsidRPr="005B1ECA">
        <w:t>Grimme S, Antony J, Ehrlich S, Krieg H (2010) A consistent and accurate ab initio parametrization of density functional dispersion correction (DFT-D) for the 94 elements H-Pu.</w:t>
      </w:r>
      <w:r w:rsidRPr="005B1ECA">
        <w:rPr>
          <w:i/>
        </w:rPr>
        <w:t xml:space="preserve"> </w:t>
      </w:r>
      <w:r w:rsidR="0017630B" w:rsidRPr="0017630B">
        <w:rPr>
          <w:i/>
        </w:rPr>
        <w:t xml:space="preserve">J. Chem. Phys. </w:t>
      </w:r>
      <w:r w:rsidRPr="005B1ECA">
        <w:rPr>
          <w:b/>
        </w:rPr>
        <w:t>132</w:t>
      </w:r>
      <w:r w:rsidRPr="005B1ECA">
        <w:t xml:space="preserve"> (15), 154104.</w:t>
      </w:r>
    </w:p>
    <w:p w:rsidR="00B206F0" w:rsidRPr="005B1ECA" w:rsidRDefault="00B206F0" w:rsidP="005B1ECA">
      <w:pPr>
        <w:pStyle w:val="EndNoteBibliography"/>
        <w:spacing w:after="0"/>
      </w:pPr>
      <w:r w:rsidRPr="005B1ECA">
        <w:t>Jiang Y, Adams JB, Van Schilfgaarde M (2005) Density-functional calculation of CeO</w:t>
      </w:r>
      <w:r w:rsidRPr="0017630B">
        <w:rPr>
          <w:vertAlign w:val="subscript"/>
        </w:rPr>
        <w:t>2</w:t>
      </w:r>
      <w:r w:rsidRPr="005B1ECA">
        <w:t xml:space="preserve"> surfaces and prediction of effects of oxygen partial pressure and temperature on stabilities.</w:t>
      </w:r>
      <w:r w:rsidRPr="005B1ECA">
        <w:rPr>
          <w:i/>
        </w:rPr>
        <w:t xml:space="preserve"> </w:t>
      </w:r>
      <w:r w:rsidR="0017630B" w:rsidRPr="0017630B">
        <w:rPr>
          <w:i/>
        </w:rPr>
        <w:t xml:space="preserve">J. Chem. Phys. </w:t>
      </w:r>
      <w:r w:rsidRPr="005B1ECA">
        <w:rPr>
          <w:b/>
        </w:rPr>
        <w:t>123</w:t>
      </w:r>
      <w:r w:rsidRPr="005B1ECA">
        <w:t xml:space="preserve"> (6), 064701.</w:t>
      </w:r>
    </w:p>
    <w:p w:rsidR="00B206F0" w:rsidRPr="005B1ECA" w:rsidRDefault="00B206F0" w:rsidP="005B1ECA">
      <w:pPr>
        <w:pStyle w:val="EndNoteBibliography"/>
        <w:spacing w:after="0"/>
      </w:pPr>
      <w:r w:rsidRPr="005B1ECA">
        <w:t>Krcha MD, Mayernick AD, Janik MJ (2012) Periodic trends of oxygen vacancy formation and C</w:t>
      </w:r>
      <w:r w:rsidR="0017630B">
        <w:rPr>
          <w:rFonts w:hint="eastAsia"/>
          <w:lang w:eastAsia="zh-CN"/>
        </w:rPr>
        <w:t>-</w:t>
      </w:r>
      <w:r w:rsidRPr="005B1ECA">
        <w:t>H bond activation over transition metal-doped CeO</w:t>
      </w:r>
      <w:r w:rsidRPr="0017630B">
        <w:rPr>
          <w:vertAlign w:val="subscript"/>
        </w:rPr>
        <w:t>2</w:t>
      </w:r>
      <w:r w:rsidRPr="005B1ECA">
        <w:t xml:space="preserve"> (1 1 1) surfaces.</w:t>
      </w:r>
      <w:r w:rsidRPr="005B1ECA">
        <w:rPr>
          <w:i/>
        </w:rPr>
        <w:t xml:space="preserve"> J</w:t>
      </w:r>
      <w:r w:rsidR="0017630B">
        <w:rPr>
          <w:rFonts w:hint="eastAsia"/>
          <w:i/>
          <w:lang w:eastAsia="zh-CN"/>
        </w:rPr>
        <w:t>.</w:t>
      </w:r>
      <w:r w:rsidR="0017630B">
        <w:rPr>
          <w:i/>
          <w:lang w:eastAsia="zh-CN"/>
        </w:rPr>
        <w:t xml:space="preserve"> </w:t>
      </w:r>
      <w:r w:rsidRPr="005B1ECA">
        <w:rPr>
          <w:i/>
        </w:rPr>
        <w:t>Catal</w:t>
      </w:r>
      <w:r w:rsidR="00A7464B">
        <w:rPr>
          <w:rFonts w:hint="eastAsia"/>
          <w:i/>
          <w:lang w:eastAsia="zh-CN"/>
        </w:rPr>
        <w:t>.</w:t>
      </w:r>
      <w:r w:rsidRPr="005B1ECA">
        <w:t xml:space="preserve"> </w:t>
      </w:r>
      <w:r w:rsidRPr="005B1ECA">
        <w:rPr>
          <w:b/>
        </w:rPr>
        <w:t>293</w:t>
      </w:r>
      <w:r w:rsidRPr="005B1ECA">
        <w:t>, 103-115.</w:t>
      </w:r>
    </w:p>
    <w:p w:rsidR="00B206F0" w:rsidRPr="005B1ECA" w:rsidRDefault="00B206F0" w:rsidP="005B1ECA">
      <w:pPr>
        <w:pStyle w:val="EndNoteBibliography"/>
        <w:spacing w:after="0"/>
        <w:rPr>
          <w:lang w:eastAsia="zh-CN"/>
        </w:rPr>
      </w:pPr>
      <w:r w:rsidRPr="005B1ECA">
        <w:t>Larachi Fç, Pierre J, Adnot A, Bernis A (2002) Ce 3d XPS study of composite Ce</w:t>
      </w:r>
      <w:r w:rsidRPr="00B666EA">
        <w:rPr>
          <w:vertAlign w:val="subscript"/>
        </w:rPr>
        <w:t>x</w:t>
      </w:r>
      <w:r w:rsidRPr="005B1ECA">
        <w:t>Mn</w:t>
      </w:r>
      <w:r w:rsidRPr="00B666EA">
        <w:rPr>
          <w:vertAlign w:val="subscript"/>
        </w:rPr>
        <w:t>1</w:t>
      </w:r>
      <w:r w:rsidR="00B666EA" w:rsidRPr="00B666EA">
        <w:rPr>
          <w:vertAlign w:val="subscript"/>
        </w:rPr>
        <w:t>-</w:t>
      </w:r>
      <w:r w:rsidRPr="00B666EA">
        <w:rPr>
          <w:vertAlign w:val="subscript"/>
        </w:rPr>
        <w:t>x</w:t>
      </w:r>
      <w:r w:rsidRPr="005B1ECA">
        <w:t>O</w:t>
      </w:r>
      <w:r w:rsidRPr="00B666EA">
        <w:rPr>
          <w:vertAlign w:val="subscript"/>
        </w:rPr>
        <w:t>2</w:t>
      </w:r>
      <w:r w:rsidR="00B666EA" w:rsidRPr="00B666EA">
        <w:rPr>
          <w:vertAlign w:val="subscript"/>
        </w:rPr>
        <w:t>-</w:t>
      </w:r>
      <w:r w:rsidRPr="00B666EA">
        <w:rPr>
          <w:vertAlign w:val="subscript"/>
        </w:rPr>
        <w:t>y</w:t>
      </w:r>
      <w:r w:rsidRPr="005B1ECA">
        <w:t xml:space="preserve"> wet oxidation catalysts.</w:t>
      </w:r>
      <w:r w:rsidRPr="005B1ECA">
        <w:rPr>
          <w:i/>
        </w:rPr>
        <w:t xml:space="preserve"> </w:t>
      </w:r>
      <w:r w:rsidR="00B666EA" w:rsidRPr="00B666EA">
        <w:rPr>
          <w:i/>
        </w:rPr>
        <w:t>Appl. Surf. Sci.</w:t>
      </w:r>
      <w:r w:rsidR="00B666EA">
        <w:rPr>
          <w:b/>
        </w:rPr>
        <w:t xml:space="preserve"> </w:t>
      </w:r>
      <w:r w:rsidRPr="005B1ECA">
        <w:rPr>
          <w:b/>
        </w:rPr>
        <w:t>195</w:t>
      </w:r>
      <w:r w:rsidRPr="005B1ECA">
        <w:t xml:space="preserve"> (1-4), 236-250.</w:t>
      </w:r>
    </w:p>
    <w:p w:rsidR="00B206F0" w:rsidRPr="005B1ECA" w:rsidRDefault="00B206F0" w:rsidP="005B1ECA">
      <w:pPr>
        <w:pStyle w:val="EndNoteBibliography"/>
        <w:spacing w:after="0"/>
      </w:pPr>
      <w:r w:rsidRPr="005B1ECA">
        <w:t>Li Y, Sun Q, Kong M, Shi W, Huang J, Tang J, Zhao X (2011) Coupling oxygen ion conduction to photocatalysis in mesoporous nanorod-like ceria significantly improves photocatalytic efficiency.</w:t>
      </w:r>
      <w:r w:rsidRPr="005B1ECA">
        <w:rPr>
          <w:i/>
        </w:rPr>
        <w:t xml:space="preserve"> </w:t>
      </w:r>
      <w:r w:rsidR="00B666EA" w:rsidRPr="00B666EA">
        <w:rPr>
          <w:i/>
        </w:rPr>
        <w:t xml:space="preserve">J. Phys. Chem. C. </w:t>
      </w:r>
      <w:r w:rsidRPr="005B1ECA">
        <w:rPr>
          <w:b/>
        </w:rPr>
        <w:t>115</w:t>
      </w:r>
      <w:r w:rsidRPr="005B1ECA">
        <w:t xml:space="preserve"> (29), 14050-14057.</w:t>
      </w:r>
    </w:p>
    <w:p w:rsidR="00B206F0" w:rsidRPr="005B1ECA" w:rsidRDefault="00B206F0" w:rsidP="005B1ECA">
      <w:pPr>
        <w:pStyle w:val="EndNoteBibliography"/>
        <w:spacing w:after="0"/>
      </w:pPr>
      <w:r w:rsidRPr="005B1ECA">
        <w:lastRenderedPageBreak/>
        <w:t>Momma K, Izumi F (2011) VESTA3 for three-dimensional visualization of crystal, volumetric and morphology data.</w:t>
      </w:r>
      <w:r w:rsidRPr="005B1ECA">
        <w:rPr>
          <w:i/>
        </w:rPr>
        <w:t xml:space="preserve"> </w:t>
      </w:r>
      <w:r w:rsidR="00B666EA" w:rsidRPr="00B666EA">
        <w:rPr>
          <w:i/>
        </w:rPr>
        <w:t xml:space="preserve">J. Appl. Crystallogr. </w:t>
      </w:r>
      <w:r w:rsidRPr="005B1ECA">
        <w:rPr>
          <w:b/>
        </w:rPr>
        <w:t>44</w:t>
      </w:r>
      <w:r w:rsidRPr="005B1ECA">
        <w:t xml:space="preserve"> (6), 1272-1276.</w:t>
      </w:r>
    </w:p>
    <w:p w:rsidR="00B206F0" w:rsidRPr="005B1ECA" w:rsidRDefault="00B206F0" w:rsidP="005B1ECA">
      <w:pPr>
        <w:pStyle w:val="EndNoteBibliography"/>
        <w:spacing w:after="0"/>
      </w:pPr>
      <w:r w:rsidRPr="005B1ECA">
        <w:t>Perdew JP, Burke K, Ernzerhof M (1996) Generalized gradient approximation made simple.</w:t>
      </w:r>
      <w:r w:rsidRPr="005B1ECA">
        <w:rPr>
          <w:i/>
        </w:rPr>
        <w:t xml:space="preserve"> </w:t>
      </w:r>
      <w:r w:rsidR="00B666EA" w:rsidRPr="00B666EA">
        <w:rPr>
          <w:i/>
        </w:rPr>
        <w:t xml:space="preserve">Phys. Rev. Lett. </w:t>
      </w:r>
      <w:r w:rsidRPr="005B1ECA">
        <w:rPr>
          <w:b/>
        </w:rPr>
        <w:t>77</w:t>
      </w:r>
      <w:r w:rsidRPr="005B1ECA">
        <w:t xml:space="preserve"> (18), 3865.</w:t>
      </w:r>
    </w:p>
    <w:p w:rsidR="00B206F0" w:rsidRPr="005B1ECA" w:rsidRDefault="00B206F0" w:rsidP="005B1ECA">
      <w:pPr>
        <w:pStyle w:val="EndNoteBibliography"/>
        <w:spacing w:after="0"/>
      </w:pPr>
      <w:r w:rsidRPr="005B1ECA">
        <w:t>Trovarelli A (1996) Catalytic properties of ceria and CeO</w:t>
      </w:r>
      <w:r w:rsidRPr="00B666EA">
        <w:rPr>
          <w:vertAlign w:val="subscript"/>
        </w:rPr>
        <w:t>2</w:t>
      </w:r>
      <w:r w:rsidRPr="005B1ECA">
        <w:t>-containing materials.</w:t>
      </w:r>
      <w:r w:rsidRPr="005B1ECA">
        <w:rPr>
          <w:i/>
        </w:rPr>
        <w:t xml:space="preserve"> </w:t>
      </w:r>
      <w:r w:rsidR="00B666EA" w:rsidRPr="00B666EA">
        <w:rPr>
          <w:i/>
        </w:rPr>
        <w:t xml:space="preserve">Catal. Rev. </w:t>
      </w:r>
      <w:r w:rsidRPr="005B1ECA">
        <w:rPr>
          <w:b/>
        </w:rPr>
        <w:t>38</w:t>
      </w:r>
      <w:r w:rsidRPr="005B1ECA">
        <w:t xml:space="preserve"> (4), 439-520.</w:t>
      </w:r>
    </w:p>
    <w:p w:rsidR="00B206F0" w:rsidRPr="005B1ECA" w:rsidRDefault="00B206F0" w:rsidP="005B1ECA">
      <w:pPr>
        <w:pStyle w:val="EndNoteBibliography"/>
        <w:spacing w:after="0"/>
      </w:pPr>
      <w:r w:rsidRPr="005B1ECA">
        <w:t>Wang F, Dai H, Deng J, Bai G, Ji K, Liu Y (2012) Manganese oxides with rod-, wire-, tube-, and flower-like morphologies: highly effective catalysts for the removal of toluene.</w:t>
      </w:r>
      <w:r w:rsidRPr="005B1ECA">
        <w:rPr>
          <w:i/>
        </w:rPr>
        <w:t xml:space="preserve"> </w:t>
      </w:r>
      <w:r w:rsidR="00B666EA" w:rsidRPr="00B666EA">
        <w:rPr>
          <w:i/>
        </w:rPr>
        <w:t xml:space="preserve">Environ. Sci. Technol. </w:t>
      </w:r>
      <w:r w:rsidRPr="005B1ECA">
        <w:rPr>
          <w:b/>
        </w:rPr>
        <w:t>46</w:t>
      </w:r>
      <w:r w:rsidRPr="005B1ECA">
        <w:t xml:space="preserve"> (7), 4034-4041.</w:t>
      </w:r>
    </w:p>
    <w:p w:rsidR="00B206F0" w:rsidRPr="005B1ECA" w:rsidRDefault="00B206F0" w:rsidP="005B1ECA">
      <w:pPr>
        <w:pStyle w:val="EndNoteBibliography"/>
      </w:pPr>
      <w:r w:rsidRPr="005B1ECA">
        <w:t>Zhang Z, Chen L, Li Z, Li P, Yuan F, Niu X, Zhu Y (2016) Activity and SO</w:t>
      </w:r>
      <w:r w:rsidRPr="00B666EA">
        <w:rPr>
          <w:vertAlign w:val="subscript"/>
        </w:rPr>
        <w:t>2</w:t>
      </w:r>
      <w:r w:rsidRPr="005B1ECA">
        <w:t xml:space="preserve"> resistance of amorphous Ce</w:t>
      </w:r>
      <w:r w:rsidRPr="00B666EA">
        <w:rPr>
          <w:vertAlign w:val="subscript"/>
        </w:rPr>
        <w:t>a</w:t>
      </w:r>
      <w:r w:rsidRPr="005B1ECA">
        <w:t>TiO</w:t>
      </w:r>
      <w:r w:rsidRPr="00B666EA">
        <w:rPr>
          <w:vertAlign w:val="subscript"/>
        </w:rPr>
        <w:t>x</w:t>
      </w:r>
      <w:r w:rsidRPr="005B1ECA">
        <w:t xml:space="preserve"> catalysts for the selective catalytic reduction of NO with NH</w:t>
      </w:r>
      <w:r w:rsidRPr="00B666EA">
        <w:rPr>
          <w:vertAlign w:val="subscript"/>
        </w:rPr>
        <w:t>3</w:t>
      </w:r>
      <w:r w:rsidRPr="005B1ECA">
        <w:t>: in situ DRIFT studies.</w:t>
      </w:r>
      <w:r w:rsidRPr="005B1ECA">
        <w:rPr>
          <w:i/>
        </w:rPr>
        <w:t xml:space="preserve"> </w:t>
      </w:r>
      <w:r w:rsidR="00B666EA" w:rsidRPr="00B666EA">
        <w:rPr>
          <w:i/>
        </w:rPr>
        <w:t xml:space="preserve">Catal. Sci. Technol. </w:t>
      </w:r>
      <w:r w:rsidRPr="005B1ECA">
        <w:rPr>
          <w:b/>
        </w:rPr>
        <w:t>6</w:t>
      </w:r>
      <w:r w:rsidRPr="005B1ECA">
        <w:t xml:space="preserve"> (19), 7151-7162.</w:t>
      </w:r>
    </w:p>
    <w:p w:rsidR="00B206F0" w:rsidRPr="00C77892" w:rsidRDefault="00B206F0" w:rsidP="000542D5">
      <w:pPr>
        <w:jc w:val="both"/>
        <w:rPr>
          <w:lang w:val="en-US"/>
        </w:rPr>
      </w:pPr>
    </w:p>
    <w:p w:rsidR="007637AD" w:rsidRDefault="007637AD"/>
    <w:sectPr w:rsidR="007637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B206F0"/>
    <w:rsid w:val="0017630B"/>
    <w:rsid w:val="00306DC8"/>
    <w:rsid w:val="007637AD"/>
    <w:rsid w:val="009F774A"/>
    <w:rsid w:val="00A7464B"/>
    <w:rsid w:val="00B206F0"/>
    <w:rsid w:val="00B666E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07A0"/>
  <w15:chartTrackingRefBased/>
  <w15:docId w15:val="{B76B205B-4D70-4F6B-8667-CD1A0875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06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ainText">
    <w:name w:val="TA_Main_Text"/>
    <w:basedOn w:val="Normal"/>
    <w:link w:val="TAMainTextChar"/>
    <w:rsid w:val="00B206F0"/>
    <w:pPr>
      <w:spacing w:after="0" w:line="480" w:lineRule="auto"/>
      <w:ind w:firstLine="202"/>
      <w:jc w:val="both"/>
    </w:pPr>
    <w:rPr>
      <w:rFonts w:ascii="Times" w:eastAsia="SimSun" w:hAnsi="Times" w:cs="Times New Roman"/>
      <w:sz w:val="24"/>
      <w:szCs w:val="20"/>
      <w:lang w:val="en-US" w:eastAsia="en-US"/>
    </w:rPr>
  </w:style>
  <w:style w:type="paragraph" w:customStyle="1" w:styleId="EndNoteBibliographyTitle">
    <w:name w:val="EndNote Bibliography Title"/>
    <w:basedOn w:val="Normal"/>
    <w:link w:val="EndNoteBibliographyTitleChar"/>
    <w:rsid w:val="00B206F0"/>
    <w:pPr>
      <w:spacing w:after="0"/>
      <w:jc w:val="center"/>
    </w:pPr>
    <w:rPr>
      <w:rFonts w:ascii="Times New Roman" w:eastAsia="SimSun" w:hAnsi="Times New Roman" w:cs="Times New Roman"/>
      <w:noProof/>
      <w:sz w:val="24"/>
      <w:szCs w:val="20"/>
      <w:lang w:val="en-US" w:eastAsia="en-US"/>
    </w:rPr>
  </w:style>
  <w:style w:type="character" w:customStyle="1" w:styleId="TAMainTextChar">
    <w:name w:val="TA_Main_Text Char"/>
    <w:basedOn w:val="DefaultParagraphFont"/>
    <w:link w:val="TAMainText"/>
    <w:rsid w:val="00B206F0"/>
    <w:rPr>
      <w:rFonts w:ascii="Times" w:eastAsia="SimSun" w:hAnsi="Times" w:cs="Times New Roman"/>
      <w:sz w:val="24"/>
      <w:szCs w:val="20"/>
      <w:lang w:val="en-US" w:eastAsia="en-US"/>
    </w:rPr>
  </w:style>
  <w:style w:type="character" w:customStyle="1" w:styleId="EndNoteBibliographyTitleChar">
    <w:name w:val="EndNote Bibliography Title Char"/>
    <w:basedOn w:val="TAMainTextChar"/>
    <w:link w:val="EndNoteBibliographyTitle"/>
    <w:rsid w:val="00B206F0"/>
    <w:rPr>
      <w:rFonts w:ascii="Times New Roman" w:eastAsia="SimSun" w:hAnsi="Times New Roman" w:cs="Times New Roman"/>
      <w:noProof/>
      <w:sz w:val="24"/>
      <w:szCs w:val="20"/>
      <w:lang w:val="en-US" w:eastAsia="en-US"/>
    </w:rPr>
  </w:style>
  <w:style w:type="paragraph" w:customStyle="1" w:styleId="EndNoteBibliography">
    <w:name w:val="EndNote Bibliography"/>
    <w:basedOn w:val="Normal"/>
    <w:link w:val="EndNoteBibliographyChar"/>
    <w:rsid w:val="00B206F0"/>
    <w:pPr>
      <w:spacing w:line="240" w:lineRule="auto"/>
    </w:pPr>
    <w:rPr>
      <w:rFonts w:ascii="Times New Roman" w:eastAsia="SimSun" w:hAnsi="Times New Roman" w:cs="Times New Roman"/>
      <w:noProof/>
      <w:sz w:val="24"/>
      <w:szCs w:val="20"/>
      <w:lang w:val="en-US" w:eastAsia="en-US"/>
    </w:rPr>
  </w:style>
  <w:style w:type="character" w:customStyle="1" w:styleId="EndNoteBibliographyChar">
    <w:name w:val="EndNote Bibliography Char"/>
    <w:basedOn w:val="TAMainTextChar"/>
    <w:link w:val="EndNoteBibliography"/>
    <w:rsid w:val="00B206F0"/>
    <w:rPr>
      <w:rFonts w:ascii="Times New Roman" w:eastAsia="SimSun" w:hAnsi="Times New Roman" w:cs="Times New Roman"/>
      <w:noProof/>
      <w:sz w:val="24"/>
      <w:szCs w:val="20"/>
      <w:lang w:val="en-US" w:eastAsia="en-US"/>
    </w:rPr>
  </w:style>
  <w:style w:type="table" w:customStyle="1" w:styleId="TableGrid4">
    <w:name w:val="Table Grid4"/>
    <w:basedOn w:val="TableNormal"/>
    <w:next w:val="TableGrid"/>
    <w:uiPriority w:val="39"/>
    <w:rsid w:val="00B206F0"/>
    <w:pPr>
      <w:spacing w:after="0" w:line="240" w:lineRule="auto"/>
    </w:pPr>
    <w:rPr>
      <w:kern w:val="2"/>
      <w:sz w:val="21"/>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20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206F0"/>
    <w:pPr>
      <w:spacing w:after="0" w:line="240" w:lineRule="auto"/>
    </w:pPr>
    <w:rPr>
      <w:kern w:val="2"/>
      <w:sz w:val="21"/>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Title">
    <w:name w:val="BA_Title"/>
    <w:basedOn w:val="Normal"/>
    <w:next w:val="BBAuthorName"/>
    <w:rsid w:val="00B206F0"/>
    <w:pPr>
      <w:spacing w:before="720" w:after="360" w:line="480" w:lineRule="auto"/>
      <w:jc w:val="center"/>
    </w:pPr>
    <w:rPr>
      <w:rFonts w:ascii="Times New Roman" w:eastAsia="SimSun" w:hAnsi="Times New Roman" w:cs="Times New Roman"/>
      <w:sz w:val="44"/>
      <w:szCs w:val="20"/>
      <w:lang w:val="en-US" w:eastAsia="en-US"/>
    </w:rPr>
  </w:style>
  <w:style w:type="paragraph" w:customStyle="1" w:styleId="BBAuthorName">
    <w:name w:val="BB_Author_Name"/>
    <w:basedOn w:val="Normal"/>
    <w:next w:val="BCAuthorAddress"/>
    <w:rsid w:val="00B206F0"/>
    <w:pPr>
      <w:spacing w:after="240" w:line="480" w:lineRule="auto"/>
      <w:jc w:val="center"/>
    </w:pPr>
    <w:rPr>
      <w:rFonts w:ascii="Times" w:eastAsia="SimSun" w:hAnsi="Times" w:cs="Times New Roman"/>
      <w:i/>
      <w:sz w:val="24"/>
      <w:szCs w:val="20"/>
      <w:lang w:val="en-US" w:eastAsia="en-US"/>
    </w:rPr>
  </w:style>
  <w:style w:type="paragraph" w:customStyle="1" w:styleId="BCAuthorAddress">
    <w:name w:val="BC_Author_Address"/>
    <w:basedOn w:val="Normal"/>
    <w:next w:val="Normal"/>
    <w:rsid w:val="00B206F0"/>
    <w:pPr>
      <w:spacing w:after="240" w:line="480" w:lineRule="auto"/>
      <w:jc w:val="center"/>
    </w:pPr>
    <w:rPr>
      <w:rFonts w:ascii="Times" w:eastAsia="SimSun" w:hAnsi="Times" w:cs="Times New Roman"/>
      <w:sz w:val="24"/>
      <w:szCs w:val="20"/>
      <w:lang w:val="en-US" w:eastAsia="en-US"/>
    </w:rPr>
  </w:style>
  <w:style w:type="table" w:customStyle="1" w:styleId="TableGrid5">
    <w:name w:val="Table Grid5"/>
    <w:basedOn w:val="TableNormal"/>
    <w:next w:val="TableGrid"/>
    <w:uiPriority w:val="39"/>
    <w:rsid w:val="00B206F0"/>
    <w:pPr>
      <w:spacing w:after="0" w:line="240" w:lineRule="auto"/>
    </w:pPr>
    <w:rPr>
      <w:kern w:val="2"/>
      <w:sz w:val="21"/>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f"/><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19"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25</Pages>
  <Words>4081</Words>
  <Characters>23265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Jile</dc:creator>
  <cp:keywords/>
  <dc:description/>
  <cp:lastModifiedBy>Fu Jile</cp:lastModifiedBy>
  <cp:revision>5</cp:revision>
  <dcterms:created xsi:type="dcterms:W3CDTF">2023-04-06T16:04:00Z</dcterms:created>
  <dcterms:modified xsi:type="dcterms:W3CDTF">2023-04-06T16:16:00Z</dcterms:modified>
</cp:coreProperties>
</file>